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55880</wp:posOffset>
            </wp:positionV>
            <wp:extent cx="1869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80645</wp:posOffset>
            </wp:positionV>
            <wp:extent cx="1869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56"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67" w:lineRule="exact"/>
        <w:rPr>
          <w:rFonts w:ascii="MS PGothic" w:cs="MS PGothic" w:eastAsia="MS PGothic" w:hAnsi="MS PGothic"/>
          <w:sz w:val="18"/>
          <w:szCs w:val="18"/>
          <w:color w:val="auto"/>
          <w:highlight w:val="black"/>
        </w:rPr>
      </w:pPr>
    </w:p>
    <w:p>
      <w:pPr>
        <w:ind w:left="41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29, 2016</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7" w:lineRule="exact"/>
        <w:rPr>
          <w:rFonts w:ascii="MS PGothic" w:cs="MS PGothic" w:eastAsia="MS PGothic" w:hAnsi="MS PGothic"/>
          <w:sz w:val="18"/>
          <w:szCs w:val="18"/>
          <w:color w:val="auto"/>
          <w:highlight w:val="black"/>
        </w:rPr>
      </w:pPr>
    </w:p>
    <w:p>
      <w:pPr>
        <w:ind w:left="30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transition period from __________________ to __________________</w:t>
      </w:r>
    </w:p>
    <w:p>
      <w:pPr>
        <w:spacing w:after="0" w:line="72" w:lineRule="exact"/>
        <w:rPr>
          <w:rFonts w:ascii="MS PGothic" w:cs="MS PGothic" w:eastAsia="MS PGothic" w:hAnsi="MS PGothic"/>
          <w:sz w:val="18"/>
          <w:szCs w:val="18"/>
          <w:color w:val="auto"/>
          <w:highlight w:val="black"/>
        </w:rPr>
      </w:pPr>
    </w:p>
    <w:p>
      <w:pPr>
        <w:ind w:left="444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71755</wp:posOffset>
            </wp:positionV>
            <wp:extent cx="1869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NATIONAL CINEMEDIA,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60325</wp:posOffset>
            </wp:positionV>
            <wp:extent cx="1869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7180" w:type="dxa"/>
            <w:vAlign w:val="bottom"/>
            <w:gridSpan w:val="2"/>
          </w:tcPr>
          <w:p>
            <w:pPr>
              <w:jc w:val="center"/>
              <w:ind w:right="1560"/>
              <w:spacing w:after="0"/>
              <w:rPr>
                <w:sz w:val="20"/>
                <w:szCs w:val="20"/>
                <w:color w:val="auto"/>
              </w:rPr>
            </w:pPr>
            <w:r>
              <w:rPr>
                <w:rFonts w:ascii="Arial" w:cs="Arial" w:eastAsia="Arial" w:hAnsi="Arial"/>
                <w:sz w:val="16"/>
                <w:szCs w:val="16"/>
                <w:b w:val="1"/>
                <w:bCs w:val="1"/>
                <w:color w:val="auto"/>
                <w:w w:val="93"/>
              </w:rPr>
              <w:t>Delaware</w:t>
            </w: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Pr>
          <w:p>
            <w:pPr>
              <w:jc w:val="center"/>
              <w:ind w:right="901"/>
              <w:spacing w:after="0"/>
              <w:rPr>
                <w:sz w:val="20"/>
                <w:szCs w:val="20"/>
                <w:color w:val="auto"/>
              </w:rPr>
            </w:pPr>
            <w:r>
              <w:rPr>
                <w:rFonts w:ascii="Arial" w:cs="Arial" w:eastAsia="Arial" w:hAnsi="Arial"/>
                <w:sz w:val="16"/>
                <w:szCs w:val="16"/>
                <w:b w:val="1"/>
                <w:bCs w:val="1"/>
                <w:color w:val="auto"/>
                <w:w w:val="91"/>
              </w:rPr>
              <w:t>20-5665602</w:t>
            </w:r>
          </w:p>
        </w:tc>
        <w:tc>
          <w:tcPr>
            <w:tcW w:w="0" w:type="dxa"/>
            <w:vAlign w:val="bottom"/>
          </w:tcPr>
          <w:p>
            <w:pPr>
              <w:spacing w:after="0"/>
              <w:rPr>
                <w:sz w:val="1"/>
                <w:szCs w:val="1"/>
                <w:color w:val="auto"/>
              </w:rPr>
            </w:pPr>
          </w:p>
        </w:tc>
      </w:tr>
      <w:tr>
        <w:trPr>
          <w:trHeight w:val="149"/>
        </w:trPr>
        <w:tc>
          <w:tcPr>
            <w:tcW w:w="7180" w:type="dxa"/>
            <w:vAlign w:val="bottom"/>
            <w:gridSpan w:val="2"/>
          </w:tcPr>
          <w:p>
            <w:pPr>
              <w:jc w:val="center"/>
              <w:ind w:right="15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80" w:type="dxa"/>
            <w:vAlign w:val="bottom"/>
          </w:tcPr>
          <w:p>
            <w:pPr>
              <w:spacing w:after="0"/>
              <w:rPr>
                <w:sz w:val="12"/>
                <w:szCs w:val="12"/>
                <w:color w:val="auto"/>
              </w:rPr>
            </w:pPr>
          </w:p>
        </w:tc>
        <w:tc>
          <w:tcPr>
            <w:tcW w:w="2240" w:type="dxa"/>
            <w:vAlign w:val="bottom"/>
            <w:gridSpan w:val="2"/>
          </w:tcPr>
          <w:p>
            <w:pPr>
              <w:jc w:val="center"/>
              <w:ind w:right="48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1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3"/>
              </w:rPr>
              <w:t>incorporation or organization)</w:t>
            </w:r>
          </w:p>
        </w:tc>
        <w:tc>
          <w:tcPr>
            <w:tcW w:w="580" w:type="dxa"/>
            <w:vAlign w:val="bottom"/>
          </w:tcPr>
          <w:p>
            <w:pPr>
              <w:spacing w:after="0"/>
              <w:rPr>
                <w:sz w:val="16"/>
                <w:szCs w:val="16"/>
                <w:color w:val="auto"/>
              </w:rPr>
            </w:pPr>
          </w:p>
        </w:tc>
        <w:tc>
          <w:tcPr>
            <w:tcW w:w="2240" w:type="dxa"/>
            <w:vAlign w:val="bottom"/>
            <w:gridSpan w:val="2"/>
          </w:tcPr>
          <w:p>
            <w:pPr>
              <w:jc w:val="center"/>
              <w:ind w:right="44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55"/>
        </w:trPr>
        <w:tc>
          <w:tcPr>
            <w:tcW w:w="7180" w:type="dxa"/>
            <w:vAlign w:val="bottom"/>
            <w:gridSpan w:val="2"/>
          </w:tcPr>
          <w:p>
            <w:pPr>
              <w:jc w:val="center"/>
              <w:ind w:right="1560"/>
              <w:spacing w:after="0"/>
              <w:rPr>
                <w:sz w:val="20"/>
                <w:szCs w:val="20"/>
                <w:color w:val="auto"/>
              </w:rPr>
            </w:pPr>
            <w:r>
              <w:rPr>
                <w:rFonts w:ascii="Arial" w:cs="Arial" w:eastAsia="Arial" w:hAnsi="Arial"/>
                <w:sz w:val="16"/>
                <w:szCs w:val="16"/>
                <w:b w:val="1"/>
                <w:bCs w:val="1"/>
                <w:color w:val="auto"/>
                <w:w w:val="90"/>
              </w:rPr>
              <w:t>9110 East Nichols Avenue, Suite 200</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7180" w:type="dxa"/>
            <w:vAlign w:val="bottom"/>
            <w:gridSpan w:val="2"/>
          </w:tcPr>
          <w:p>
            <w:pPr>
              <w:jc w:val="center"/>
              <w:ind w:right="1560"/>
              <w:spacing w:after="0"/>
              <w:rPr>
                <w:sz w:val="20"/>
                <w:szCs w:val="20"/>
                <w:color w:val="auto"/>
              </w:rPr>
            </w:pPr>
            <w:r>
              <w:rPr>
                <w:rFonts w:ascii="Arial" w:cs="Arial" w:eastAsia="Arial" w:hAnsi="Arial"/>
                <w:sz w:val="16"/>
                <w:szCs w:val="16"/>
                <w:b w:val="1"/>
                <w:bCs w:val="1"/>
                <w:color w:val="auto"/>
                <w:w w:val="93"/>
              </w:rPr>
              <w:t>Centennial, Colorado</w:t>
            </w: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Pr>
          <w:p>
            <w:pPr>
              <w:jc w:val="center"/>
              <w:ind w:right="901"/>
              <w:spacing w:after="0"/>
              <w:rPr>
                <w:sz w:val="20"/>
                <w:szCs w:val="20"/>
                <w:color w:val="auto"/>
              </w:rPr>
            </w:pPr>
            <w:r>
              <w:rPr>
                <w:rFonts w:ascii="Arial" w:cs="Arial" w:eastAsia="Arial" w:hAnsi="Arial"/>
                <w:sz w:val="16"/>
                <w:szCs w:val="16"/>
                <w:b w:val="1"/>
                <w:bCs w:val="1"/>
                <w:color w:val="auto"/>
                <w:w w:val="91"/>
              </w:rPr>
              <w:t>80112-3405</w:t>
            </w:r>
          </w:p>
        </w:tc>
        <w:tc>
          <w:tcPr>
            <w:tcW w:w="0" w:type="dxa"/>
            <w:vAlign w:val="bottom"/>
          </w:tcPr>
          <w:p>
            <w:pPr>
              <w:spacing w:after="0"/>
              <w:rPr>
                <w:sz w:val="1"/>
                <w:szCs w:val="1"/>
                <w:color w:val="auto"/>
              </w:rPr>
            </w:pPr>
          </w:p>
        </w:tc>
      </w:tr>
      <w:tr>
        <w:trPr>
          <w:trHeight w:val="186"/>
        </w:trPr>
        <w:tc>
          <w:tcPr>
            <w:tcW w:w="71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Pr>
          <w:p>
            <w:pPr>
              <w:jc w:val="center"/>
              <w:ind w:right="90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36"/>
        </w:trPr>
        <w:tc>
          <w:tcPr>
            <w:tcW w:w="8240" w:type="dxa"/>
            <w:vAlign w:val="bottom"/>
            <w:gridSpan w:val="4"/>
          </w:tcPr>
          <w:p>
            <w:pPr>
              <w:jc w:val="center"/>
              <w:ind w:left="3102"/>
              <w:spacing w:after="0"/>
              <w:rPr>
                <w:sz w:val="20"/>
                <w:szCs w:val="20"/>
                <w:color w:val="auto"/>
              </w:rPr>
            </w:pPr>
            <w:r>
              <w:rPr>
                <w:rFonts w:ascii="Arial" w:cs="Arial" w:eastAsia="Arial" w:hAnsi="Arial"/>
                <w:sz w:val="16"/>
                <w:szCs w:val="16"/>
                <w:b w:val="1"/>
                <w:bCs w:val="1"/>
                <w:color w:val="auto"/>
                <w:w w:val="90"/>
              </w:rPr>
              <w:t>Registrant’s telephone number, including area code: (303) 792-3600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60" w:type="dxa"/>
            <w:vAlign w:val="bottom"/>
            <w:gridSpan w:val="3"/>
          </w:tcPr>
          <w:p>
            <w:pPr>
              <w:jc w:val="center"/>
              <w:ind w:left="360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180" w:type="dxa"/>
            <w:vAlign w:val="bottom"/>
            <w:gridSpan w:val="2"/>
          </w:tcPr>
          <w:p>
            <w:pPr>
              <w:jc w:val="center"/>
              <w:ind w:right="1560"/>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28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The NASDAQ Stock Market LLC</w:t>
            </w:r>
          </w:p>
        </w:tc>
        <w:tc>
          <w:tcPr>
            <w:tcW w:w="0" w:type="dxa"/>
            <w:vAlign w:val="bottom"/>
          </w:tcPr>
          <w:p>
            <w:pPr>
              <w:spacing w:after="0"/>
              <w:rPr>
                <w:sz w:val="1"/>
                <w:szCs w:val="1"/>
                <w:color w:val="auto"/>
              </w:rPr>
            </w:pPr>
          </w:p>
        </w:tc>
      </w:tr>
      <w:tr>
        <w:trPr>
          <w:trHeight w:val="186"/>
        </w:trPr>
        <w:tc>
          <w:tcPr>
            <w:tcW w:w="71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0"/>
              </w:rPr>
              <w:t>(Title of each class)</w:t>
            </w: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36"/>
        </w:trPr>
        <w:tc>
          <w:tcPr>
            <w:tcW w:w="8240" w:type="dxa"/>
            <w:vAlign w:val="bottom"/>
            <w:gridSpan w:val="4"/>
          </w:tcPr>
          <w:p>
            <w:pPr>
              <w:jc w:val="center"/>
              <w:ind w:left="3122"/>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4260" w:type="dxa"/>
            <w:vAlign w:val="bottom"/>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vMerge w:val="restart"/>
          </w:tcPr>
          <w:p>
            <w:pPr>
              <w:ind w:left="2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760" w:type="dxa"/>
            <w:vAlign w:val="bottom"/>
            <w:vMerge w:val="restart"/>
          </w:tcPr>
          <w:p>
            <w:pPr>
              <w:jc w:val="center"/>
              <w:ind w:right="941"/>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7760" w:type="dxa"/>
            <w:vAlign w:val="bottom"/>
            <w:gridSpan w:val="3"/>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80" w:type="dxa"/>
            <w:vAlign w:val="bottom"/>
            <w:vMerge w:val="continue"/>
          </w:tcPr>
          <w:p>
            <w:pPr>
              <w:spacing w:after="0"/>
              <w:rPr>
                <w:sz w:val="22"/>
                <w:szCs w:val="22"/>
                <w:color w:val="auto"/>
              </w:rPr>
            </w:pPr>
          </w:p>
        </w:tc>
        <w:tc>
          <w:tcPr>
            <w:tcW w:w="1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60" w:type="dxa"/>
            <w:vAlign w:val="bottom"/>
            <w:gridSpan w:val="3"/>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6"/>
                <w:szCs w:val="16"/>
                <w:color w:val="auto"/>
              </w:rPr>
              <w:t>Yes</w:t>
            </w:r>
          </w:p>
        </w:tc>
        <w:tc>
          <w:tcPr>
            <w:tcW w:w="1760" w:type="dxa"/>
            <w:vAlign w:val="bottom"/>
          </w:tcPr>
          <w:p>
            <w:pPr>
              <w:jc w:val="center"/>
              <w:ind w:right="961"/>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right="18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1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284" w:lineRule="auto"/>
        <w:rPr>
          <w:sz w:val="20"/>
          <w:szCs w:val="20"/>
          <w:color w:val="auto"/>
        </w:rPr>
      </w:pPr>
      <w:r>
        <w:rPr>
          <w:rFonts w:ascii="Arial" w:cs="Arial" w:eastAsia="Arial" w:hAnsi="Arial"/>
          <w:sz w:val="15"/>
          <w:szCs w:val="15"/>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ind w:right="30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76" w:right="239" w:bottom="1440" w:gutter="0" w:footer="0" w:header="0"/>
        </w:sectPr>
      </w:pPr>
    </w:p>
    <w:p>
      <w:pPr>
        <w:spacing w:after="0" w:line="31" w:lineRule="exact"/>
        <w:rPr>
          <w:sz w:val="24"/>
          <w:szCs w:val="24"/>
          <w:color w:val="auto"/>
        </w:rPr>
      </w:pPr>
    </w:p>
    <w:p>
      <w:pPr>
        <w:ind w:right="240"/>
        <w:spacing w:after="0" w:line="319"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87"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8" w:lineRule="exact"/>
        <w:rPr>
          <w:sz w:val="24"/>
          <w:szCs w:val="24"/>
          <w:color w:val="auto"/>
        </w:rPr>
      </w:pPr>
    </w:p>
    <w:p>
      <w:pPr>
        <w:sectPr>
          <w:pgSz w:w="11900" w:h="16838" w:orient="portrait"/>
          <w:cols w:equalWidth="0" w:num="4">
            <w:col w:w="1700" w:space="720"/>
            <w:col w:w="5680" w:space="720"/>
            <w:col w:w="1760" w:space="620"/>
            <w:col w:w="220"/>
          </w:cols>
          <w:pgMar w:left="240" w:top="576"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6" w:lineRule="exact"/>
        <w:rPr>
          <w:sz w:val="24"/>
          <w:szCs w:val="24"/>
          <w:color w:val="auto"/>
        </w:rPr>
      </w:pPr>
    </w:p>
    <w:p>
      <w:pPr>
        <w:sectPr>
          <w:pgSz w:w="11900" w:h="16838" w:orient="portrait"/>
          <w:cols w:equalWidth="0" w:num="5">
            <w:col w:w="6700" w:space="140"/>
            <w:col w:w="240" w:space="80"/>
            <w:col w:w="140" w:space="180"/>
            <w:col w:w="200" w:space="80"/>
            <w:col w:w="3660"/>
          </w:cols>
          <w:pgMar w:left="240" w:top="576" w:right="239" w:bottom="1440" w:gutter="0" w:footer="0" w:header="0"/>
          <w:type w:val="continuous"/>
        </w:sectPr>
      </w:pPr>
    </w:p>
    <w:p>
      <w:pPr>
        <w:ind w:right="700"/>
        <w:spacing w:after="0" w:line="293" w:lineRule="auto"/>
        <w:rPr>
          <w:sz w:val="20"/>
          <w:szCs w:val="20"/>
          <w:color w:val="auto"/>
        </w:rPr>
      </w:pPr>
      <w:r>
        <w:rPr>
          <w:rFonts w:ascii="Arial" w:cs="Arial" w:eastAsia="Arial" w:hAnsi="Arial"/>
          <w:sz w:val="16"/>
          <w:szCs w:val="16"/>
          <w:color w:val="auto"/>
        </w:rPr>
        <w:t>Based on the closing sales price on June 30, 2016, the aggregate market value of the voting and non-voting common stock held by non-affiliates of the registrant was $906,947,844.</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20, 2017, 63,035,309 shares of the registrant’s common stock (including unvested restricted stock), par value of $0.01 per share, were outstanding.</w:t>
      </w:r>
    </w:p>
    <w:p>
      <w:pPr>
        <w:spacing w:after="0" w:line="80"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220"/>
        <w:spacing w:after="0" w:line="293" w:lineRule="auto"/>
        <w:rPr>
          <w:sz w:val="20"/>
          <w:szCs w:val="20"/>
          <w:color w:val="auto"/>
        </w:rPr>
      </w:pPr>
      <w:r>
        <w:rPr>
          <w:rFonts w:ascii="Arial" w:cs="Arial" w:eastAsia="Arial" w:hAnsi="Arial"/>
          <w:sz w:val="16"/>
          <w:szCs w:val="16"/>
          <w:color w:val="auto"/>
        </w:rPr>
        <w:t>Certain portions of the registrant’s definitive proxy statement to be used in connection with its Annual Meeting of Stockholders and to be filed within 120 days of December 29, 2016 are incorporated by reference into Part III, Items 10-14,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626110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60" w:type="dxa"/>
            <w:vAlign w:val="bottom"/>
            <w:gridSpan w:val="16"/>
          </w:tcPr>
          <w:p>
            <w:pPr>
              <w:ind w:left="1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11"/>
            <w:vMerge w:val="restart"/>
          </w:tcPr>
          <w:p>
            <w:pPr>
              <w:jc w:val="center"/>
              <w:ind w:right="452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gridSpan w:val="11"/>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3800" w:type="dxa"/>
            <w:vAlign w:val="bottom"/>
            <w:gridSpan w:val="17"/>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560" w:type="dxa"/>
            <w:vAlign w:val="bottom"/>
            <w:gridSpan w:val="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2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580" w:type="dxa"/>
            <w:vAlign w:val="bottom"/>
            <w:gridSpan w:val="2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7540" w:type="dxa"/>
            <w:vAlign w:val="bottom"/>
            <w:gridSpan w:val="1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8240" w:type="dxa"/>
            <w:vAlign w:val="bottom"/>
            <w:gridSpan w:val="2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80" w:type="dxa"/>
            <w:vAlign w:val="bottom"/>
            <w:gridSpan w:val="2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w:t>
              </w:r>
            </w:hyperlink>
          </w:p>
        </w:tc>
        <w:tc>
          <w:tcPr>
            <w:tcW w:w="452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Market for Registrant’s Common Equity, Related Stockholder Matters and Issuer Purchases of Equity Securities</w:t>
              </w:r>
            </w:hyperlink>
          </w:p>
        </w:tc>
        <w:tc>
          <w:tcPr>
            <w:tcW w:w="15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2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3120" w:type="dxa"/>
            <w:vAlign w:val="bottom"/>
            <w:gridSpan w:val="4"/>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9580" w:type="dxa"/>
            <w:vAlign w:val="bottom"/>
            <w:gridSpan w:val="2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5280" w:type="dxa"/>
            <w:vAlign w:val="bottom"/>
            <w:gridSpan w:val="14"/>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Changes in and Disagreements with Accountants on Accounting and Financial Disclosure</w:t>
              </w:r>
            </w:hyperlink>
          </w:p>
        </w:tc>
        <w:tc>
          <w:tcPr>
            <w:tcW w:w="310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9580" w:type="dxa"/>
            <w:vAlign w:val="bottom"/>
            <w:gridSpan w:val="2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7820" w:type="dxa"/>
            <w:vAlign w:val="bottom"/>
            <w:gridSpan w:val="21"/>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III</w:t>
              </w:r>
            </w:hyperlink>
          </w:p>
        </w:tc>
        <w:tc>
          <w:tcPr>
            <w:tcW w:w="448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Directors, Executive Officers and Corporate Governance</w:t>
              </w:r>
            </w:hyperlink>
          </w:p>
        </w:tc>
        <w:tc>
          <w:tcPr>
            <w:tcW w:w="5480" w:type="dxa"/>
            <w:vAlign w:val="bottom"/>
            <w:gridSpan w:val="1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580" w:type="dxa"/>
            <w:vAlign w:val="bottom"/>
            <w:gridSpan w:val="2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Security Ownership of Certain Beneficial Owners and Management and Related Stockholder Matters</w:t>
              </w:r>
            </w:hyperlink>
          </w:p>
        </w:tc>
        <w:tc>
          <w:tcPr>
            <w:tcW w:w="228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9580" w:type="dxa"/>
            <w:vAlign w:val="bottom"/>
            <w:gridSpan w:val="2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Certain Relationships and Related Transactions, and Director Independence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Principal Accounting Fees and Services</w:t>
              </w:r>
            </w:hyperlink>
          </w:p>
        </w:tc>
        <w:tc>
          <w:tcPr>
            <w:tcW w:w="414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20" w:type="dxa"/>
            <w:vAlign w:val="bottom"/>
            <w:gridSpan w:val="13"/>
          </w:tcPr>
          <w:p>
            <w:pPr>
              <w:jc w:val="center"/>
              <w:ind w:right="4480"/>
              <w:spacing w:after="0"/>
              <w:rPr>
                <w:rFonts w:ascii="Arial" w:cs="Arial" w:eastAsia="Arial" w:hAnsi="Arial"/>
                <w:sz w:val="18"/>
                <w:szCs w:val="18"/>
                <w:b w:val="1"/>
                <w:bCs w:val="1"/>
                <w:color w:val="0000EE"/>
                <w:w w:val="98"/>
              </w:rPr>
            </w:pPr>
            <w:hyperlink w:anchor="page53">
              <w:r>
                <w:rPr>
                  <w:rFonts w:ascii="Arial" w:cs="Arial" w:eastAsia="Arial" w:hAnsi="Arial"/>
                  <w:sz w:val="18"/>
                  <w:szCs w:val="18"/>
                  <w:b w:val="1"/>
                  <w:bCs w:val="1"/>
                  <w:color w:val="0000EE"/>
                  <w:w w:val="98"/>
                </w:rPr>
                <w:t>PART IV</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380" w:type="dxa"/>
            <w:vAlign w:val="bottom"/>
            <w:gridSpan w:val="1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5"/>
          </w:tcPr>
          <w:p>
            <w:pPr>
              <w:spacing w:after="0"/>
              <w:rPr>
                <w:sz w:val="24"/>
                <w:szCs w:val="24"/>
                <w:color w:val="auto"/>
              </w:rPr>
            </w:pPr>
          </w:p>
        </w:tc>
        <w:tc>
          <w:tcPr>
            <w:tcW w:w="4500" w:type="dxa"/>
            <w:vAlign w:val="bottom"/>
            <w:gridSpan w:val="7"/>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216"/>
        </w:trPr>
        <w:tc>
          <w:tcPr>
            <w:tcW w:w="760" w:type="dxa"/>
            <w:vAlign w:val="bottom"/>
            <w:tcBorders>
              <w:top w:val="single" w:sz="8" w:color="0000EE"/>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document, unless the context otherwise requires:</w:t>
      </w:r>
    </w:p>
    <w:p>
      <w:pPr>
        <w:spacing w:after="0" w:line="117" w:lineRule="exact"/>
        <w:rPr>
          <w:sz w:val="20"/>
          <w:szCs w:val="20"/>
          <w:color w:val="auto"/>
        </w:rPr>
      </w:pPr>
    </w:p>
    <w:p>
      <w:pPr>
        <w:ind w:left="1120" w:right="10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“NCM, Inc.,” “the Company,” “we,” “us” or “our” refer to National CineMedia, Inc., a Delaware corporation, and its consolidated subsidiary National CineMedia, LLC.</w:t>
      </w:r>
    </w:p>
    <w:p>
      <w:pPr>
        <w:spacing w:after="0" w:line="62" w:lineRule="exact"/>
        <w:rPr>
          <w:rFonts w:ascii="Arial" w:cs="Arial" w:eastAsia="Arial" w:hAnsi="Arial"/>
          <w:sz w:val="18"/>
          <w:szCs w:val="18"/>
          <w:color w:val="auto"/>
        </w:rPr>
      </w:pPr>
    </w:p>
    <w:p>
      <w:pPr>
        <w:ind w:left="1120" w:hanging="558"/>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or “IPO,” which closed on February 13, 2007.</w:t>
      </w:r>
    </w:p>
    <w:p>
      <w:pPr>
        <w:spacing w:after="0" w:line="73" w:lineRule="exact"/>
        <w:rPr>
          <w:rFonts w:ascii="Arial" w:cs="Arial" w:eastAsia="Arial" w:hAnsi="Arial"/>
          <w:sz w:val="18"/>
          <w:szCs w:val="18"/>
          <w:color w:val="auto"/>
        </w:rPr>
      </w:pPr>
    </w:p>
    <w:p>
      <w:pPr>
        <w:ind w:left="1120" w:right="380" w:hanging="558"/>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“ESAs” refers to the amended and restated exhibitor services agreements entered into by NCM LLC with each of NCM LLC’s founding members upon completion of the IPO, which were further amended and restated on December 26, 2013 in connection with the sale of the Fathom Events business.</w:t>
      </w:r>
    </w:p>
    <w:p>
      <w:pPr>
        <w:spacing w:after="0" w:line="73" w:lineRule="exact"/>
        <w:rPr>
          <w:rFonts w:ascii="Arial" w:cs="Arial" w:eastAsia="Arial" w:hAnsi="Arial"/>
          <w:sz w:val="18"/>
          <w:szCs w:val="18"/>
          <w:color w:val="auto"/>
        </w:rPr>
      </w:pPr>
    </w:p>
    <w:p>
      <w:pPr>
        <w:ind w:left="1120" w:right="40" w:hanging="558"/>
        <w:spacing w:after="0" w:line="279"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“AMC” refers to AMC Entertainment Inc. and its subsidiaries, National Cinema Network, Inc., or “NCN,” which contributed assets used in the operations of NCM LLC and formed NCM LLC in March 2005, AMC ShowPlace Theatres, Inc., which joined NCM LLC in June 2010 in connection with AMC’s acquisition of Kerasotes ICON Theatres, AMC Starplex, LLC, which joined NCM LLC in December 2015 in connection with AMC’s acquisition of Starplex Cinemas and American Multi-Cinema, Inc., which is a party to an ESA with NCM LLC.</w:t>
      </w:r>
    </w:p>
    <w:p>
      <w:pPr>
        <w:spacing w:after="0" w:line="63" w:lineRule="exact"/>
        <w:rPr>
          <w:rFonts w:ascii="Arial" w:cs="Arial" w:eastAsia="Arial" w:hAnsi="Arial"/>
          <w:sz w:val="17"/>
          <w:szCs w:val="17"/>
          <w:color w:val="auto"/>
        </w:rPr>
      </w:pPr>
    </w:p>
    <w:p>
      <w:pPr>
        <w:ind w:left="1120" w:right="7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“Cinemark” refers to Cinemark Holdings, Inc. and its subsidiaries, Cinemark Media, Inc., which joined NCM LLC in July 2005, and Cinemark USA, Inc., which is a party to an ESA with NCM LLC.</w:t>
      </w:r>
    </w:p>
    <w:p>
      <w:pPr>
        <w:spacing w:after="0" w:line="62" w:lineRule="exact"/>
        <w:rPr>
          <w:rFonts w:ascii="Arial" w:cs="Arial" w:eastAsia="Arial" w:hAnsi="Arial"/>
          <w:sz w:val="18"/>
          <w:szCs w:val="18"/>
          <w:color w:val="auto"/>
        </w:rPr>
      </w:pPr>
    </w:p>
    <w:p>
      <w:pPr>
        <w:jc w:val="both"/>
        <w:ind w:left="1120" w:right="40" w:hanging="558"/>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“Regal” refers to Regal Entertainment Group and its subsidiaries, Regal CineMedia Corporation, or “RCM,” which contributed assets used in the operations of NCM LLC, Regal CineMedia Holdings, LLC, which formed NCM LLC in March 2005, and Regal Cinemas, Inc., which is a party to an ESA with NCM LLC.</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“Founding members” refers to AMC, Cinemark and Regal.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“OIBDA” refers to operating income before depreciation and amortization expense.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OIBDA” excludes from OIBDA non-cash share based payment costs, merger-related administrative costs and CEO transition costs.</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OIBDA margin” is calculated by dividing Adjusted OIBDA by total revenue.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“DCN” refers to NCM LLC’s Digital Content Network.</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“can,”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Significant declines in theater attendance or viewership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for developing additional revenue opportunities may not be implemented and may not be achieved;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within the overall advertising industry;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effectively manage or continue our growth;</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maintaining our technological advantage;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regional and local economic conditions;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 w:name="page4"/>
    <w:bookmarkEnd w:id="3"/>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any major content partner or advertising customer;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retain or replace our senior management;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to relationships with NCM LLC’s founding members;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founding member and network affiliate government regulation could slow growth;</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failures or disruptions in our technology systems;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infringement of our technology on intellectual property rights owned by others;</w:t>
      </w:r>
    </w:p>
    <w:p>
      <w:pPr>
        <w:spacing w:after="0" w:line="117" w:lineRule="exact"/>
        <w:rPr>
          <w:rFonts w:ascii="Arial" w:cs="Arial" w:eastAsia="Arial" w:hAnsi="Arial"/>
          <w:sz w:val="18"/>
          <w:szCs w:val="18"/>
          <w:color w:val="auto"/>
        </w:rPr>
      </w:pPr>
    </w:p>
    <w:p>
      <w:pPr>
        <w:ind w:left="1120" w:right="420" w:hanging="558"/>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content we distribute and user information we collect and maintain through our in-theater, online or mobile services may expose us to liability;</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regulations relating to the Internet or other areas of our online or mobile services;</w:t>
      </w:r>
    </w:p>
    <w:p>
      <w:pPr>
        <w:spacing w:after="0" w:line="117" w:lineRule="exact"/>
        <w:rPr>
          <w:rFonts w:ascii="Arial" w:cs="Arial" w:eastAsia="Arial" w:hAnsi="Arial"/>
          <w:sz w:val="18"/>
          <w:szCs w:val="18"/>
          <w:color w:val="auto"/>
        </w:rPr>
      </w:pPr>
    </w:p>
    <w:p>
      <w:pPr>
        <w:ind w:left="1120" w:right="100" w:hanging="558"/>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 and Adjusted OIBDA fluctuate from quarter to quarter and may be unpredictable, which could increase the volatility of our stock price;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left="1120" w:right="220" w:hanging="558"/>
        <w:spacing w:after="0" w:line="342"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15" w:lineRule="exact"/>
        <w:rPr>
          <w:rFonts w:ascii="Arial" w:cs="Arial" w:eastAsia="Arial" w:hAnsi="Arial"/>
          <w:sz w:val="16"/>
          <w:szCs w:val="16"/>
          <w:color w:val="auto"/>
        </w:rPr>
      </w:pPr>
    </w:p>
    <w:p>
      <w:pPr>
        <w:ind w:left="1120" w:right="140" w:hanging="55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 and investments, including the availability and adequacy of cash flows to meet our debt service requirements and any other indebtedness that we may incur in the future;</w:t>
      </w:r>
    </w:p>
    <w:p>
      <w:pPr>
        <w:spacing w:after="0" w:line="62" w:lineRule="exact"/>
        <w:rPr>
          <w:rFonts w:ascii="Arial" w:cs="Arial" w:eastAsia="Arial" w:hAnsi="Arial"/>
          <w:sz w:val="18"/>
          <w:szCs w:val="18"/>
          <w:color w:val="auto"/>
        </w:rPr>
      </w:pPr>
    </w:p>
    <w:p>
      <w:pPr>
        <w:ind w:left="1120" w:right="220" w:hanging="558"/>
        <w:spacing w:after="0" w:line="308" w:lineRule="auto"/>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NCM LLC’s founding members or their affiliates may have interests that differ from those of us or our public stockholders and they may be able to influence our affairs, compete with us or benefit from corporate opportunities that might otherwise be available to us;</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issuance of membership units or preferred stock could dilute the interest of our common stockholders;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determination that NCM, Inc. or any of NCM LLC’s founding members is an investment company;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determination that any amount of our tax benefits under the tax receivable agreement should not have been available;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on our stock price from the substantial number of our shares eligible for sale by the founding members;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described under “Risk Factors” or elsewhere in this Annual Report on Form 10-K.</w:t>
      </w:r>
    </w:p>
    <w:p>
      <w:pPr>
        <w:spacing w:after="0" w:line="117"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spacing w:after="0" w:line="7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7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u w:val="single" w:color="auto"/>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NCM, Inc., a Delaware corporation, was organized on October 5, 2006 and began operations on February 13, 2007 upon completion of its IPO. NCM, Inc. is a holding company that manages its consolidated subsidiary, NCM LLC. NCM, Inc. has no business operations or material assets other than its cash and ownership interest of approximately 43.7% of the common membership units in NCM LLC as of December 29, 2016. NCM LLC’s founding members, AMC, Cinemark and Regal, the three largest motion picture exhibition companies in the U.S., held the remaining 56.3% of NCM LLC’s common membership units as of December 29, 2016. NCM, Inc.’s primary source of cash flow from operations is distributions from NCM LLC pursuant to the NCM LLC operating agreement. NCM, Inc. also receives management fees pursuant to a management services agreement with NCM LLC in exchange for providing specific management services to NCM LLC.</w:t>
      </w:r>
    </w:p>
    <w:p>
      <w:pPr>
        <w:spacing w:after="0" w:line="81" w:lineRule="exact"/>
        <w:rPr>
          <w:sz w:val="20"/>
          <w:szCs w:val="20"/>
          <w:color w:val="auto"/>
        </w:rPr>
      </w:pPr>
    </w:p>
    <w:p>
      <w:pPr>
        <w:jc w:val="both"/>
        <w:ind w:right="420" w:firstLine="555"/>
        <w:spacing w:after="0" w:line="312" w:lineRule="auto"/>
        <w:rPr>
          <w:sz w:val="20"/>
          <w:szCs w:val="20"/>
          <w:color w:val="auto"/>
        </w:rPr>
      </w:pPr>
      <w:r>
        <w:rPr>
          <w:rFonts w:ascii="Arial" w:cs="Arial" w:eastAsia="Arial" w:hAnsi="Arial"/>
          <w:sz w:val="16"/>
          <w:szCs w:val="16"/>
          <w:color w:val="auto"/>
        </w:rPr>
        <w:t>NCM LLC has long-term ESAs with the founding members (over 20 years remaining as of December 29, 2016) and multi-year agreements with certain third-party theater circuits, referred to in this document as “network affiliates,” which expire at various dates between July 14, 2017 and July 22, 2031. The ESAs and network affiliate agreements grant NCM LLC exclusive rights in their theaters to sell advertising, subject to limited exceptions.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We are America's Movie Network. As the #1 weekend network for Millennials (age 18-34) in the U.S., we are the connector between brands and movie audiences.</w:t>
      </w:r>
    </w:p>
    <w:p>
      <w:pPr>
        <w:spacing w:after="0" w:line="62" w:lineRule="exact"/>
        <w:rPr>
          <w:sz w:val="20"/>
          <w:szCs w:val="20"/>
          <w:color w:val="auto"/>
        </w:rPr>
      </w:pPr>
    </w:p>
    <w:p>
      <w:pPr>
        <w:ind w:right="280" w:firstLine="555"/>
        <w:spacing w:after="0" w:line="302" w:lineRule="auto"/>
        <w:rPr>
          <w:sz w:val="20"/>
          <w:szCs w:val="20"/>
          <w:color w:val="auto"/>
        </w:rPr>
      </w:pPr>
      <w:r>
        <w:rPr>
          <w:rFonts w:ascii="Arial" w:cs="Arial" w:eastAsia="Arial" w:hAnsi="Arial"/>
          <w:sz w:val="16"/>
          <w:szCs w:val="16"/>
          <w:color w:val="auto"/>
        </w:rPr>
        <w:t xml:space="preserve">We currently derive revenue principally from the sale of advertising to national, regional and local businesses in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our cinema advertising and entertainment pre-show seen on movie screens across the U.S. We also sell advertising on our Lobby Entertainment Network (“LEN”), a series of strategically-placed screens located in movie theater lobbies, as well as other forms of advertising and promotions in theater lobbies. In addition, we sell online and mobile advertising through our </w:t>
      </w:r>
      <w:r>
        <w:rPr>
          <w:rFonts w:ascii="Arial" w:cs="Arial" w:eastAsia="Arial" w:hAnsi="Arial"/>
          <w:sz w:val="16"/>
          <w:szCs w:val="16"/>
          <w:i w:val="1"/>
          <w:iCs w:val="1"/>
          <w:color w:val="auto"/>
        </w:rPr>
        <w:t>Cinema Accelerator</w:t>
      </w:r>
      <w:r>
        <w:rPr>
          <w:rFonts w:ascii="Arial" w:cs="Arial" w:eastAsia="Arial" w:hAnsi="Arial"/>
          <w:sz w:val="16"/>
          <w:szCs w:val="16"/>
          <w:color w:val="auto"/>
        </w:rPr>
        <w:t xml:space="preserve"> digital product to reach entertainment audiences beyond the theater.</w:t>
      </w:r>
    </w:p>
    <w:p>
      <w:pPr>
        <w:spacing w:after="0" w:line="46"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We believe that the broad reach and digital delivery of our network provides an effective platform for national, regional and local advertisers to reach a large, young, engaged and affluent audience on a targeted and measurable basis.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On-Screen Advertising</w:t>
      </w:r>
    </w:p>
    <w:p>
      <w:pPr>
        <w:spacing w:after="0" w:line="121"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b w:val="1"/>
          <w:bCs w:val="1"/>
          <w:i w:val="1"/>
          <w:iCs w:val="1"/>
          <w:color w:val="auto"/>
        </w:rPr>
        <w:t>FirstLook</w:t>
      </w:r>
      <w:r>
        <w:rPr>
          <w:rFonts w:ascii="Arial" w:cs="Arial" w:eastAsia="Arial" w:hAnsi="Arial"/>
          <w:sz w:val="18"/>
          <w:szCs w:val="18"/>
          <w:color w:val="auto"/>
        </w:rPr>
        <w:t>—Our on-screen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FirstLook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pre-show was created to provide a more entertaining pre-movie experience for theater patrons while serving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incremental revenue source for our theater circuit partners. It consists of national, regional and local advertising, as well as long-form entertainment and advertising content provided to us under exclusive multi-year arrangements with leading media, entertainment, technology and other companies (“content partners”).</w:t>
      </w:r>
    </w:p>
    <w:p>
      <w:pPr>
        <w:spacing w:after="0" w:line="79"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i w:val="1"/>
          <w:iCs w:val="1"/>
          <w:color w:val="auto"/>
        </w:rPr>
        <w:t xml:space="preserve">FirstLook </w:t>
      </w:r>
      <w:r>
        <w:rPr>
          <w:rFonts w:ascii="Arial" w:cs="Arial" w:eastAsia="Arial" w:hAnsi="Arial"/>
          <w:sz w:val="18"/>
          <w:szCs w:val="18"/>
          <w:color w:val="auto"/>
        </w:rPr>
        <w:t>generally ranges in length from 20 to 30 minutes and ends at or about the advertised show time, when the movie trailers and feature film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begin. The trailers that run before the feature film are not part of </w:t>
      </w:r>
      <w:r>
        <w:rPr>
          <w:rFonts w:ascii="Arial" w:cs="Arial" w:eastAsia="Arial" w:hAnsi="Arial"/>
          <w:sz w:val="18"/>
          <w:szCs w:val="18"/>
          <w:i w:val="1"/>
          <w:iCs w:val="1"/>
          <w:color w:val="auto"/>
        </w:rPr>
        <w:t>FirstLook</w:t>
      </w:r>
      <w:r>
        <w:rPr>
          <w:rFonts w:ascii="Arial" w:cs="Arial" w:eastAsia="Arial" w:hAnsi="Arial"/>
          <w:sz w:val="18"/>
          <w:szCs w:val="18"/>
          <w:color w:val="auto"/>
        </w:rPr>
        <w:t>.</w:t>
      </w:r>
    </w:p>
    <w:p>
      <w:pPr>
        <w:spacing w:after="0" w:line="62"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 xml:space="preserve">Because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is customized by theater circuit, theater location/market, film rating, film genre and film title, we produce and distribute many different versions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each month. This programming flexibility provides advertisers with the ability to target specific audience demographics and geographic locations, and gives us the ability to ensure that the content and advertising is age-appropriate for the movie audience. It also enables us to incorporate the branding of a specific theater circuit if desired. We rotate </w:t>
      </w:r>
      <w:r>
        <w:rPr>
          <w:rFonts w:ascii="Arial" w:cs="Arial" w:eastAsia="Arial" w:hAnsi="Arial"/>
          <w:sz w:val="18"/>
          <w:szCs w:val="18"/>
          <w:i w:val="1"/>
          <w:iCs w:val="1"/>
          <w:color w:val="auto"/>
        </w:rPr>
        <w:t>FirstLook</w:t>
      </w:r>
      <w:r>
        <w:rPr>
          <w:rFonts w:ascii="Arial" w:cs="Arial" w:eastAsia="Arial" w:hAnsi="Arial"/>
          <w:sz w:val="18"/>
          <w:szCs w:val="18"/>
          <w:color w:val="auto"/>
        </w:rPr>
        <w:t>’s long-form content segments between theaters approximately every two weeks to ensure that frequent moviegoers are entertained by fresh content.</w:t>
      </w:r>
    </w:p>
    <w:p>
      <w:pPr>
        <w:spacing w:after="0" w:line="80"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 xml:space="preserve">We also have the capability to deliver three-dimensional (“3-D”) advertising campaigns within a 3-D version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program prior to 3-D feature films.</w:t>
      </w:r>
    </w:p>
    <w:p>
      <w:pPr>
        <w:spacing w:after="0" w:line="62" w:lineRule="exact"/>
        <w:rPr>
          <w:sz w:val="20"/>
          <w:szCs w:val="20"/>
          <w:color w:val="auto"/>
        </w:rPr>
      </w:pPr>
    </w:p>
    <w:p>
      <w:pPr>
        <w:ind w:right="20" w:firstLine="555"/>
        <w:spacing w:after="0" w:line="308" w:lineRule="auto"/>
        <w:rPr>
          <w:sz w:val="20"/>
          <w:szCs w:val="20"/>
          <w:color w:val="auto"/>
        </w:rPr>
      </w:pPr>
      <w:r>
        <w:rPr>
          <w:rFonts w:ascii="Arial" w:cs="Arial" w:eastAsia="Arial" w:hAnsi="Arial"/>
          <w:sz w:val="17"/>
          <w:szCs w:val="17"/>
          <w:color w:val="auto"/>
        </w:rPr>
        <w:t xml:space="preserve">All versions of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are produced by our internal creative team, which is cost-effective and gives us significant flexibility. We also offer pre- and post-production advertising creative services to our clients (primarily local clients who may not have their own creative agency) for a fee.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 w:name="page6"/>
    <w:bookmarkEnd w:id="5"/>
    <w:p>
      <w:pPr>
        <w:ind w:left="560"/>
        <w:spacing w:after="0"/>
        <w:rPr>
          <w:sz w:val="20"/>
          <w:szCs w:val="20"/>
          <w:color w:val="auto"/>
        </w:rPr>
      </w:pPr>
      <w:r>
        <w:rPr>
          <w:rFonts w:ascii="Arial" w:cs="Arial" w:eastAsia="Arial" w:hAnsi="Arial"/>
          <w:sz w:val="18"/>
          <w:szCs w:val="18"/>
          <w:b w:val="1"/>
          <w:bCs w:val="1"/>
          <w:i w:val="1"/>
          <w:iCs w:val="1"/>
          <w:color w:val="auto"/>
        </w:rPr>
        <w:t>Show Structure</w:t>
      </w:r>
      <w:r>
        <w:rPr>
          <w:rFonts w:ascii="Arial" w:cs="Arial" w:eastAsia="Arial" w:hAnsi="Arial"/>
          <w:sz w:val="18"/>
          <w:szCs w:val="18"/>
          <w:color w:val="auto"/>
        </w:rPr>
        <w:t>—</w:t>
      </w:r>
      <w:r>
        <w:rPr>
          <w:rFonts w:ascii="Arial" w:cs="Arial" w:eastAsia="Arial" w:hAnsi="Arial"/>
          <w:sz w:val="18"/>
          <w:szCs w:val="18"/>
          <w:i w:val="1"/>
          <w:iCs w:val="1"/>
          <w:color w:val="auto"/>
        </w:rPr>
        <w:t>FirstLook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comprised of up to four segments, each approximately four to seven minutes in length.</w:t>
      </w:r>
    </w:p>
    <w:p>
      <w:pPr>
        <w:spacing w:after="0" w:line="117" w:lineRule="exact"/>
        <w:rPr>
          <w:sz w:val="20"/>
          <w:szCs w:val="20"/>
          <w:color w:val="auto"/>
        </w:rPr>
      </w:pPr>
    </w:p>
    <w:p>
      <w:pPr>
        <w:ind w:left="2040" w:right="260" w:hanging="411"/>
        <w:spacing w:after="0" w:line="258" w:lineRule="auto"/>
        <w:tabs>
          <w:tab w:leader="none" w:pos="2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Segment four is the first section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and begins approximately 20 to 30 minutes prior to the advertised show time and generally includes local advertising.</w:t>
      </w:r>
    </w:p>
    <w:p>
      <w:pPr>
        <w:spacing w:after="0" w:line="1" w:lineRule="exact"/>
        <w:rPr>
          <w:rFonts w:ascii="Arial" w:cs="Arial" w:eastAsia="Arial" w:hAnsi="Arial"/>
          <w:sz w:val="18"/>
          <w:szCs w:val="18"/>
          <w:color w:val="auto"/>
        </w:rPr>
      </w:pPr>
    </w:p>
    <w:p>
      <w:pPr>
        <w:ind w:left="2040" w:right="40" w:hanging="411"/>
        <w:spacing w:after="0" w:line="250" w:lineRule="auto"/>
        <w:tabs>
          <w:tab w:leader="none" w:pos="2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three typically begins approximately 18 minutes prior to the advertised show time and features primarily 15 or 30-second local or regional advertisements by individual theaters, or across an entire DMA® or geographic region, as well as a long-form entertainment content segment from one of our content partners.</w:t>
      </w:r>
    </w:p>
    <w:p>
      <w:pPr>
        <w:spacing w:after="0" w:line="1" w:lineRule="exact"/>
        <w:rPr>
          <w:rFonts w:ascii="Arial" w:cs="Arial" w:eastAsia="Arial" w:hAnsi="Arial"/>
          <w:sz w:val="18"/>
          <w:szCs w:val="18"/>
          <w:color w:val="auto"/>
        </w:rPr>
      </w:pPr>
    </w:p>
    <w:p>
      <w:pPr>
        <w:jc w:val="both"/>
        <w:ind w:left="2040" w:right="420" w:hanging="411"/>
        <w:spacing w:after="0" w:line="250" w:lineRule="auto"/>
        <w:tabs>
          <w:tab w:leader="none" w:pos="2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two begins approximately 13 minutes before the advertised show time and features primarily national and regional advertisements, which are generally 30 or 60 seconds, as well as a long-form entertainment content segment from one of our content partners.</w:t>
      </w:r>
    </w:p>
    <w:p>
      <w:pPr>
        <w:spacing w:after="0" w:line="1" w:lineRule="exact"/>
        <w:rPr>
          <w:rFonts w:ascii="Arial" w:cs="Arial" w:eastAsia="Arial" w:hAnsi="Arial"/>
          <w:sz w:val="18"/>
          <w:szCs w:val="18"/>
          <w:color w:val="auto"/>
        </w:rPr>
      </w:pPr>
    </w:p>
    <w:p>
      <w:pPr>
        <w:ind w:left="2040" w:right="100" w:hanging="411"/>
        <w:spacing w:after="0" w:line="254" w:lineRule="auto"/>
        <w:tabs>
          <w:tab w:leader="none" w:pos="2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one runs closest to the advertised show time at approximately 8 minutes and features primarily national advertisements, which are generally 30 or 60 seconds, as well as a long-form entertainment content segment from one of our content partners. Segment one also includes an advertisement for the founding members’ beverage supplier and a public service announcement (“PSA”).</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typically includes the following.</w:t>
      </w:r>
    </w:p>
    <w:p>
      <w:pPr>
        <w:spacing w:after="0" w:line="117"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b w:val="1"/>
          <w:bCs w:val="1"/>
          <w:i w:val="1"/>
          <w:iCs w:val="1"/>
          <w:color w:val="auto"/>
        </w:rPr>
        <w:t>National, Regional and Local Advertising</w:t>
      </w:r>
      <w:r>
        <w:rPr>
          <w:rFonts w:ascii="Arial" w:cs="Arial" w:eastAsia="Arial" w:hAnsi="Arial"/>
          <w:sz w:val="18"/>
          <w:szCs w:val="18"/>
          <w:color w:val="auto"/>
        </w:rPr>
        <w:t>—On-screen advertising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FirstLook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sold on a cost per thousand (“CPM”) basis to national clients.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sell our national advertising units across our national network by film rating or groups of ratings, or by individual film or film genre grouping. This ability to target various groups of films offers national advertisers a way to target specific audience demographics at various price points and overall cost levels, which we believe expands the number of potential clients.</w:t>
      </w:r>
    </w:p>
    <w:p>
      <w:pPr>
        <w:spacing w:after="0" w:line="79"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 xml:space="preserve">Local and regional advertising is primarily sold on a per-screen, per-week basis and can also be sold on a CPM basis. Beginning in 2016, the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pre-show inventory also became available in the STRATA system, a media buying and selling software which allows advertising agencies to buy</w:t>
      </w:r>
      <w:r>
        <w:rPr>
          <w:rFonts w:ascii="Arial" w:cs="Arial" w:eastAsia="Arial" w:hAnsi="Arial"/>
          <w:sz w:val="16"/>
          <w:szCs w:val="16"/>
          <w:i w:val="1"/>
          <w:iCs w:val="1"/>
          <w:color w:val="auto"/>
        </w:rPr>
        <w:t xml:space="preserve"> </w:t>
      </w:r>
      <w:r>
        <w:rPr>
          <w:rFonts w:ascii="Arial" w:cs="Arial" w:eastAsia="Arial" w:hAnsi="Arial"/>
          <w:sz w:val="16"/>
          <w:szCs w:val="16"/>
          <w:color w:val="auto"/>
        </w:rPr>
        <w:t>cinema in the National Spot TV marketplace. Being able to buy both TV and cinema locally in the National Spot marketplace makes it significantly easier for agencies to include cinema in the media mix for their clients and allows us to tap into a new pool of advertising dollars budgeted for National Spot.</w:t>
      </w:r>
    </w:p>
    <w:p>
      <w:pPr>
        <w:spacing w:after="0" w:line="46"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Our cinema advertising business has a diverse customer base, consisting of national, regional and local advertisers. As of December 29, 2016, 504 national advertisers across a wide variety of industries have advertised with us. During the year ended December 29, 2016, we derived 70% of our advertising revenue from national clients (including advertising agencies that represent our clients) and 24% of our advertising revenue from thousands of regional and local advertisers across the country (including advertising agencies that represent these clients).</w:t>
      </w:r>
    </w:p>
    <w:p>
      <w:pPr>
        <w:spacing w:after="0" w:line="63"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i w:val="1"/>
          <w:iCs w:val="1"/>
          <w:color w:val="auto"/>
        </w:rPr>
        <w:t xml:space="preserve">Content. </w:t>
      </w:r>
      <w:r>
        <w:rPr>
          <w:rFonts w:ascii="Arial" w:cs="Arial" w:eastAsia="Arial" w:hAnsi="Arial"/>
          <w:sz w:val="18"/>
          <w:szCs w:val="18"/>
          <w:color w:val="auto"/>
        </w:rPr>
        <w:t>The majority of our entertainment and advertising content segments are provided to us by content partners. Under the terms of the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content partners make available to us original entertainment content segments that are entertaining, informative or educational in nature in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and make commitments to buy a portion of our advertising inventory at a specified CPM over a one or two-year period with options to renew, exercisable at the content partner’s option. The original content produced by these content partners typically features behind-the-scenes looks at the “making-of” feature films, upcoming broadcasts, cable television shows, or technology products. In 2016, all of our content partners provided approximately two-minute segments.</w:t>
      </w:r>
    </w:p>
    <w:p>
      <w:pPr>
        <w:spacing w:after="0" w:line="85" w:lineRule="exact"/>
        <w:rPr>
          <w:sz w:val="20"/>
          <w:szCs w:val="20"/>
          <w:color w:val="auto"/>
        </w:rPr>
      </w:pPr>
    </w:p>
    <w:p>
      <w:pPr>
        <w:ind w:right="120" w:firstLine="555"/>
        <w:spacing w:after="0" w:line="308" w:lineRule="auto"/>
        <w:rPr>
          <w:sz w:val="20"/>
          <w:szCs w:val="20"/>
          <w:color w:val="auto"/>
        </w:rPr>
      </w:pPr>
      <w:r>
        <w:rPr>
          <w:rFonts w:ascii="Arial" w:cs="Arial" w:eastAsia="Arial" w:hAnsi="Arial"/>
          <w:sz w:val="17"/>
          <w:szCs w:val="17"/>
          <w:i w:val="1"/>
          <w:iCs w:val="1"/>
          <w:color w:val="auto"/>
        </w:rPr>
        <w:t xml:space="preserve">PSA. </w:t>
      </w:r>
      <w:r>
        <w:rPr>
          <w:rFonts w:ascii="Arial" w:cs="Arial" w:eastAsia="Arial" w:hAnsi="Arial"/>
          <w:sz w:val="17"/>
          <w:szCs w:val="17"/>
          <w:color w:val="auto"/>
        </w:rPr>
        <w:t>We have two-year agreements to exhibit a 40-second courtesy “silence your cell phone” PSA reminding moviegoers to silence their cell phones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refrain from texting during feature films, one with an insurance company and another a candy company which expire at the end of 2017.</w:t>
      </w:r>
    </w:p>
    <w:p>
      <w:pPr>
        <w:spacing w:after="0" w:line="38"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i w:val="1"/>
          <w:iCs w:val="1"/>
          <w:color w:val="auto"/>
        </w:rPr>
        <w:t xml:space="preserve">3-D Advertising. </w:t>
      </w:r>
      <w:r>
        <w:rPr>
          <w:rFonts w:ascii="Arial" w:cs="Arial" w:eastAsia="Arial" w:hAnsi="Arial"/>
          <w:sz w:val="16"/>
          <w:szCs w:val="16"/>
          <w:color w:val="auto"/>
        </w:rPr>
        <w:t>We also sell 3-D advertising, which runs prior to select 3-D films. These 3-D advertisements are placed at the end of the</w:t>
      </w:r>
      <w:r>
        <w:rPr>
          <w:rFonts w:ascii="Arial" w:cs="Arial" w:eastAsia="Arial" w:hAnsi="Arial"/>
          <w:sz w:val="16"/>
          <w:szCs w:val="16"/>
          <w:i w:val="1"/>
          <w:iCs w:val="1"/>
          <w:color w:val="auto"/>
        </w:rPr>
        <w:t xml:space="preserve"> FirstLook </w:t>
      </w:r>
      <w:r>
        <w:rPr>
          <w:rFonts w:ascii="Arial" w:cs="Arial" w:eastAsia="Arial" w:hAnsi="Arial"/>
          <w:sz w:val="16"/>
          <w:szCs w:val="16"/>
          <w:color w:val="auto"/>
        </w:rPr>
        <w:t xml:space="preserve">pre-show, after a message instructing the movie audience to put on their 3-D glasses, so that the glasses can be kept on throughout the remainder of </w:t>
      </w:r>
      <w:r>
        <w:rPr>
          <w:rFonts w:ascii="Arial" w:cs="Arial" w:eastAsia="Arial" w:hAnsi="Arial"/>
          <w:sz w:val="16"/>
          <w:szCs w:val="16"/>
          <w:i w:val="1"/>
          <w:iCs w:val="1"/>
          <w:color w:val="auto"/>
        </w:rPr>
        <w:t>FirstLook</w:t>
      </w:r>
      <w:r>
        <w:rPr>
          <w:rFonts w:ascii="Arial" w:cs="Arial" w:eastAsia="Arial" w:hAnsi="Arial"/>
          <w:sz w:val="16"/>
          <w:szCs w:val="16"/>
          <w:color w:val="auto"/>
        </w:rPr>
        <w:t>, the film trailers and the 3-D feature film to provide for a better experience. 3-D advertisements provide average advertising CPMs that are higher than average two-dimensional (“2-D”) pricing due primarily to the fact that 3-D advertisements have heightened recall (based on third-party research).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 w:name="page7"/>
    <w:bookmarkEnd w:id="6"/>
    <w:p>
      <w:pPr>
        <w:ind w:firstLine="555"/>
        <w:spacing w:after="0" w:line="271" w:lineRule="auto"/>
        <w:rPr>
          <w:sz w:val="20"/>
          <w:szCs w:val="20"/>
          <w:color w:val="auto"/>
        </w:rPr>
      </w:pPr>
      <w:r>
        <w:rPr>
          <w:rFonts w:ascii="Arial" w:cs="Arial" w:eastAsia="Arial" w:hAnsi="Arial"/>
          <w:sz w:val="17"/>
          <w:szCs w:val="17"/>
          <w:b w:val="1"/>
          <w:bCs w:val="1"/>
          <w:i w:val="1"/>
          <w:iCs w:val="1"/>
          <w:color w:val="auto"/>
        </w:rPr>
        <w:t>Beverage Advertising</w:t>
      </w:r>
      <w:r>
        <w:rPr>
          <w:rFonts w:ascii="Arial" w:cs="Arial" w:eastAsia="Arial" w:hAnsi="Arial"/>
          <w:sz w:val="17"/>
          <w:szCs w:val="17"/>
          <w:color w:val="auto"/>
        </w:rPr>
        <w:t>—We also have a long-term agreement to exhibit the advertising of the founding members’ beverage supplier. Under the ESAs,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up to 90 seconds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program can be sold to the founding members to satisfy their on-screen advertising commitments under their beverage concessionaire agreements at a rate intended to approximate a market rate (per the ESA, the annual CPM change equals the prior year annual percentage change in the advertising CPM charged to unaffiliated third parties during segment one (closest to showtime)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limited to the highest advertising CPM being then-charged by NCM LLC). Each of the founding members has a relationship with a beverage concessionaire under which they are obligated to provide on-screen advertising time as part of their agreement to purchase branded beverages sold in their theaters. During 2016, we sold 60 seconds to two of the founding members and 30 seconds to one of the founding members. During 2016, the beverage concessionaire revenue from the founding members’ beverage agreements was 6% of our total revenue.</w:t>
      </w:r>
    </w:p>
    <w:p>
      <w:pPr>
        <w:spacing w:after="0" w:line="71"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b w:val="1"/>
          <w:bCs w:val="1"/>
          <w:i w:val="1"/>
          <w:iCs w:val="1"/>
          <w:color w:val="auto"/>
        </w:rPr>
        <w:t>Theater Circuit Messaging</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FirstLook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 also includes time slots for the founding members and network affiliates to advertise various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associated with the operations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This time is provided to the theater operator at no charge and generally includes 45 seconds within 15 minutes of show time, 15 seconds of which will be placed within 12 minutes of show time, and the remainder placed at our discretion.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 Advertising</w:t>
      </w:r>
    </w:p>
    <w:p>
      <w:pPr>
        <w:spacing w:after="0" w:line="121" w:lineRule="exact"/>
        <w:rPr>
          <w:sz w:val="20"/>
          <w:szCs w:val="20"/>
          <w:color w:val="auto"/>
        </w:rPr>
      </w:pPr>
    </w:p>
    <w:p>
      <w:pPr>
        <w:ind w:right="100" w:firstLine="555"/>
        <w:spacing w:after="0" w:line="293" w:lineRule="auto"/>
        <w:rPr>
          <w:sz w:val="20"/>
          <w:szCs w:val="20"/>
          <w:color w:val="auto"/>
        </w:rPr>
      </w:pPr>
      <w:r>
        <w:rPr>
          <w:rFonts w:ascii="Arial" w:cs="Arial" w:eastAsia="Arial" w:hAnsi="Arial"/>
          <w:sz w:val="16"/>
          <w:szCs w:val="16"/>
          <w:b w:val="1"/>
          <w:bCs w:val="1"/>
          <w:i w:val="1"/>
          <w:iCs w:val="1"/>
          <w:color w:val="auto"/>
        </w:rPr>
        <w:t>Lobby Entertainment Network</w:t>
      </w:r>
      <w:r>
        <w:rPr>
          <w:rFonts w:ascii="Arial" w:cs="Arial" w:eastAsia="Arial" w:hAnsi="Arial"/>
          <w:sz w:val="16"/>
          <w:szCs w:val="16"/>
          <w:color w:val="auto"/>
        </w:rPr>
        <w:t>—Our LEN is a network of video screens strategically located throughout the lobbies of all digitally equipped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founding members’ theaters, as well as the majority of our network affiliate theaters. As of December 29, 2016, our LEN had 3,029 screens in 1,505 theaters in our network. The LEN screens are placed in high-traffic locations such as concession stands, box offices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theater through our DCN, and the same program is displayed simultaneously on all lobby screens within a given theater, which we believe provides the maximum impact for our advertisers.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sell national and local advertising on the LEN individually or bundled with on-screen or other lobby promotions.</w:t>
      </w:r>
    </w:p>
    <w:p>
      <w:pPr>
        <w:spacing w:after="0" w:line="117" w:lineRule="exact"/>
        <w:rPr>
          <w:sz w:val="20"/>
          <w:szCs w:val="20"/>
          <w:color w:val="auto"/>
        </w:rPr>
      </w:pPr>
    </w:p>
    <w:p>
      <w:pPr>
        <w:ind w:right="180" w:firstLine="555"/>
        <w:spacing w:after="0" w:line="255" w:lineRule="auto"/>
        <w:rPr>
          <w:sz w:val="20"/>
          <w:szCs w:val="20"/>
          <w:color w:val="auto"/>
        </w:rPr>
      </w:pPr>
      <w:r>
        <w:rPr>
          <w:rFonts w:ascii="Arial" w:cs="Arial" w:eastAsia="Arial" w:hAnsi="Arial"/>
          <w:sz w:val="18"/>
          <w:szCs w:val="18"/>
          <w:color w:val="auto"/>
        </w:rPr>
        <w:t>The LEN programming includes up to two minutes for founding members’ advertisements to promote activities associated with the operation of the theaters, including concessions, ticketing partners, gift card and loyalty programs, special events presented by the theater operator and vendors of services provided to theaters, so long as such promotion is incidental to the vendor’s service. Additionally, subject to certain limitations, the LEN programming includes up to two minutes (one minute of which we provide to the founding members at no cost and one minute of which the founding members may purchase) to promote certain non-exclusive cross-marketing relationships entered into by the theater operators for the purpose of increasing theater attendance, which we call “strategic programs.”</w:t>
      </w:r>
    </w:p>
    <w:p>
      <w:pPr>
        <w:spacing w:after="0" w:line="85"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Under the terms of the ESAs, the founding members also have the right to install additional screens in their theater lobbies which would not display our LEN programming, but would be used to promote strategic programs or products sold in their theater concessions, bars and dining operations, ticketing partner promotions, gift card and loyalty programs, special events presented by the founding member and vendors of services provided to theaters, so long as such promotion is incidental to the vendor’s service.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 Promotions</w:t>
      </w:r>
    </w:p>
    <w:p>
      <w:pPr>
        <w:spacing w:after="0" w:line="121"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We also sell a wide variety of advertising and promotional products in theater lobbies. These products can be sold individually or bundled with on-screen, LEN, online or mobile advertising. Lobby promotions typically include:</w:t>
      </w:r>
    </w:p>
    <w:p>
      <w:pPr>
        <w:spacing w:after="0" w:line="62" w:lineRule="exact"/>
        <w:rPr>
          <w:sz w:val="20"/>
          <w:szCs w:val="20"/>
          <w:color w:val="auto"/>
        </w:rPr>
      </w:pPr>
    </w:p>
    <w:p>
      <w:pPr>
        <w:ind w:left="1620" w:hanging="39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advertising on concession items such as beverage cups, popcorn bags and kids’ trays;</w:t>
      </w:r>
    </w:p>
    <w:p>
      <w:pPr>
        <w:spacing w:after="0" w:line="23" w:lineRule="exact"/>
        <w:rPr>
          <w:rFonts w:ascii="Arial" w:cs="Arial" w:eastAsia="Arial" w:hAnsi="Arial"/>
          <w:sz w:val="18"/>
          <w:szCs w:val="18"/>
          <w:color w:val="auto"/>
        </w:rPr>
      </w:pPr>
    </w:p>
    <w:p>
      <w:pPr>
        <w:ind w:left="1620" w:right="60" w:hanging="396"/>
        <w:spacing w:after="0" w:line="250"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coupons and promotional materials, which are customizable by film and are distributed to ticket buyers at the box office or as they exit the theater;</w:t>
      </w:r>
    </w:p>
    <w:p>
      <w:pPr>
        <w:ind w:left="1620" w:hanging="39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tabling displays, product demonstrations and sampling;</w:t>
      </w:r>
    </w:p>
    <w:p>
      <w:pPr>
        <w:spacing w:after="0" w:line="9" w:lineRule="exact"/>
        <w:rPr>
          <w:rFonts w:ascii="Arial" w:cs="Arial" w:eastAsia="Arial" w:hAnsi="Arial"/>
          <w:sz w:val="18"/>
          <w:szCs w:val="18"/>
          <w:color w:val="auto"/>
        </w:rPr>
      </w:pPr>
    </w:p>
    <w:p>
      <w:pPr>
        <w:ind w:left="1620" w:hanging="39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touch-screen display units and kiosks; and</w:t>
      </w:r>
    </w:p>
    <w:p>
      <w:pPr>
        <w:spacing w:after="0" w:line="9" w:lineRule="exact"/>
        <w:rPr>
          <w:rFonts w:ascii="Arial" w:cs="Arial" w:eastAsia="Arial" w:hAnsi="Arial"/>
          <w:sz w:val="18"/>
          <w:szCs w:val="18"/>
          <w:color w:val="auto"/>
        </w:rPr>
      </w:pPr>
    </w:p>
    <w:p>
      <w:pPr>
        <w:ind w:left="1620" w:hanging="396"/>
        <w:spacing w:after="0"/>
        <w:tabs>
          <w:tab w:leader="none" w:pos="1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signage throughout the lobbies, including posters, banners, counter cards, danglers, floor mats, standees and window clings.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 w:name="page8"/>
    <w:bookmarkEnd w:id="7"/>
    <w:p>
      <w:pPr>
        <w:ind w:right="380" w:firstLine="555"/>
        <w:spacing w:after="0" w:line="308" w:lineRule="auto"/>
        <w:rPr>
          <w:sz w:val="20"/>
          <w:szCs w:val="20"/>
          <w:color w:val="auto"/>
        </w:rPr>
      </w:pPr>
      <w:r>
        <w:rPr>
          <w:rFonts w:ascii="Arial" w:cs="Arial" w:eastAsia="Arial" w:hAnsi="Arial"/>
          <w:sz w:val="17"/>
          <w:szCs w:val="17"/>
          <w:color w:val="auto"/>
        </w:rPr>
        <w:t>Under the terms of the ESAs, the founding members may conduct a limited number of lobby promotions at no charge in connection with strategic programs that promote motion pictures; however, such activities will not reduce the lobby promotions inventory available to us.</w:t>
      </w:r>
    </w:p>
    <w:p>
      <w:pPr>
        <w:spacing w:after="0" w:line="38"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Our ability to provide in-lobby marketing and promotional placements in conjunction with our cinema advertising products allows us to offer integrated marketing solutions to advertisers that provide multiple touchpoints with theater patrons throughout the movie-going experience, which we believe is a competitive advantage over other national media platforms.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Advertising</w:t>
      </w:r>
    </w:p>
    <w:p>
      <w:pPr>
        <w:spacing w:after="0" w:line="121" w:lineRule="exact"/>
        <w:rPr>
          <w:sz w:val="20"/>
          <w:szCs w:val="20"/>
          <w:color w:val="auto"/>
        </w:rPr>
      </w:pPr>
    </w:p>
    <w:p>
      <w:pPr>
        <w:ind w:right="160" w:firstLine="555"/>
        <w:spacing w:after="0" w:line="273" w:lineRule="auto"/>
        <w:rPr>
          <w:sz w:val="20"/>
          <w:szCs w:val="20"/>
          <w:color w:val="auto"/>
        </w:rPr>
      </w:pPr>
      <w:r>
        <w:rPr>
          <w:rFonts w:ascii="Arial" w:cs="Arial" w:eastAsia="Arial" w:hAnsi="Arial"/>
          <w:sz w:val="17"/>
          <w:szCs w:val="17"/>
          <w:color w:val="231F20"/>
        </w:rPr>
        <w:t xml:space="preserve">The </w:t>
      </w:r>
      <w:r>
        <w:rPr>
          <w:rFonts w:ascii="Arial" w:cs="Arial" w:eastAsia="Arial" w:hAnsi="Arial"/>
          <w:sz w:val="17"/>
          <w:szCs w:val="17"/>
          <w:i w:val="1"/>
          <w:iCs w:val="1"/>
          <w:color w:val="231F20"/>
        </w:rPr>
        <w:t>Cinema Accelerator</w:t>
      </w:r>
      <w:r>
        <w:rPr>
          <w:rFonts w:ascii="Arial" w:cs="Arial" w:eastAsia="Arial" w:hAnsi="Arial"/>
          <w:sz w:val="17"/>
          <w:szCs w:val="17"/>
          <w:color w:val="231F20"/>
        </w:rPr>
        <w:t xml:space="preserve"> digital product expands cinema advertising beyond the theater environment to reach digitally-connected moviegoers before and after the movie experience, both online and on mobile devices. </w:t>
      </w:r>
      <w:r>
        <w:rPr>
          <w:rFonts w:ascii="Arial" w:cs="Arial" w:eastAsia="Arial" w:hAnsi="Arial"/>
          <w:sz w:val="17"/>
          <w:szCs w:val="17"/>
          <w:i w:val="1"/>
          <w:iCs w:val="1"/>
          <w:color w:val="000000"/>
        </w:rPr>
        <w:t>Cinema Accelerator</w:t>
      </w:r>
      <w:r>
        <w:rPr>
          <w:rFonts w:ascii="Arial" w:cs="Arial" w:eastAsia="Arial" w:hAnsi="Arial"/>
          <w:sz w:val="17"/>
          <w:szCs w:val="17"/>
          <w:color w:val="231F20"/>
        </w:rPr>
        <w:t xml:space="preserve"> </w:t>
      </w:r>
      <w:r>
        <w:rPr>
          <w:rFonts w:ascii="Arial" w:cs="Arial" w:eastAsia="Arial" w:hAnsi="Arial"/>
          <w:sz w:val="17"/>
          <w:szCs w:val="17"/>
          <w:color w:val="000000"/>
        </w:rPr>
        <w:t>identifies moviegoers through exclusive first party data sources</w:t>
      </w:r>
      <w:r>
        <w:rPr>
          <w:rFonts w:ascii="Arial" w:cs="Arial" w:eastAsia="Arial" w:hAnsi="Arial"/>
          <w:sz w:val="17"/>
          <w:szCs w:val="17"/>
          <w:color w:val="231F20"/>
        </w:rPr>
        <w:t xml:space="preserve"> </w:t>
      </w:r>
      <w:r>
        <w:rPr>
          <w:rFonts w:ascii="Arial" w:cs="Arial" w:eastAsia="Arial" w:hAnsi="Arial"/>
          <w:sz w:val="17"/>
          <w:szCs w:val="17"/>
          <w:color w:val="000000"/>
        </w:rPr>
        <w:t>including geo-location services, beacons and transaction data for the moviegoers that enter the theaters in our network. Using the moviegoer as our filter, we can target specific demographics, genres or layer on other data to provide to our clients with a match against their target audience. Digital ads are then distributed through multiple channels, including online and mobile banners, online and mobile pre-roll video and Facebook newsfeeds to reach moviegoers wherever they may be seeking entertainment information and content.</w:t>
      </w:r>
    </w:p>
    <w:p>
      <w:pPr>
        <w:spacing w:after="0" w:line="70"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 xml:space="preserve">We sell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through a digital sales group that is embedded as part of our national and local sales organizations to enable collaborative, integrated selling.</w:t>
      </w:r>
    </w:p>
    <w:p>
      <w:pPr>
        <w:spacing w:after="0" w:line="62"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We believe that new digital products and revenue could be developed and additional in-theater advertisements could be sold as integrated marketing packages with digital offerings as discussed in “Business – Our Strategy”.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Network</w:t>
      </w:r>
    </w:p>
    <w:p>
      <w:pPr>
        <w:spacing w:after="0" w:line="121"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In-theater advertising and entertainment content is distributed across NCM LLC’s national theater network — the largest digital in-theater network in North America.</w:t>
      </w:r>
    </w:p>
    <w:p>
      <w:pPr>
        <w:spacing w:after="0" w:line="62"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 xml:space="preserve">Through the use of our proprietary DCN and Digital Content Software (“DCS”), we are able to schedule, deliver, play and reconcile advertising and entertainment content for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and the LEN on a national, regional, local, theater and auditorium level.</w:t>
      </w:r>
    </w:p>
    <w:p>
      <w:pPr>
        <w:spacing w:after="0" w:line="62"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color w:val="auto"/>
        </w:rPr>
        <w:t>Our DCN is the combination of a satellite distribution network and a terrestrial network, and we also employ a variety of technologies that “wrap” around the satellite process to help provide uninterrupted service to our network of theaters. The DCN is controlled by our Network Operations Center (“NOC”) located in our headquarters in Centennial, CO, which operates 24 hours a day, seven days a week to proactively monitor and manage approximately 670,000 alarm points and approximately 108,000 hardware devices in movie theaters throughout the country. Our NOC interfaces with our satellite provider network to dynamically control the quality, placement, timing of playback and completeness of content within specific auditoriums, and it also allows us to monitor and initiate repairs to the equipment in our digital network of theaters.</w:t>
      </w:r>
    </w:p>
    <w:p>
      <w:pPr>
        <w:spacing w:after="0" w:line="70"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 xml:space="preserve">Advertising and entertainment content for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and LEN is uploaded from our NOC and is then delivered via multicast technology to all theaters in our network and received by our theater management system, where it is held until displayed in specified theater auditoriums and lobbies according to contract terms. Each theater auditorium and lobby has a hardware and software architecture that controls the content to be shown. After the theater management system receives advertising/entertainment content, confirmation of content playback is returned via satellite to our NOC to be included in “post” reports provided to our advertising clients.</w:t>
      </w:r>
    </w:p>
    <w:p>
      <w:pPr>
        <w:spacing w:after="0" w:line="80"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 xml:space="preserve">More than 700 million moviegoers annually attend theaters that are currently under contract to present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and LEN programming, including the founding members and over 40 leading national and regional theater network affiliates. A summary of the screens and theaters in our advertising network is set forth in the table below:</w:t>
      </w: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Network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29,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Advertising Network</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960" w:type="dxa"/>
            <w:vAlign w:val="bottom"/>
            <w:tcBorders>
              <w:bottom w:val="single" w:sz="8" w:color="CFF0FC"/>
            </w:tcBorders>
          </w:tcPr>
          <w:p>
            <w:pPr>
              <w:spacing w:after="0"/>
              <w:rPr>
                <w:sz w:val="20"/>
                <w:szCs w:val="20"/>
                <w:color w:val="auto"/>
              </w:rPr>
            </w:pPr>
          </w:p>
        </w:tc>
        <w:tc>
          <w:tcPr>
            <w:tcW w:w="246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Theaters</w:t>
            </w:r>
          </w:p>
        </w:tc>
        <w:tc>
          <w:tcPr>
            <w:tcW w:w="2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7"/>
              </w:rPr>
              <w:t>Total Screens</w:t>
            </w:r>
          </w:p>
        </w:tc>
        <w:tc>
          <w:tcPr>
            <w:tcW w:w="22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CFF0FC"/>
            </w:tcBorders>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Members</w:t>
            </w:r>
          </w:p>
        </w:tc>
        <w:tc>
          <w:tcPr>
            <w:tcW w:w="2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Network Affiliates</w:t>
            </w:r>
          </w:p>
        </w:tc>
        <w:tc>
          <w:tcPr>
            <w:tcW w:w="2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3,526</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46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2960" w:type="dxa"/>
            <w:vAlign w:val="bottom"/>
            <w:vMerge w:val="continue"/>
            <w:shd w:val="clear" w:color="auto" w:fill="CFF0FC"/>
          </w:tcPr>
          <w:p>
            <w:pPr>
              <w:spacing w:after="0"/>
              <w:rPr>
                <w:sz w:val="19"/>
                <w:szCs w:val="19"/>
                <w:color w:val="auto"/>
              </w:rPr>
            </w:pPr>
          </w:p>
        </w:tc>
        <w:tc>
          <w:tcPr>
            <w:tcW w:w="246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0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20,548</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60" w:type="dxa"/>
            <w:vAlign w:val="bottom"/>
            <w:tcBorders>
              <w:top w:val="single" w:sz="8" w:color="CFF0FC"/>
            </w:tcBorders>
          </w:tcPr>
          <w:p>
            <w:pPr>
              <w:spacing w:after="0" w:line="20" w:lineRule="exact"/>
              <w:rPr>
                <w:sz w:val="1"/>
                <w:szCs w:val="1"/>
                <w:color w:val="auto"/>
              </w:rPr>
            </w:pPr>
          </w:p>
        </w:tc>
        <w:tc>
          <w:tcPr>
            <w:tcW w:w="2460" w:type="dxa"/>
            <w:vAlign w:val="bottom"/>
            <w:tcBorders>
              <w:top w:val="single" w:sz="8" w:color="CFF0FC"/>
              <w:bottom w:val="single" w:sz="8" w:color="CFF0FC"/>
            </w:tcBorders>
            <w:vMerge w:val="restart"/>
          </w:tcPr>
          <w:p>
            <w:pPr>
              <w:jc w:val="right"/>
              <w:ind w:right="730"/>
              <w:spacing w:after="0"/>
              <w:rPr>
                <w:sz w:val="20"/>
                <w:szCs w:val="20"/>
                <w:color w:val="auto"/>
              </w:rPr>
            </w:pPr>
            <w:r>
              <w:rPr>
                <w:rFonts w:ascii="Arial" w:cs="Arial" w:eastAsia="Arial" w:hAnsi="Arial"/>
                <w:sz w:val="18"/>
                <w:szCs w:val="18"/>
                <w:color w:val="auto"/>
              </w:rPr>
              <w:t>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8" w:name="page9"/>
    <w:bookmarkEnd w:id="8"/>
    <w:p>
      <w:pPr>
        <w:ind w:right="140" w:firstLine="555"/>
        <w:spacing w:after="0" w:line="257" w:lineRule="auto"/>
        <w:rPr>
          <w:sz w:val="20"/>
          <w:szCs w:val="20"/>
          <w:color w:val="auto"/>
        </w:rPr>
      </w:pPr>
      <w:r>
        <w:rPr>
          <w:rFonts w:ascii="Arial" w:cs="Arial" w:eastAsia="Arial" w:hAnsi="Arial"/>
          <w:sz w:val="18"/>
          <w:szCs w:val="18"/>
          <w:color w:val="auto"/>
        </w:rPr>
        <w:t xml:space="preserve">As of December 29, 2016,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was displayed on 100% of network movie screens using digital projectors, with approximately 98% of those screens receiving content through our DCN, representing approximately 98% of our total network attendance. As of December 29, 2016, 18,585, or 90%, of 20,548 total digital screens are equipped with more powerful digital cinema projectors, with the remainder comprised of LCD projectors. Those screens not connected to our DCN display national and regional advertisements on digital projectors with content delivered on USB drives that are shipped to the theaters via overnight delivery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We had 615 employees as of December 29, 2016. Our employees are located in our Centennial, Colorado headquarters, in our advertising sales offices in New York, Los Angeles, Chicago, and Detroit, and our software development office in Minneapolis. We also have many local advertising account executives and field maintenance technicians that work primarily from their homes throughout the U.S. None of our employees are covered by collective bargaining agreements. We believe that we have a good relationship with our employees.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Sales, Marketing, Research and Creative</w:t>
      </w:r>
      <w:r>
        <w:rPr>
          <w:rFonts w:ascii="Arial" w:cs="Arial" w:eastAsia="Arial" w:hAnsi="Arial"/>
          <w:sz w:val="16"/>
          <w:szCs w:val="16"/>
          <w:color w:val="auto"/>
        </w:rPr>
        <w:t>—We sell our in-theater and online advertising products through our national, local and regional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teams.</w:t>
      </w:r>
    </w:p>
    <w:p>
      <w:pPr>
        <w:spacing w:after="0" w:line="103"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As of December 29, 2016, we had 46 advertising sales and client development related personnel (including management and sales support staff) within our national sales group. During 2016, approximately 30% of the total compensation of the national sales staff was related to bonus or commission, which is based on achieving certain sales targets in order to enhance coordination and teamwork. Our national sales organization has proven to be profitable and scalable, as we have not added a significant number of sales personnel as our network has expanded. Our national sales staff is located in our sales offices in New York City, Woodland Hills, CA (outside Los Angeles), Chicago and Detroit.</w:t>
      </w:r>
    </w:p>
    <w:p>
      <w:pPr>
        <w:spacing w:after="0" w:line="64"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Our local and regional advertising sales staff, comprised of account directors and telesales representatives, is located throughout the country, with each covering an average of 112 screens per representative. Their responsibility is to sell cinema advertising to local clients as well as larger regional advertisers. During 2016, approximately 72% of the compensation for local sales staff was based on an individual sales commission on collected sales. As our network and local business grows, it may require the addition of sales personnel to cover the new markets or screens. As of December 29, 2016, we had 202 sales personnel (including management and sales support staff) within our local and regional sales groups, the majority of which work out of their homes located within the markets they sell.</w:t>
      </w:r>
    </w:p>
    <w:p>
      <w:pPr>
        <w:spacing w:after="0" w:line="85"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We market our advertising products through our marketing group located primarily in our New York City sales office. We aggressively market and sell directly to clients as well as advertising agencies, including our participation in the television upfront advertising selling process (the “Upfront”), which is launched each year with a presentation to clients and advertising agencies in New York City during the main TV Upfront week. Based on the success of our Upfront efforts, we believe that we are capturing additional market share from traditional advertising media platforms such as broadcast and cable television. We also believe that enhanced research regarding cinema advertising and expanded analytics about our network has aided our sales efforts by providing our customers with compelling statistical evidence of the superiority of our cinema advertising products relative to other advertising mediums based on metrics such as brand recognition, message recall, and likeability which can enable them to target their customers. Our research team conducts our own proprietary studies, and we also commission third-party market research to assist our sales team. We also promote our advertising products through public relations, social media and advertising in national trade publications. As of December 29, 2016, this team had 34 personnel based primarily in New York that focus on the marketing, research, public relations and corporate development aspects of our business.</w:t>
      </w:r>
    </w:p>
    <w:p>
      <w:pPr>
        <w:spacing w:after="0" w:line="70" w:lineRule="exact"/>
        <w:rPr>
          <w:sz w:val="20"/>
          <w:szCs w:val="20"/>
          <w:color w:val="auto"/>
        </w:rPr>
      </w:pPr>
    </w:p>
    <w:p>
      <w:pPr>
        <w:ind w:right="40" w:firstLine="555"/>
        <w:spacing w:after="0" w:line="289" w:lineRule="auto"/>
        <w:rPr>
          <w:sz w:val="20"/>
          <w:szCs w:val="20"/>
          <w:color w:val="auto"/>
        </w:rPr>
      </w:pPr>
      <w:r>
        <w:rPr>
          <w:rFonts w:ascii="Arial" w:cs="Arial" w:eastAsia="Arial" w:hAnsi="Arial"/>
          <w:sz w:val="16"/>
          <w:szCs w:val="16"/>
          <w:color w:val="auto"/>
        </w:rPr>
        <w:t xml:space="preserve">Our media and creative services department, based primarily in our Centennial, CO headquarters, uses state-of-the-art proprietary and non-proprietary technologies and practices to ensure the highest possible cinematic image and sound quality for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LEN programming distributed over our network. We provide a full spectrum of 2-D and 3-D production and post-production services to our advertising clients on a per contract fee basis, or as part of their advertising commitment, including audio enhancements, color correction and noise reduction. We believe that our expertise in creating and optimizing content for cinema playback within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has been instrumental in our ability to provide a better experience for movie audiences, as well as enhances our ability to attract and retain our on-screen advertising clients and build and retain relationships with network affiliates. For national clients, our expertise in cinematic production and our ability to tailor advertisements developed for television, online or mobile to the high-definition cinema playback format required for the big screen allows our media team to use existing advertising creative, making it easier to add cinema to their media mix. For local clients, our ability to serve as a creative agency and develop full sight, sound and motion high-definition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9" w:name="page10"/>
    <w:bookmarkEnd w:id="9"/>
    <w:p>
      <w:pPr>
        <w:ind w:right="100"/>
        <w:spacing w:after="0" w:line="259" w:lineRule="auto"/>
        <w:rPr>
          <w:sz w:val="20"/>
          <w:szCs w:val="20"/>
          <w:color w:val="auto"/>
        </w:rPr>
      </w:pPr>
      <w:r>
        <w:rPr>
          <w:rFonts w:ascii="Arial" w:cs="Arial" w:eastAsia="Arial" w:hAnsi="Arial"/>
          <w:sz w:val="18"/>
          <w:szCs w:val="18"/>
          <w:color w:val="auto"/>
        </w:rPr>
        <w:t>cinema advertisements to meet their needs and budget reduces a significant barrier to entry for smaller businesses. During 2016, we produced and performed post-production services for approximately 41% of the local advertisements that played across our network. The founding members also engage us for the production of their on-screen concession product advertisements and policy trailers. As of December 29, 2016, we had 59 personnel that focused on the media, production and creative services aspects of our business.</w:t>
      </w:r>
    </w:p>
    <w:p>
      <w:pPr>
        <w:spacing w:after="0" w:line="79"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b w:val="1"/>
          <w:bCs w:val="1"/>
          <w:i w:val="1"/>
          <w:iCs w:val="1"/>
          <w:color w:val="auto"/>
        </w:rPr>
        <w:t>Operations and Planning</w:t>
      </w:r>
      <w:r>
        <w:rPr>
          <w:rFonts w:ascii="Arial" w:cs="Arial" w:eastAsia="Arial" w:hAnsi="Arial"/>
          <w:sz w:val="18"/>
          <w:szCs w:val="18"/>
          <w:color w:val="auto"/>
        </w:rPr>
        <w:t>—As of December 29, 2016, we had 109 personnel based primarily in our Centennial, CO headquarters that focused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operations, planning and network operations aspects of our business.</w:t>
      </w:r>
    </w:p>
    <w:p>
      <w:pPr>
        <w:spacing w:after="0" w:line="62"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b w:val="1"/>
          <w:bCs w:val="1"/>
          <w:i w:val="1"/>
          <w:iCs w:val="1"/>
          <w:color w:val="auto"/>
        </w:rPr>
        <w:t>Enterprise Information Systems, Finance, Legal, People &amp; Organization, Affiliate Partnerships and Administration</w:t>
      </w:r>
      <w:r>
        <w:rPr>
          <w:rFonts w:ascii="Arial" w:cs="Arial" w:eastAsia="Arial" w:hAnsi="Arial"/>
          <w:sz w:val="18"/>
          <w:szCs w:val="18"/>
          <w:color w:val="auto"/>
        </w:rPr>
        <w:t>—As of December 29,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had 165 personnel based primarily in our Centennial, CO headquarters that focused on the Enterprise Information Systems, Finance, Legal, People &amp; Organization (human resources), Affiliate Partnerships and Administration aspects of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60" w:firstLine="407"/>
        <w:spacing w:after="0" w:line="279" w:lineRule="auto"/>
        <w:rPr>
          <w:sz w:val="20"/>
          <w:szCs w:val="20"/>
          <w:color w:val="auto"/>
        </w:rPr>
      </w:pPr>
      <w:r>
        <w:rPr>
          <w:rFonts w:ascii="Arial" w:cs="Arial" w:eastAsia="Arial" w:hAnsi="Arial"/>
          <w:sz w:val="17"/>
          <w:szCs w:val="17"/>
          <w:color w:val="auto"/>
        </w:rPr>
        <w:t>Our advertising business competes in the estimated $191 billion U.S. advertising industry with many other forms of marketing media, including television, radio, print, internet, mobile and outdoor display advertising. While cinema advertising represents a small portion of the overall advertising industry today, we believe it is well positioned to capitalize on the shift of advertising spending away from traditional media, in particular television where consumers can skip advertisements through DVRs and other new digital technology, to newer and more targeted forms of media.</w:t>
      </w:r>
    </w:p>
    <w:p>
      <w:pPr>
        <w:spacing w:after="0" w:line="63" w:lineRule="exact"/>
        <w:rPr>
          <w:sz w:val="20"/>
          <w:szCs w:val="20"/>
          <w:color w:val="auto"/>
        </w:rPr>
      </w:pPr>
    </w:p>
    <w:p>
      <w:pPr>
        <w:ind w:right="120" w:firstLine="407"/>
        <w:spacing w:after="0" w:line="259" w:lineRule="auto"/>
        <w:rPr>
          <w:sz w:val="20"/>
          <w:szCs w:val="20"/>
          <w:color w:val="auto"/>
        </w:rPr>
      </w:pPr>
      <w:r>
        <w:rPr>
          <w:rFonts w:ascii="Arial" w:cs="Arial" w:eastAsia="Arial" w:hAnsi="Arial"/>
          <w:sz w:val="18"/>
          <w:szCs w:val="18"/>
          <w:color w:val="auto"/>
        </w:rPr>
        <w:t>Our advertising business also competes with many other providers of cinema advertising, which vary substantially in size. As the largest cinema advertising network in the U.S., we believe that we are able to generate economies of scale, operating efficiencies and enhanced opportunities for our clients to reach an engaged movie audience on both a national and local level that allow us to better compete for premium video dollars in the larger advertising marketplace.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several strengths position us well to compete in an increasingly fragmented media landscape.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Superior National Advertising Network</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We believe that our cinema advertising network is an attractive option for marketers on both a national and local level, and delivers measurable results for our clients that are comparable, and indeed superior, to the television, online and mobile, or other video advertising networks that we compete against in the marketplace.</w:t>
      </w:r>
    </w:p>
    <w:p>
      <w:pPr>
        <w:spacing w:after="0" w:line="73" w:lineRule="exact"/>
        <w:rPr>
          <w:sz w:val="20"/>
          <w:szCs w:val="20"/>
          <w:color w:val="auto"/>
        </w:rPr>
      </w:pPr>
    </w:p>
    <w:p>
      <w:pPr>
        <w:jc w:val="both"/>
        <w:ind w:right="200" w:firstLine="555"/>
        <w:spacing w:after="0" w:line="286" w:lineRule="auto"/>
        <w:rPr>
          <w:sz w:val="20"/>
          <w:szCs w:val="20"/>
          <w:color w:val="auto"/>
        </w:rPr>
      </w:pPr>
      <w:r>
        <w:rPr>
          <w:rFonts w:ascii="Arial" w:cs="Arial" w:eastAsia="Arial" w:hAnsi="Arial"/>
          <w:sz w:val="17"/>
          <w:szCs w:val="17"/>
          <w:b w:val="1"/>
          <w:bCs w:val="1"/>
          <w:i w:val="1"/>
          <w:iCs w:val="1"/>
          <w:color w:val="auto"/>
        </w:rPr>
        <w:t>Extensive National Market Coverage</w:t>
      </w:r>
      <w:r>
        <w:rPr>
          <w:rFonts w:ascii="Arial" w:cs="Arial" w:eastAsia="Arial" w:hAnsi="Arial"/>
          <w:sz w:val="17"/>
          <w:szCs w:val="17"/>
          <w:color w:val="auto"/>
        </w:rPr>
        <w:t>—Our contractual agreements with the founding members and network affiliates provide long-term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 (subject to limited exceptions) to sell cinema advertising across the largest network of digitally-equipped theaters in the U.S. This allows us to offer advertisers the broad reach and national scale that they need in an increasingly fragmented media marketplace.</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29, 2016:</w:t>
      </w:r>
    </w:p>
    <w:p>
      <w:pPr>
        <w:spacing w:after="0" w:line="23" w:lineRule="exact"/>
        <w:rPr>
          <w:sz w:val="20"/>
          <w:szCs w:val="20"/>
          <w:color w:val="auto"/>
        </w:rPr>
      </w:pPr>
    </w:p>
    <w:p>
      <w:pPr>
        <w:ind w:left="1520" w:right="380" w:hanging="405"/>
        <w:spacing w:after="0" w:line="250"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advertising network consisted of 20,548 screens (17,022 operated by the founding members) located in 1,622 theaters (1,274 operated by the founding members) in 48 states and the District of Columbia, including each of the top 25 and 50 DMAs®, and 189 DMAs® in total;</w:t>
      </w:r>
    </w:p>
    <w:p>
      <w:pPr>
        <w:spacing w:after="0" w:line="1" w:lineRule="exact"/>
        <w:rPr>
          <w:rFonts w:ascii="Arial" w:cs="Arial" w:eastAsia="Arial" w:hAnsi="Arial"/>
          <w:sz w:val="18"/>
          <w:szCs w:val="18"/>
          <w:color w:val="auto"/>
        </w:rPr>
      </w:pPr>
    </w:p>
    <w:p>
      <w:pPr>
        <w:ind w:left="1520" w:right="80" w:hanging="405"/>
        <w:spacing w:after="0" w:line="250"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73% of our screens (77% of our attendance) were located within the top 50 U.S. DMAs</w:t>
      </w:r>
      <w:r>
        <w:rPr>
          <w:rFonts w:ascii="Arial" w:cs="Arial" w:eastAsia="Arial" w:hAnsi="Arial"/>
          <w:sz w:val="15"/>
          <w:szCs w:val="15"/>
          <w:color w:val="auto"/>
        </w:rPr>
        <w:t>®</w:t>
      </w:r>
      <w:r>
        <w:rPr>
          <w:rFonts w:ascii="Arial" w:cs="Arial" w:eastAsia="Arial" w:hAnsi="Arial"/>
          <w:sz w:val="18"/>
          <w:szCs w:val="18"/>
          <w:color w:val="auto"/>
        </w:rPr>
        <w:t xml:space="preserve"> and approximately 32% of our screens (37% of our attendance) were located within the top 10 U.S. DMAs</w:t>
      </w:r>
      <w:r>
        <w:rPr>
          <w:rFonts w:ascii="Arial" w:cs="Arial" w:eastAsia="Arial" w:hAnsi="Arial"/>
          <w:sz w:val="15"/>
          <w:szCs w:val="15"/>
          <w:color w:val="auto"/>
        </w:rPr>
        <w:t>®</w:t>
      </w:r>
      <w:r>
        <w:rPr>
          <w:rFonts w:ascii="Arial" w:cs="Arial" w:eastAsia="Arial" w:hAnsi="Arial"/>
          <w:sz w:val="18"/>
          <w:szCs w:val="18"/>
          <w:color w:val="auto"/>
        </w:rPr>
        <w:t>. Theaters within our network represented approximately 70%, 68%, and 66% of the total theater attendance in theaters that present advertising in the top 10, top 25 and top 50 U.S. DMAs</w:t>
      </w:r>
      <w:r>
        <w:rPr>
          <w:rFonts w:ascii="Arial" w:cs="Arial" w:eastAsia="Arial" w:hAnsi="Arial"/>
          <w:sz w:val="15"/>
          <w:szCs w:val="15"/>
          <w:color w:val="auto"/>
        </w:rPr>
        <w:t>®</w:t>
      </w:r>
      <w:r>
        <w:rPr>
          <w:rFonts w:ascii="Arial" w:cs="Arial" w:eastAsia="Arial" w:hAnsi="Arial"/>
          <w:sz w:val="18"/>
          <w:szCs w:val="18"/>
          <w:color w:val="auto"/>
        </w:rPr>
        <w:t>, respectively and 63% for all DMAs</w:t>
      </w:r>
      <w:r>
        <w:rPr>
          <w:rFonts w:ascii="Arial" w:cs="Arial" w:eastAsia="Arial" w:hAnsi="Arial"/>
          <w:sz w:val="15"/>
          <w:szCs w:val="15"/>
          <w:color w:val="auto"/>
        </w:rPr>
        <w:t>®</w:t>
      </w:r>
      <w:r>
        <w:rPr>
          <w:rFonts w:ascii="Arial" w:cs="Arial" w:eastAsia="Arial" w:hAnsi="Arial"/>
          <w:sz w:val="18"/>
          <w:szCs w:val="18"/>
          <w:color w:val="auto"/>
        </w:rPr>
        <w:t>, providing a very attractive platform for national advertisers who want exposure in larger markets or on a national basis;</w:t>
      </w:r>
    </w:p>
    <w:p>
      <w:pPr>
        <w:spacing w:after="0" w:line="2" w:lineRule="exact"/>
        <w:rPr>
          <w:rFonts w:ascii="Arial" w:cs="Arial" w:eastAsia="Arial" w:hAnsi="Arial"/>
          <w:sz w:val="18"/>
          <w:szCs w:val="18"/>
          <w:color w:val="auto"/>
        </w:rPr>
      </w:pPr>
    </w:p>
    <w:p>
      <w:pPr>
        <w:ind w:left="1520" w:right="40" w:hanging="405"/>
        <w:spacing w:after="0" w:line="281" w:lineRule="auto"/>
        <w:tabs>
          <w:tab w:leader="none" w:pos="1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total annual network theater attendance was approximately 688.8 million (586.2 million from the founding members), which decreased 0.8% compared to 2015. Our network of modern theaters represented approximately 57% of the total U.S. theater attendance, with some of the most highly attended theaters in the industry, as measured by screens per location and attendance per screen;</w:t>
      </w:r>
    </w:p>
    <w:p>
      <w:pPr>
        <w:spacing w:after="0" w:line="2" w:lineRule="exact"/>
        <w:rPr>
          <w:rFonts w:ascii="Arial" w:cs="Arial" w:eastAsia="Arial" w:hAnsi="Arial"/>
          <w:sz w:val="16"/>
          <w:szCs w:val="16"/>
          <w:color w:val="auto"/>
        </w:rPr>
      </w:pPr>
    </w:p>
    <w:p>
      <w:pPr>
        <w:jc w:val="both"/>
        <w:ind w:left="1520" w:right="200" w:hanging="405"/>
        <w:spacing w:after="0" w:line="302" w:lineRule="auto"/>
        <w:tabs>
          <w:tab w:leader="none" w:pos="1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average screens per theater in our network was 12.7 screens, 1.8 times the U.S. theater industry average, and the aggregate annual attendance per screen of theaters included in our network during 2016 was 33,523, versus the U.S. theater industry average attendance per indoor screen of 32,893, using metrics reported by the National Association of Theatre Owners (“NATO”).</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ind w:right="20" w:firstLine="555"/>
        <w:spacing w:after="0" w:line="271" w:lineRule="auto"/>
        <w:rPr>
          <w:sz w:val="20"/>
          <w:szCs w:val="20"/>
          <w:color w:val="auto"/>
        </w:rPr>
      </w:pPr>
      <w:r>
        <w:rPr>
          <w:rFonts w:ascii="Arial" w:cs="Arial" w:eastAsia="Arial" w:hAnsi="Arial"/>
          <w:sz w:val="17"/>
          <w:szCs w:val="17"/>
          <w:b w:val="1"/>
          <w:bCs w:val="1"/>
          <w:i w:val="1"/>
          <w:iCs w:val="1"/>
          <w:color w:val="auto"/>
        </w:rPr>
        <w:t>Scalable, State-of-the-Art Digital Content Distribution Technology</w:t>
      </w:r>
      <w:r>
        <w:rPr>
          <w:rFonts w:ascii="Arial" w:cs="Arial" w:eastAsia="Arial" w:hAnsi="Arial"/>
          <w:sz w:val="17"/>
          <w:szCs w:val="17"/>
          <w:color w:val="auto"/>
        </w:rPr>
        <w:t>—Our use of the combination of satellite and terrestrial network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combined with the design and functionality of our DCS and NOC infrastructure, makes our network efficient and scalable and also allows us to target specific audiences and provide advertising scheduling flexibility and reporting. We have also focused our efforts on shortening lead times through our Turbo initiative to accelerate the delivery time of media from proposal to on-screen across our network of movie theaters nationwide. While we had been able to offer this to national clients previously, this has also allowed us to shorten the lead-times for local and regional advertisers to run their ads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to less than 72 hours from proposal to delivery of the ad on screen (comparable to TV), which is a significant improvement over the cinema industry’s traditional turn-around time frame and gives businesses that rely on time-sensitive promotional advertising strategies, such as car dealerships, retail stores and Quick Service Restaurants (“QSR”), the opportunity to take advantage of the power of cinema.</w:t>
      </w:r>
    </w:p>
    <w:p>
      <w:pPr>
        <w:spacing w:after="0" w:line="71"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This scalability of our distribution technology has allowed us to expand our cinema advertising network with minimal additional capital expenditures or personnel, and we expect to benefit from this scalability in the future as we add new theaters from the founding members, our existing network affiliate relationships and the addition of new network affiliates.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Millennials, Content and Data</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 xml:space="preserve">We believe that the Millennial audiences (age 18-34) in our network of theaters, the premium content of Hollywood films and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and the advances we have made in cinema advertising data all give us a competitive advantage in the media marketplace.</w:t>
      </w:r>
    </w:p>
    <w:p>
      <w:pPr>
        <w:spacing w:after="0" w:line="62" w:lineRule="exact"/>
        <w:rPr>
          <w:sz w:val="20"/>
          <w:szCs w:val="20"/>
          <w:color w:val="auto"/>
        </w:rPr>
      </w:pPr>
    </w:p>
    <w:p>
      <w:pPr>
        <w:ind w:right="140" w:firstLine="555"/>
        <w:spacing w:after="0" w:line="276" w:lineRule="auto"/>
        <w:rPr>
          <w:sz w:val="20"/>
          <w:szCs w:val="20"/>
          <w:color w:val="auto"/>
        </w:rPr>
      </w:pPr>
      <w:r>
        <w:rPr>
          <w:rFonts w:ascii="Arial" w:cs="Arial" w:eastAsia="Arial" w:hAnsi="Arial"/>
          <w:sz w:val="17"/>
          <w:szCs w:val="17"/>
          <w:b w:val="1"/>
          <w:bCs w:val="1"/>
          <w:i w:val="1"/>
          <w:iCs w:val="1"/>
          <w:color w:val="auto"/>
        </w:rPr>
        <w:t>Access to a Highly Attractive, Engaged Audience</w:t>
      </w:r>
      <w:r>
        <w:rPr>
          <w:rFonts w:ascii="Arial" w:cs="Arial" w:eastAsia="Arial" w:hAnsi="Arial"/>
          <w:sz w:val="17"/>
          <w:szCs w:val="17"/>
          <w:color w:val="auto"/>
        </w:rPr>
        <w:t>—We offer advertisers the ability to reach highly-coveted target demographics, including young,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affluent, and educated moviegoers. According to Nielsen Cinema Audience Reports for 2016, 54% of the NCM LLC audience were between the ages of 12-34 and our Millennial movie-going audience (age 18-34) grew over 16% in 2015, compared to 2014 and was up 4% in 2016. Further, 38% of NCM LLC moviegoers have a household income greater than $100,000 (versus 28% of the general population) and 37% have received a Bachelor’s degree or higher (versus 29% of the general population) according to the 2016 Doublebase GfK MRI Study.</w:t>
      </w:r>
    </w:p>
    <w:p>
      <w:pPr>
        <w:spacing w:after="0" w:line="64" w:lineRule="exact"/>
        <w:rPr>
          <w:sz w:val="20"/>
          <w:szCs w:val="20"/>
          <w:color w:val="auto"/>
        </w:rPr>
      </w:pPr>
    </w:p>
    <w:p>
      <w:pPr>
        <w:jc w:val="both"/>
        <w:ind w:right="80" w:firstLine="555"/>
        <w:spacing w:after="0" w:line="259" w:lineRule="auto"/>
        <w:rPr>
          <w:sz w:val="20"/>
          <w:szCs w:val="20"/>
          <w:color w:val="auto"/>
        </w:rPr>
      </w:pPr>
      <w:r>
        <w:rPr>
          <w:rFonts w:ascii="Arial" w:cs="Arial" w:eastAsia="Arial" w:hAnsi="Arial"/>
          <w:sz w:val="18"/>
          <w:szCs w:val="18"/>
          <w:color w:val="auto"/>
        </w:rPr>
        <w:t>Because of the impact of cinema’s state-of-the-art immersive video and audio presentation, we also believe that movie audiences are highly engaged with the advertising and entertainment content that they view in our distraction-free theater environment. According to industry research, cinema advertising has significantly higher recall rates than advertising shown on television. And, cinema is one of the few advertising mediums where the ability to skip or turn off the marketing messages is limited.</w:t>
      </w:r>
    </w:p>
    <w:p>
      <w:pPr>
        <w:spacing w:after="0" w:line="79" w:lineRule="exact"/>
        <w:rPr>
          <w:sz w:val="20"/>
          <w:szCs w:val="20"/>
          <w:color w:val="auto"/>
        </w:rPr>
      </w:pPr>
    </w:p>
    <w:p>
      <w:pPr>
        <w:ind w:right="40" w:firstLine="407"/>
        <w:spacing w:after="0" w:line="273" w:lineRule="auto"/>
        <w:rPr>
          <w:sz w:val="20"/>
          <w:szCs w:val="20"/>
          <w:color w:val="auto"/>
        </w:rPr>
      </w:pPr>
      <w:r>
        <w:rPr>
          <w:rFonts w:ascii="Arial" w:cs="Arial" w:eastAsia="Arial" w:hAnsi="Arial"/>
          <w:sz w:val="17"/>
          <w:szCs w:val="17"/>
          <w:b w:val="1"/>
          <w:bCs w:val="1"/>
          <w:i w:val="1"/>
          <w:iCs w:val="1"/>
          <w:color w:val="auto"/>
        </w:rPr>
        <w:t>Innovative, Branded Pre-Feature Content</w:t>
      </w:r>
      <w:r>
        <w:rPr>
          <w:rFonts w:ascii="Arial" w:cs="Arial" w:eastAsia="Arial" w:hAnsi="Arial"/>
          <w:sz w:val="17"/>
          <w:szCs w:val="17"/>
          <w:color w:val="auto"/>
        </w:rPr>
        <w:t>—The film content created by Hollywood studios is considered by many to be the finest entertainment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content in the world, which creates a highly-desirable advertising environment for brands. We believe that our entertainment and advertising pre-feature program,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provides a high-quality entertainment experience for theater audiences and an effective marketing platform for advertisers. By partnering with leading media, entertainment, technology and other companies, we are able to provide better original content for our audience and more impact for the advertiser. Because we offer local and national “pods” within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we are consistent with the placement of ads on television networks, which allows us to be more easily integrated into traditional sight-sound-and-motion media buys.</w:t>
      </w:r>
    </w:p>
    <w:p>
      <w:pPr>
        <w:spacing w:after="0" w:line="70" w:lineRule="exact"/>
        <w:rPr>
          <w:sz w:val="20"/>
          <w:szCs w:val="20"/>
          <w:color w:val="auto"/>
        </w:rPr>
      </w:pPr>
    </w:p>
    <w:p>
      <w:pPr>
        <w:ind w:right="120" w:firstLine="407"/>
        <w:spacing w:after="0" w:line="293" w:lineRule="auto"/>
        <w:rPr>
          <w:sz w:val="20"/>
          <w:szCs w:val="20"/>
          <w:color w:val="auto"/>
        </w:rPr>
      </w:pPr>
      <w:r>
        <w:rPr>
          <w:rFonts w:ascii="Arial" w:cs="Arial" w:eastAsia="Arial" w:hAnsi="Arial"/>
          <w:sz w:val="16"/>
          <w:szCs w:val="16"/>
          <w:b w:val="1"/>
          <w:bCs w:val="1"/>
          <w:i w:val="1"/>
          <w:iCs w:val="1"/>
          <w:color w:val="auto"/>
        </w:rPr>
        <w:t>Superior Audience Measurability and Targeting</w:t>
      </w:r>
      <w:r>
        <w:rPr>
          <w:rFonts w:ascii="Arial" w:cs="Arial" w:eastAsia="Arial" w:hAnsi="Arial"/>
          <w:sz w:val="16"/>
          <w:szCs w:val="16"/>
          <w:color w:val="auto"/>
        </w:rPr>
        <w:t>—As with many other advertising mediums, we are measured by third-party research companies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 Nielsen Holdings PLC that provide us with the percentage of the total attendance in their seats at various times during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What differentiates us from other advertising mediums, however, is that we also receive monthly attendance information by film, by rating and by screen for all of the founding member theaters and the theaters operated by our network affiliates, which allows us to report the actual audience size for each showing of a film, including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We believe that the ability to provide this level of detailed information to our clients gives us a distinct competitive advantage over traditional media platforms whose measurement is based only on extrapolations of a very small sample of the total audience.</w:t>
      </w:r>
    </w:p>
    <w:p>
      <w:pPr>
        <w:spacing w:after="0" w:line="57"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During 2016, we continued to invest in our inventory management systems to expand our ability to target audiences by film genre. Our Cinema Audience Targeting Optimizer (“CATO”) now allows advertisers to go beyond targeting by the Motion Picture Association of America (“MPAA”) rating (G/PG, PG13 and R) to build media schedules at the film and genre level, more effectively targeting a brand’s key audience by matching it to the movie titles and/or genres that can best deliver that audience in a given campaign schedule.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200" w:firstLine="555"/>
        <w:spacing w:after="0" w:line="259" w:lineRule="auto"/>
        <w:rPr>
          <w:sz w:val="20"/>
          <w:szCs w:val="20"/>
          <w:color w:val="auto"/>
        </w:rPr>
      </w:pPr>
      <w:r>
        <w:rPr>
          <w:rFonts w:ascii="Arial" w:cs="Arial" w:eastAsia="Arial" w:hAnsi="Arial"/>
          <w:sz w:val="18"/>
          <w:szCs w:val="18"/>
          <w:color w:val="auto"/>
        </w:rPr>
        <w:t>In 2016, we also began the development of our cloud-based Data Management Platform (“DMP”) which we believe will allow us to provide even more robust campaign data and analytics to our clients. To further enhance the connection between brands and movie audiences, we will also be filtering media schedules through our new DMP – the first of its kind in the cinema industry – which will allow us to offer transaction-based insights, better targeted campaigns and closed-loop return on investment.</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Integrated Marketing Products</w:t>
      </w:r>
    </w:p>
    <w:p>
      <w:pPr>
        <w:spacing w:after="0" w:line="121"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Our ability to bundle our on-screen advertising opportunities with integrated lobby, online and mobile marketing products allow us to offer advertisers multiple touchpoints to reach movie audiences before, during and after the film to execute true 360-degree marketing programs. We believe these multiple marketing impressions throughout the entire entertainment experience allows our advertisers to extend the exposure for their brands and products and create a more engaging relationship with the consumer that is not available with broadcast or cable television or traditional display advertising.</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Contractual Theater Circuit Partner and Advertiser Relationships</w:t>
      </w:r>
    </w:p>
    <w:p>
      <w:pPr>
        <w:spacing w:after="0" w:line="121"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Our exclusive multi-year contractual relationships with our founding members and network affiliates allow us to offer advertisers a national network with the scale, flexibility and targeting to meet their marketing needs. Our exclusive multi-year contractual relationships with our content partners and PSA sponsors, as well as our agreements to satisfy the founding members’ on-screen marketing obligations to their beverage concessionaires, provide us with a significant upfront revenue commitment, accounting for approximately 30% of our total revenue for the year ended December 29, 2016. In addition, our participation in the annual advertising Upfront marketplace has allowed us to secure significant annual upfront commitments from national advertisers looking to secure premium cinema inventory.</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Strong Operating Margins with Limited Capital Requirements</w:t>
      </w:r>
    </w:p>
    <w:p>
      <w:pPr>
        <w:spacing w:after="0" w:line="121"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Our annual Adjusted OIBDA margins have been consistently strong, ranging from approximately 49% to 52% over the last five years. (Refer to “Item 6. Selected Financial Data-Notes to the Selected Historical Financial and Operating Data” for a discussion of the calculation of Adjusted OIBDA margin, which is a non-GAAP financial measure, and the reconciliation to operating income.) In addition, the founding members and their Digital Cinema Integration Partners, LLC (“DCIP”) joint venture have invested substantial capital to deploy, expand and upgrade the network equipment within their theaters including the recent deployment of the newer and higher quality digital cinema equipment. Due to the network equipment investments made by the founding members and network affiliates (in some cases through the DCIP digital cinema implementation joint venture) in new and acquired theaters and the requirements in the ESAs for the founding members to make future investments for equipment replacements, and the scalable nature of our NOC and other infrastructure, we do not expect to make major capital investments to grow our operations as our network of theaters expands.</w:t>
      </w:r>
    </w:p>
    <w:p>
      <w:pPr>
        <w:spacing w:after="0" w:line="58"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Our capital expenditures have ranged from approximately 2% to 3% of revenues over the last five years. For the year ended December 29, 2016, our capital expenditures were $13.3 million, of which only $1.1 million primarily related to investments in network equipment to add new network affiliate theaters. We believe our expected level of Adjusted OIBDA and capital expenditures should provide us with the strategic and financial flexibility to pursue the further expansion of our national theater network, invest in other growth opportunities and continue to make dividend payments to our stockholders.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80" w:firstLine="555"/>
        <w:spacing w:after="0" w:line="342" w:lineRule="auto"/>
        <w:rPr>
          <w:sz w:val="20"/>
          <w:szCs w:val="20"/>
          <w:color w:val="auto"/>
        </w:rPr>
      </w:pPr>
      <w:r>
        <w:rPr>
          <w:rFonts w:ascii="Arial" w:cs="Arial" w:eastAsia="Arial" w:hAnsi="Arial"/>
          <w:sz w:val="16"/>
          <w:szCs w:val="16"/>
          <w:color w:val="auto"/>
        </w:rPr>
        <w:t>We are continuing to pursue a growth strategy that involves growing our network affiliate partnerships, growing on-screen revenue, expanding digital product offerings, ensuring that we are the first choice for our customers, developing our people and capabilities, and allocating resources to strategy.</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Grow the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focus on growing our business in the following strategic ways.</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b w:val="1"/>
          <w:bCs w:val="1"/>
          <w:i w:val="1"/>
          <w:iCs w:val="1"/>
          <w:color w:val="auto"/>
        </w:rPr>
        <w:t>Grow Affiliate Partnerships</w:t>
      </w:r>
      <w:r>
        <w:rPr>
          <w:rFonts w:ascii="Arial" w:cs="Arial" w:eastAsia="Arial" w:hAnsi="Arial"/>
          <w:sz w:val="18"/>
          <w:szCs w:val="18"/>
          <w:color w:val="auto"/>
        </w:rPr>
        <w:t>—Our relationships with our exhibitors are a key and renewed focus of our business. In 2016, we created a new Affiliate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team dedicated to serving the needs of our founding member theater circuits and our more than 40 network affiliates nationwide. We continuously seek to expand our theater circuit customer base and add new network affiliate partners to our network that will allow us to increase our revenue by increasing the number of impressions we have available to sell to advertisers. It is also important to note that, under the terms of the ESAs and common unit adjustment agreement with the founding members and our network affiliate agreements, all new theaters built or acquired (subject to existing advertising sales agreements) by the founding members or network affiliates will become part of our network. Since NCM Inc.’s February 2007 IPO, the founding members have added approximately 4,000 net new</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ind w:right="20"/>
        <w:spacing w:after="0" w:line="259" w:lineRule="auto"/>
        <w:rPr>
          <w:sz w:val="20"/>
          <w:szCs w:val="20"/>
          <w:color w:val="auto"/>
        </w:rPr>
      </w:pPr>
      <w:r>
        <w:rPr>
          <w:rFonts w:ascii="Arial" w:cs="Arial" w:eastAsia="Arial" w:hAnsi="Arial"/>
          <w:sz w:val="18"/>
          <w:szCs w:val="18"/>
          <w:color w:val="auto"/>
        </w:rPr>
        <w:t>screens and 38 network affiliates have been added to our network with approximately 2,600 screens. During 2016, we added 187 net screens from the founding members and network affiliates and thus far in 2017 we have entered into contracts to add new affiliates with 370 screens. We expect this expansion to continue to improve our geographic coverage and enhance our ability to compete with other national advertising mediums, which will allow our exhibitor customers to maximize the advertising value of their audiences.</w:t>
      </w:r>
    </w:p>
    <w:p>
      <w:pPr>
        <w:spacing w:after="0" w:line="79"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b w:val="1"/>
          <w:bCs w:val="1"/>
          <w:i w:val="1"/>
          <w:iCs w:val="1"/>
          <w:color w:val="auto"/>
        </w:rPr>
        <w:t>Grow On-Screen Revenue</w:t>
      </w:r>
      <w:r>
        <w:rPr>
          <w:rFonts w:ascii="Arial" w:cs="Arial" w:eastAsia="Arial" w:hAnsi="Arial"/>
          <w:sz w:val="17"/>
          <w:szCs w:val="17"/>
          <w:color w:val="auto"/>
        </w:rPr>
        <w:t>—We plan to continue our successful strategy of selling our inventory like premium video in the larger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marketplace, once again utilizing the annual television upfront selling process to maximize our use of inventory. This Upfront strategy has yielded positive results over the past five years, and we believe that the increased market awareness among media buyers and clients raises our credibility as a medium and allows us to gain upfront commitments traditionally made exclusively to cable and broadcast television networks, and more recently online and mobile networks. Further, we believe it will help to increase our share of video advertising spending by increasing the number of clients and client industries that buy our network. Over time, this greater shift toward more Upfront commitments allows us to bundle several flights throughout the year and stabilize month-to-month and quarter-to-quarter CPM volatility by increasing overall inventory utilization and balancing that utilization throughout the year. Consistent with the television industry upfront booking practices, a portion of our upfront commitments have cancellation options or options to reduce the amount that advertisers may purchase that could reduce what is ultimately spent by clients that have made upfront commitments and we would need to rely on the scatter market to replace those commitments.</w:t>
      </w:r>
    </w:p>
    <w:p>
      <w:pPr>
        <w:spacing w:after="0" w:line="70"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At our fifth annual Upfront presentation in May of 2016 during the TV Upfront week, we announced several initiatives for better data-enhanced targeting, including CATO, which allows advertisers to go beyond targeting by MPAA rating to build media schedules at the film and genre level, and our new DMP – the first of its kind in the cinema industry – which will allow us to offer transaction-based insights, better targeted campaigns and closed-loop return on investment. We believe that these enhanced targeting capabilities will help to attract and retain a larger and more diverse range of advertising clients and thus grow our revenue.</w:t>
      </w:r>
    </w:p>
    <w:p>
      <w:pPr>
        <w:spacing w:after="0" w:line="80"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We also intend to increase our market share of local and regional advertising spending by aggressively pursuing further integration into agency planning and buying tools, such as our relationship with STRATA, a leader in media buying and selling software, which allowed agencies to buy cinema advertising in the National Spot marketplace for the first time in 2016. By making NCM an option in this and other industrywide and in-house agency planning and buying systems, we believe we can remove barriers to entry by incorporating cinema into media plans and tapping into new pools of advertising dollars. We also plan to introduce additional ways to optimize our regional inventory into our regional sales process, including expanding national, and instituting dynamic pricing that is responsive to week-to-week market demand and inventory availability on a regional level as we have successfully done on a national level.</w:t>
      </w:r>
    </w:p>
    <w:p>
      <w:pPr>
        <w:spacing w:after="0" w:line="81"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b w:val="1"/>
          <w:bCs w:val="1"/>
          <w:i w:val="1"/>
          <w:iCs w:val="1"/>
          <w:color w:val="auto"/>
        </w:rPr>
        <w:t>Collect and Leverage Movie Audience Data</w:t>
      </w:r>
      <w:r>
        <w:rPr>
          <w:rFonts w:ascii="Arial" w:cs="Arial" w:eastAsia="Arial" w:hAnsi="Arial"/>
          <w:sz w:val="17"/>
          <w:szCs w:val="17"/>
          <w:color w:val="auto"/>
        </w:rPr>
        <w:t>—We intend to continue to secure additional data partnerships that will allow us to collect and leverage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movie audience data to enhance the attractiveness of our cinema advertising products to advertisers. In addition, we plan to enhance and expand our digital marketing products beyond our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product, which identifies moviegoers’ mobile devices as they enter a theater, and re-engages them with a brand’s messages wherever they are consuming content — on mobile devices, social media, or online.</w:t>
      </w:r>
    </w:p>
    <w:p>
      <w:pPr>
        <w:spacing w:after="0" w:line="63"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b w:val="1"/>
          <w:bCs w:val="1"/>
          <w:i w:val="1"/>
          <w:iCs w:val="1"/>
          <w:color w:val="auto"/>
        </w:rPr>
        <w:t>Reinvent the Lobby</w:t>
      </w:r>
      <w:r>
        <w:rPr>
          <w:rFonts w:ascii="Arial" w:cs="Arial" w:eastAsia="Arial" w:hAnsi="Arial"/>
          <w:sz w:val="18"/>
          <w:szCs w:val="18"/>
          <w:color w:val="auto"/>
        </w:rPr>
        <w:t>—As our founding member and network affiliate theater circuit partners continue to reinvent their lobby business, we plan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with them and follow their lead to leverage technology partnerships and stabilize other lobby inventory to make the lobby a better source of advertising revenue for both our advertising customers and our circuit partners.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Be the First Choice for Customers</w:t>
      </w:r>
    </w:p>
    <w:p>
      <w:pPr>
        <w:spacing w:after="0" w:line="121" w:lineRule="exact"/>
        <w:rPr>
          <w:sz w:val="20"/>
          <w:szCs w:val="20"/>
          <w:color w:val="auto"/>
        </w:rPr>
      </w:pPr>
    </w:p>
    <w:p>
      <w:pPr>
        <w:ind w:right="120" w:firstLine="555"/>
        <w:spacing w:after="0" w:line="289" w:lineRule="auto"/>
        <w:rPr>
          <w:sz w:val="20"/>
          <w:szCs w:val="20"/>
          <w:color w:val="auto"/>
        </w:rPr>
      </w:pPr>
      <w:r>
        <w:rPr>
          <w:rFonts w:ascii="Arial" w:cs="Arial" w:eastAsia="Arial" w:hAnsi="Arial"/>
          <w:sz w:val="16"/>
          <w:szCs w:val="16"/>
          <w:color w:val="auto"/>
        </w:rPr>
        <w:t>Our approach is to always strive to be the first choice for our customers, including our advertising and agency customers, our exhibitors, and movie studios. By offering innovative on-screen, in-lobby and digital cinema advertising solutions to connect brands to unique, engaged and valuable young adult audiences at scale, we believe we can offer our advertiser and agency customers a valuable and effective marketing option that cannot be duplicated in any other medium. As the first choice for our customers, we can continue to expand our advertising client base and increase our market share of U.S. advertising spending. Our national sales team was successful in adding 34 clients in 2016 that were first time clients or had not advertised with us since our IPO. These new clients added in 2016 included companies in the apparel, beer, cable TV, computer hardware, department store, financial products and services, fitness, home audio equipment, home product, hotels and resorts, internet site, movie studio, personal care product, prepared food, family restaurant, supermarket, telecommunication hardware, tourism, toy and video game industries. Despite this growth, we believe there are still thousands of potential clients that currently advertise on other mediums such as television but have yet to advertise on our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ind w:right="480"/>
        <w:spacing w:after="0" w:line="277" w:lineRule="auto"/>
        <w:rPr>
          <w:sz w:val="20"/>
          <w:szCs w:val="20"/>
          <w:color w:val="auto"/>
        </w:rPr>
      </w:pPr>
      <w:r>
        <w:rPr>
          <w:rFonts w:ascii="Arial" w:cs="Arial" w:eastAsia="Arial" w:hAnsi="Arial"/>
          <w:sz w:val="18"/>
          <w:szCs w:val="18"/>
          <w:color w:val="auto"/>
        </w:rPr>
        <w:t>network. These strategies are designed to expand our relationships with existing advertising clients and broaden our advertising client base in new and existing client industries.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Develop People and Capabilities</w:t>
      </w:r>
    </w:p>
    <w:p>
      <w:pPr>
        <w:spacing w:after="0" w:line="121"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Our success is tied to the quality of our management and staff. In order to ensure that we retain and attract high quality personnel, we seek to foster and maintain a culture that focuses on teamwork, personal growth, inclusion and diversity. We will continue to make meaningful investments in internal and external training programs for our management and staff to ensure that our personnel have, or build, the skillsets necessary to support our evolution and growth objectives. We have also adopted a succession plan that includes short-term and long-term planning elements to allow us to successfully continue operations should any of our senior management team become unavailable to us.</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Resources to Strategy</w:t>
      </w:r>
    </w:p>
    <w:p>
      <w:pPr>
        <w:spacing w:after="0" w:line="121"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We will continue to assess and eliminate off-target resources for a strategic focus on the future of NCM. We will be allocating resources to continuity and growth, with a focus from our staff on financial responsibility with company resources.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Our dividend policy is described in “Item 5. Market for Registrant’s Common Equity, Related Stockholder Matters and Issuer Purchases of Equity Securities—Dividend Policy”.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21" w:lineRule="exact"/>
        <w:rPr>
          <w:sz w:val="20"/>
          <w:szCs w:val="20"/>
          <w:color w:val="auto"/>
        </w:rPr>
      </w:pPr>
    </w:p>
    <w:p>
      <w:pPr>
        <w:ind w:right="300" w:firstLine="555"/>
        <w:spacing w:after="0" w:line="286" w:lineRule="auto"/>
        <w:rPr>
          <w:sz w:val="20"/>
          <w:szCs w:val="20"/>
          <w:color w:val="auto"/>
        </w:rPr>
      </w:pPr>
      <w:r>
        <w:rPr>
          <w:rFonts w:ascii="Arial" w:cs="Arial" w:eastAsia="Arial" w:hAnsi="Arial"/>
          <w:sz w:val="17"/>
          <w:szCs w:val="17"/>
          <w:color w:val="auto"/>
        </w:rPr>
        <w:t>We have been granted a perpetual, royalty-free license from the founding members to use certain proprietary software for the delivery of digital advertising and other content through our DCN to screens in the U.S. We have made improvements to this software since the IPO date and we own those improvements exclusively, except for improvements that were developed jointly by us and the founding members.</w:t>
      </w:r>
    </w:p>
    <w:p>
      <w:pPr>
        <w:spacing w:after="0" w:line="5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 xml:space="preserve">We have secured U.S. trademark registrations for NCM, National CineMedia, NCM Media Networks, and </w:t>
      </w:r>
      <w:r>
        <w:rPr>
          <w:rFonts w:ascii="Arial" w:cs="Arial" w:eastAsia="Arial" w:hAnsi="Arial"/>
          <w:sz w:val="17"/>
          <w:szCs w:val="17"/>
          <w:i w:val="1"/>
          <w:iCs w:val="1"/>
          <w:color w:val="auto"/>
        </w:rPr>
        <w:t>Movie Night Out</w:t>
      </w:r>
      <w:r>
        <w:rPr>
          <w:rFonts w:ascii="Arial" w:cs="Arial" w:eastAsia="Arial" w:hAnsi="Arial"/>
          <w:sz w:val="17"/>
          <w:szCs w:val="17"/>
          <w:color w:val="auto"/>
        </w:rPr>
        <w:t>.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our ability to build brand identity could be negatively impacted.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Currently, we are not subject to regulations specific to the sale and distribution of cinema advertising. We are subject to federal, state and local laws that govern businesses generally such as wage and hour and worker compensation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i w:val="1"/>
          <w:iCs w:val="1"/>
          <w:color w:val="auto"/>
        </w:rPr>
        <w:t>www.ncm.com</w:t>
      </w:r>
      <w:r>
        <w:rPr>
          <w:rFonts w:ascii="Arial" w:cs="Arial" w:eastAsia="Arial" w:hAnsi="Arial"/>
          <w:sz w:val="17"/>
          <w:szCs w:val="17"/>
          <w:color w:val="auto"/>
        </w:rPr>
        <w:t xml:space="preserve">, on which we will post free of charge our annual reports on Form 10-K, quarterly reports on Form 10-Q, current reports on Form 8-K, and any amendments to these reports under the heading “Investor Relations” located at the bottom of the page as soon as reasonably practicable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You may read and copy any materials we file with the SEC at the Securities and Exchange Commission Public Reference Room at 100 F. Street, N.E., Washington, D.C. 20549. The SEC also maintains a website that contains our reports and other information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Shown below are the names, ages as of the filing date of this Form 10-K,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750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2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Andrew J. England</w:t>
            </w: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52</w:t>
            </w:r>
          </w:p>
        </w:tc>
        <w:tc>
          <w:tcPr>
            <w:tcW w:w="180" w:type="dxa"/>
            <w:vAlign w:val="bottom"/>
            <w:tcBorders>
              <w:top w:val="single" w:sz="8" w:color="CFF0FC"/>
            </w:tcBorders>
            <w:shd w:val="clear" w:color="auto" w:fill="CFF0FC"/>
          </w:tcPr>
          <w:p>
            <w:pPr>
              <w:spacing w:after="0"/>
              <w:rPr>
                <w:sz w:val="19"/>
                <w:szCs w:val="19"/>
                <w:color w:val="auto"/>
              </w:rPr>
            </w:pPr>
          </w:p>
        </w:tc>
        <w:tc>
          <w:tcPr>
            <w:tcW w:w="7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Clifford E. Marks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8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Katherine L. Scherping</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57</w:t>
            </w:r>
          </w:p>
        </w:tc>
        <w:tc>
          <w:tcPr>
            <w:tcW w:w="180" w:type="dxa"/>
            <w:vAlign w:val="bottom"/>
            <w:shd w:val="clear" w:color="auto" w:fill="CFF0FC"/>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Ralph E. Hardy</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8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30"/>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Geri R. House</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40</w:t>
            </w:r>
          </w:p>
        </w:tc>
        <w:tc>
          <w:tcPr>
            <w:tcW w:w="180" w:type="dxa"/>
            <w:vAlign w:val="bottom"/>
            <w:shd w:val="clear" w:color="auto" w:fill="CFF0FC"/>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People and Organization</w:t>
            </w:r>
          </w:p>
        </w:tc>
      </w:tr>
    </w:tbl>
    <w:p>
      <w:pPr>
        <w:spacing w:after="0" w:line="94"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i w:val="1"/>
          <w:iCs w:val="1"/>
          <w:color w:val="auto"/>
        </w:rPr>
        <w:t xml:space="preserve">Andrew J. England. </w:t>
      </w:r>
      <w:r>
        <w:rPr>
          <w:rFonts w:ascii="Arial" w:cs="Arial" w:eastAsia="Arial" w:hAnsi="Arial"/>
          <w:sz w:val="18"/>
          <w:szCs w:val="18"/>
          <w:color w:val="auto"/>
        </w:rPr>
        <w:t>Mr. England was appointed Chief Executive Officer and Director of NCM, Inc. on January 1, 2016. Mr. England has a long career</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marketing, previously serving as the Executive Vice President and Chief Marketing Officer of MillerCoors, LLC from 2010 until July 2015. From 2008 to 2010, Mr. England served as the Chief Marketing Officer of the then newly formed MillerCoors, LLC. From 2006 to 2008 he served as Chief Marketing Officer of Coors Brewing Co. Prior to that, Mr. England was Vice President and General Manager of Hershey’s Snacks division, Director of the Reese’s Brand, and carried out various marketing and brand management roles for over ten years at Nabisco Biscuit Company and Cadbury Schweppes. Mr. England holds a Master of Business Administration degree from Stanford University and a bachelor’s degree in Engineering Science from Durham University in the United Kingdom.</w:t>
      </w:r>
    </w:p>
    <w:p>
      <w:pPr>
        <w:spacing w:after="0" w:line="8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i w:val="1"/>
          <w:iCs w:val="1"/>
          <w:color w:val="auto"/>
        </w:rPr>
        <w:t>Clifford E. Marks</w:t>
      </w:r>
      <w:r>
        <w:rPr>
          <w:rFonts w:ascii="Arial" w:cs="Arial" w:eastAsia="Arial" w:hAnsi="Arial"/>
          <w:sz w:val="18"/>
          <w:szCs w:val="18"/>
          <w:color w:val="auto"/>
        </w:rPr>
        <w:t>. Mr. Marks was appointed President of NCM, Inc. in May 2016. Prior to his current position, Mr. Marks served as President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of NCM, Inc. in February 2007 and held those same positions with NCM LLC since March 2005. He has been an advertising, marketing and sales professional for 25 years. Mr. Marks also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80"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i w:val="1"/>
          <w:iCs w:val="1"/>
          <w:color w:val="auto"/>
        </w:rPr>
        <w:t xml:space="preserve">Katherine L. Scherping. </w:t>
      </w:r>
      <w:r>
        <w:rPr>
          <w:rFonts w:ascii="Arial" w:cs="Arial" w:eastAsia="Arial" w:hAnsi="Arial"/>
          <w:sz w:val="17"/>
          <w:szCs w:val="17"/>
          <w:color w:val="auto"/>
        </w:rPr>
        <w:t>Ms. Scherping was appointed Chief Financial Officer in August 2016. Prior to joining NCM, Inc., Ms. Scherping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President and Chief Executive Officer of QCE LLC and subsidiaries (d/b/a Quiznos) since June 2016 to July 2016 and as Chief Financial Officer from December 2013 to July 2016. From October 2011 through July 2016, Ms. Scherping was a consultant for Deloitte LLP, providing leadership training to partners and other executives. From June 2005 to July 2011, she served as Chief Financial Officer of Red Robin Gourmet Burgers, Inc. Ms. Scherping holds a Bachelor of Science degree in accounting from Northern Illinois University and is a certified public accountant.</w:t>
      </w:r>
    </w:p>
    <w:p>
      <w:pPr>
        <w:spacing w:after="0" w:line="64" w:lineRule="exact"/>
        <w:rPr>
          <w:sz w:val="20"/>
          <w:szCs w:val="20"/>
          <w:color w:val="auto"/>
        </w:rPr>
      </w:pPr>
    </w:p>
    <w:p>
      <w:pPr>
        <w:ind w:right="260" w:firstLine="555"/>
        <w:spacing w:after="0" w:line="259" w:lineRule="auto"/>
        <w:rPr>
          <w:sz w:val="20"/>
          <w:szCs w:val="20"/>
          <w:color w:val="auto"/>
        </w:rPr>
      </w:pPr>
      <w:r>
        <w:rPr>
          <w:rFonts w:ascii="Arial" w:cs="Arial" w:eastAsia="Arial" w:hAnsi="Arial"/>
          <w:sz w:val="18"/>
          <w:szCs w:val="18"/>
          <w:i w:val="1"/>
          <w:iCs w:val="1"/>
          <w:color w:val="auto"/>
        </w:rPr>
        <w:t xml:space="preserve">Ralph E. Hardy. </w:t>
      </w:r>
      <w:r>
        <w:rPr>
          <w:rFonts w:ascii="Arial" w:cs="Arial" w:eastAsia="Arial" w:hAnsi="Arial"/>
          <w:sz w:val="18"/>
          <w:szCs w:val="18"/>
          <w:color w:val="auto"/>
        </w:rPr>
        <w:t>Mr. Hardy was appointed Executive Vice President and General Counsel of NCM, Inc. in February 2007 and held those same</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with NCM LLC since March 2005. Prior to his current position, from May 2002 to May 2005, Mr. Hardy served as Executive Vice President and General Counsel for Regal CineMedia Corporation. From 1989 to 2002, Mr. Hardy has held various legal executive positions with United Artists Theatre Company and its predecessors.</w:t>
      </w:r>
    </w:p>
    <w:p>
      <w:pPr>
        <w:spacing w:after="0" w:line="79"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i w:val="1"/>
          <w:iCs w:val="1"/>
          <w:color w:val="auto"/>
        </w:rPr>
        <w:t xml:space="preserve">Geri R. House. </w:t>
      </w:r>
      <w:r>
        <w:rPr>
          <w:rFonts w:ascii="Arial" w:cs="Arial" w:eastAsia="Arial" w:hAnsi="Arial"/>
          <w:sz w:val="18"/>
          <w:szCs w:val="18"/>
          <w:color w:val="auto"/>
        </w:rPr>
        <w:t>Ms. House was appointed Executive Vice President, People and Organization of NCM, Inc. on January 19, 2017, and held that same</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with NCM LLC since January 2015. Prior to this position, from November 2010 to January 2015, Ms. House served as Senior Vice President, People and Organization for NCM LLC, and from February 2010 to November 2010 as Vice President, Deputy General Counsel and Assistant Secretary for NCM LLC. From 2002 to 2010, Ms. House was in a private practice with two international law firms, Hogan Lovells and Faegre Baker Daniels, where she specialized in commercial litigation as well as employment litigation and counseling. Ms. House holds a Bachelor of Arts degree from Simon Fraser University in Canada and a Juris Doctor degree from Harvard Law School.</w:t>
      </w:r>
    </w:p>
    <w:p>
      <w:pPr>
        <w:spacing w:after="0" w:line="39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Risk Factors</w:t>
      </w:r>
    </w:p>
    <w:p>
      <w:pPr>
        <w:spacing w:after="0" w:line="121"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i w:val="1"/>
          <w:iCs w:val="1"/>
          <w:color w:val="auto"/>
        </w:rPr>
        <w:t>Ownership of the common stock and other securities of the Company involves certain risks. Holders of the Company’s securities and prospective investors should consider carefully the following risks and other information in this document, including our historical financial statements and related notes included herein. The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Significant declines in theater attendance or viewership of our FirstLook pre-show could reduce the attractiveness of cinema advertising and could reduce our revenue</w:t>
      </w:r>
    </w:p>
    <w:p>
      <w:pPr>
        <w:spacing w:after="0" w:line="62"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Our business is affected by the level of attendance at the founding member’s theaters and to a lesser extent our network affiliates, who operate in a highly competitive industry whose attendance is reliant on the presence of motion pictures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15" w:name="page16"/>
    <w:bookmarkEnd w:id="15"/>
    <w:p>
      <w:pPr>
        <w:spacing w:after="0" w:line="255" w:lineRule="auto"/>
        <w:rPr>
          <w:sz w:val="20"/>
          <w:szCs w:val="20"/>
          <w:color w:val="auto"/>
        </w:rPr>
      </w:pPr>
      <w:r>
        <w:rPr>
          <w:rFonts w:ascii="Arial" w:cs="Arial" w:eastAsia="Arial" w:hAnsi="Arial"/>
          <w:sz w:val="18"/>
          <w:szCs w:val="18"/>
          <w:color w:val="auto"/>
        </w:rPr>
        <w:t xml:space="preserve">attract audiences. Over the last 20 years, theater attendance has fluctuated from year to year but on average has remained relatively flat at an aggregate annual growth rate of less than 0.5%. The value of our advertising business could be adversely affected by a decline in theater attendance or even the perception by media buyers that our network is no longer relevant to their marketing plan due to the decreases in attendance and geographic coverage. Further, the value of our national on-screen advertising and to a lesser extent our local and regional advertising is based on the number of theater patrons that are in their seats and thus have the opportunity to view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Factors that could reduce attendance at our network theaters or viewership of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include the following:</w:t>
      </w:r>
    </w:p>
    <w:p>
      <w:pPr>
        <w:spacing w:after="0" w:line="301" w:lineRule="exact"/>
        <w:rPr>
          <w:sz w:val="20"/>
          <w:szCs w:val="20"/>
          <w:color w:val="auto"/>
        </w:rPr>
      </w:pPr>
    </w:p>
    <w:p>
      <w:pPr>
        <w:ind w:left="1380" w:right="40" w:hanging="413"/>
        <w:spacing w:after="0" w:line="259"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NCM LLC’s network theater circuits cannot compete with other out-of-home entertainment due to an increase in the use of alternative film delivery methods (and the shortening of the “release window” between the release of major motion pictures to the alternative delivery methods), including network, syndicated cable and satellite television and DVDs, as well as video-on-demand, pay-per-view services, video streaming and downloads via the Internet;</w:t>
      </w:r>
    </w:p>
    <w:p>
      <w:pPr>
        <w:spacing w:after="0" w:line="186" w:lineRule="exact"/>
        <w:rPr>
          <w:rFonts w:ascii="Arial" w:cs="Arial" w:eastAsia="Arial" w:hAnsi="Arial"/>
          <w:sz w:val="18"/>
          <w:szCs w:val="18"/>
          <w:color w:val="auto"/>
        </w:rPr>
      </w:pPr>
    </w:p>
    <w:p>
      <w:pPr>
        <w:ind w:left="1380" w:right="20" w:hanging="413"/>
        <w:spacing w:after="0" w:line="264"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theater circuits in NCM LLC’s network continue to renovate auditoriums in certain of their theaters to install new larger, more comfortable seating, which reduces the number of seats in a theater auditorium. This renovation has been viewed favorably by patrons and many theater circuits have noted an intent to continue such renovations;</w:t>
      </w:r>
    </w:p>
    <w:p>
      <w:pPr>
        <w:spacing w:after="0" w:line="181" w:lineRule="exact"/>
        <w:rPr>
          <w:rFonts w:ascii="Arial" w:cs="Arial" w:eastAsia="Arial" w:hAnsi="Arial"/>
          <w:sz w:val="18"/>
          <w:szCs w:val="18"/>
          <w:color w:val="auto"/>
        </w:rPr>
      </w:pPr>
    </w:p>
    <w:p>
      <w:pPr>
        <w:ind w:left="1380" w:right="100" w:hanging="413"/>
        <w:spacing w:after="0" w:line="286" w:lineRule="auto"/>
        <w:tabs>
          <w:tab w:leader="none" w:pos="1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many theater circuits in NCM LLC’s network offer reserved seating (utilized in approximately 19% of our network as of December 29, 2016), often in the newly renovated theaters described above, which allows patrons to reserve a seat which could affect how early patrons arrive to the theater and reduce the number of patrons that are in a theater seat to view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w:t>
      </w:r>
    </w:p>
    <w:p>
      <w:pPr>
        <w:spacing w:after="0" w:line="165" w:lineRule="exact"/>
        <w:rPr>
          <w:rFonts w:ascii="Arial" w:cs="Arial" w:eastAsia="Arial" w:hAnsi="Arial"/>
          <w:sz w:val="17"/>
          <w:szCs w:val="17"/>
          <w:color w:val="auto"/>
        </w:rPr>
      </w:pPr>
    </w:p>
    <w:p>
      <w:pPr>
        <w:ind w:left="1380" w:right="140" w:hanging="413"/>
        <w:spacing w:after="0" w:line="264"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changes in theater operating policies and patron amenities, including the number and length of trailers for upcoming films that are played prior to the start of the feature film, which if the length of trailers increases, it could result in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starting further out from the show time of the film;</w:t>
      </w:r>
    </w:p>
    <w:p>
      <w:pPr>
        <w:spacing w:after="0" w:line="181" w:lineRule="exact"/>
        <w:rPr>
          <w:rFonts w:ascii="Arial" w:cs="Arial" w:eastAsia="Arial" w:hAnsi="Arial"/>
          <w:sz w:val="18"/>
          <w:szCs w:val="18"/>
          <w:color w:val="auto"/>
        </w:rPr>
      </w:pPr>
    </w:p>
    <w:p>
      <w:pPr>
        <w:ind w:left="1380" w:right="20" w:hanging="413"/>
        <w:spacing w:after="0" w:line="27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industry;</w:t>
      </w:r>
    </w:p>
    <w:p>
      <w:pPr>
        <w:spacing w:after="0" w:line="170" w:lineRule="exact"/>
        <w:rPr>
          <w:rFonts w:ascii="Arial" w:cs="Arial" w:eastAsia="Arial" w:hAnsi="Arial"/>
          <w:sz w:val="18"/>
          <w:szCs w:val="18"/>
          <w:color w:val="auto"/>
        </w:rPr>
      </w:pPr>
    </w:p>
    <w:p>
      <w:pPr>
        <w:ind w:left="1380" w:right="920" w:hanging="413"/>
        <w:spacing w:after="0" w:line="308" w:lineRule="auto"/>
        <w:tabs>
          <w:tab w:leader="none" w:pos="1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success of first-run motion pictures, which depends upon the production and marketing efforts of the major studios and the attractiveness and value proposition of the movies to consumers compared to other forms of entertainment;</w:t>
      </w:r>
    </w:p>
    <w:p>
      <w:pPr>
        <w:spacing w:after="0" w:line="146" w:lineRule="exact"/>
        <w:rPr>
          <w:rFonts w:ascii="Arial" w:cs="Arial" w:eastAsia="Arial" w:hAnsi="Arial"/>
          <w:sz w:val="17"/>
          <w:szCs w:val="17"/>
          <w:color w:val="auto"/>
        </w:rPr>
      </w:pPr>
    </w:p>
    <w:p>
      <w:pPr>
        <w:ind w:left="1380" w:hanging="413"/>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theaters in our network fail to maintain their theaters and provide amenities that consumers prefer;</w:t>
      </w:r>
    </w:p>
    <w:p>
      <w:pPr>
        <w:spacing w:after="0" w:line="225" w:lineRule="exact"/>
        <w:rPr>
          <w:rFonts w:ascii="Arial" w:cs="Arial" w:eastAsia="Arial" w:hAnsi="Arial"/>
          <w:sz w:val="18"/>
          <w:szCs w:val="18"/>
          <w:color w:val="auto"/>
        </w:rPr>
      </w:pPr>
    </w:p>
    <w:p>
      <w:pPr>
        <w:ind w:left="1380" w:right="360" w:hanging="413"/>
        <w:spacing w:after="0" w:line="27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studios begin to reduce the number of feature films produced and their investments in those films or reduce the investments made to market those films;</w:t>
      </w:r>
    </w:p>
    <w:p>
      <w:pPr>
        <w:spacing w:after="0" w:line="170" w:lineRule="exact"/>
        <w:rPr>
          <w:rFonts w:ascii="Arial" w:cs="Arial" w:eastAsia="Arial" w:hAnsi="Arial"/>
          <w:sz w:val="18"/>
          <w:szCs w:val="18"/>
          <w:color w:val="auto"/>
        </w:rPr>
      </w:pPr>
    </w:p>
    <w:p>
      <w:pPr>
        <w:ind w:left="1380" w:right="40" w:hanging="413"/>
        <w:spacing w:after="0" w:line="342" w:lineRule="auto"/>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future theater attendance declines significantly over an extended time period, one or more of the founding members or network affiliates may face financial difficulties and could be forced to sell or close theaters or reduce the number of screens it builds or upgrades; and</w:t>
      </w:r>
    </w:p>
    <w:p>
      <w:pPr>
        <w:spacing w:after="0" w:line="123" w:lineRule="exact"/>
        <w:rPr>
          <w:rFonts w:ascii="Arial" w:cs="Arial" w:eastAsia="Arial" w:hAnsi="Arial"/>
          <w:sz w:val="16"/>
          <w:szCs w:val="16"/>
          <w:color w:val="auto"/>
        </w:rPr>
      </w:pPr>
    </w:p>
    <w:p>
      <w:pPr>
        <w:ind w:left="1380" w:right="720" w:hanging="413"/>
        <w:spacing w:after="0" w:line="308" w:lineRule="auto"/>
        <w:tabs>
          <w:tab w:leader="none" w:pos="1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NCM LLC’s network theater circuits also may not successfully compete for licenses to exhibit quality films and are not assured a consistent supply of motion pictures since they do not have long-term arrangements with major film distributors.</w:t>
      </w:r>
    </w:p>
    <w:p>
      <w:pPr>
        <w:spacing w:after="0" w:line="38"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Any of these circumstances could reduce our revenue because our national advertising revenue, and local advertising to a lesser extent, depends on the number of theater patrons who view our advertising and pre-feature show.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plans for developing additional revenue opportunities may not be implemented and may not be achieved</w:t>
      </w:r>
    </w:p>
    <w:p>
      <w:pPr>
        <w:spacing w:after="0" w:line="117" w:lineRule="exact"/>
        <w:rPr>
          <w:sz w:val="20"/>
          <w:szCs w:val="20"/>
          <w:color w:val="auto"/>
        </w:rPr>
      </w:pPr>
    </w:p>
    <w:p>
      <w:pPr>
        <w:jc w:val="both"/>
        <w:ind w:right="120" w:firstLine="555"/>
        <w:spacing w:after="0" w:line="264" w:lineRule="auto"/>
        <w:rPr>
          <w:sz w:val="20"/>
          <w:szCs w:val="20"/>
          <w:color w:val="auto"/>
        </w:rPr>
      </w:pPr>
      <w:r>
        <w:rPr>
          <w:rFonts w:ascii="Arial" w:cs="Arial" w:eastAsia="Arial" w:hAnsi="Arial"/>
          <w:sz w:val="18"/>
          <w:szCs w:val="18"/>
          <w:color w:val="auto"/>
        </w:rPr>
        <w:t>We are considering potential opportunities for revenue growth, which we describe in “Business—Our Strategy.” The development of our online and mobile advertising network and mobile apps, as well as, collecting and leveraging movie audience data, and the integration of these marketing products with our core on-screen and theater lobby production is at 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6" w:name="page17"/>
    <w:bookmarkEnd w:id="16"/>
    <w:p>
      <w:pPr>
        <w:ind w:right="60"/>
        <w:spacing w:after="0" w:line="312" w:lineRule="auto"/>
        <w:rPr>
          <w:sz w:val="20"/>
          <w:szCs w:val="20"/>
          <w:color w:val="auto"/>
        </w:rPr>
      </w:pPr>
      <w:r>
        <w:rPr>
          <w:rFonts w:ascii="Arial" w:cs="Arial" w:eastAsia="Arial" w:hAnsi="Arial"/>
          <w:sz w:val="16"/>
          <w:szCs w:val="16"/>
          <w:color w:val="auto"/>
        </w:rPr>
        <w:t>early stage and is under increasing competitive pressure from many online and mobile networks and others, and may not deliver the future benefits that we are expecting. Should these offerings not continue to grow in importance to advertising clients and agencies, they may not provide a way to help expand our cinema advertising business as it matures and begins to compete with new or improved advertising platforms including online and mobile video services.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for advertising are competitive and we may be unable to compete successfully</w:t>
      </w:r>
    </w:p>
    <w:p>
      <w:pPr>
        <w:spacing w:after="0" w:line="11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and other video media platforms including those distributed on the internet and mobile networks. In addition to these video advertising platforms, we compete to a lesser extent for advertising directly with several additional media platforms, including radio, various local print media and billboards. We also compete with several other local and national cinema advertising companies. We expect all of these competitors to devote significant effort to maintaining and growing their business at our expense. We also expect existing competitors and new entrants to the advertising business, most notably the online and mobile advertising companies, to constantly revise and improve their business models to meet expectations of advertising clients or competing media platforms, including us. If we cannot respond effectively to changes in the media marketplace in response to new entrants or advances by our existing competitors, our business may be adversely affected.</w:t>
      </w:r>
    </w:p>
    <w:p>
      <w:pPr>
        <w:spacing w:after="0" w:line="7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we may be unable to effectively manage or continue the growth of our network and advertising inventory</w:t>
      </w:r>
    </w:p>
    <w:p>
      <w:pPr>
        <w:spacing w:after="0" w:line="62"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 xml:space="preserve">We have experienced, and may continue to experience, growth in our headcount and operations, which has placed, and could continue to place, significant demands on our management and operational infrastructure. If we do not effectively manage our growth, the quality of our services could suffer, which could negatively affect our brand and our relationships with our current advertising clients. High turnover, loss of specialized talent or insufficient capital could also place significant demands on management and the success of the organization. Additionally, we may not be able to continue to expand our network and our advertising inventory which could negatively affect our ability to add new advertising clients. To effectively manage this growth and continue to expand our network and inventory, we will need to continue to improve our systems. These enhancements and improvements could require an additional allocation of financial and management resources. If the improvements are not implemented successfully in a timely manner, our ability to manage our limited advertising inventory, create improved audience targeting capabilities for our clients and continue our growth in the future will be impaired and we may have to make significant additional expenditures to address these issues. Further, the amount of inventory we have to sell is limited by the length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in order to maintain growth we will need to expand the number of theaters and screens in our network. If we are unable to maintain the size of our network, or grow our network, our revenue and operating results could be adversely impacted.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continue to upgrade our technology, our business could fail to grow and revenue and operating margins could decline</w:t>
      </w:r>
    </w:p>
    <w:p>
      <w:pPr>
        <w:spacing w:after="0" w:line="117"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Failure to successfully or cost-effectively implement upgrades to our in-theater advertising network and proposal and inventory control, audience targeting and other management systems could limit our ability to offer our clients innovative unique, integrated and targeted marketing products, which could limit our future revenue growth. New advertising platforms such as online and mobile networks, and traditional mediums including television networks are beginning to use new digital technology to reach a broader audience with more targeted marketing products, and failure by us to upgrade our technology could hurt our ability to compete with those companies. Under the ESAs, the founding members are required to provide technology that is consistent with that in place at the signing of the ESA. We may request that the founding members upgrade the equipment or software installed in their theaters, but we must negotiate with the founding members as to the terms of such upgrade, including cost sharing terms, if any. If we are not able to come to an agreement on a future upgrade request, we may elect to pay for the upgrades requested which could result in our incurring significant capital expenditures, which could adversely affect our results. Over the last several years, we have been upgrading our proposal and inventory control systems, and developing enhancements to these systems that will allow us to target theater audiences more effectively. The failure or delay in implementation of such upgrades or problems with the integration with our other systems and software could slow or prevent the growth of our business in the future. In addition, the failure or delay in implementation of such upgrades or problems with the integration of our systems and software could slow or prevent the growth of our business.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i w:val="1"/>
          <w:iCs w:val="1"/>
          <w:color w:val="auto"/>
        </w:rPr>
        <w:t>Economic uncertainty or deterioration in economic conditions may adversely impact our business, operating results or financial condition</w:t>
      </w:r>
    </w:p>
    <w:p>
      <w:pPr>
        <w:spacing w:after="0" w:line="129"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The financial markets have experienced in the not so distant past extreme disruption and volatility and certain parts of the world-wide economy remain fragile. A future decline in consumer confidence in the U.S. may lead to decreased demand for our services or delay in payments by our advertising customers. As a result, our results of operations and financial condition could be adversely affected. These challenging economic conditions also may result in:</w:t>
      </w:r>
    </w:p>
    <w:p>
      <w:pPr>
        <w:spacing w:after="0" w:line="79" w:lineRule="exact"/>
        <w:rPr>
          <w:sz w:val="20"/>
          <w:szCs w:val="20"/>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competition for fewer advertising and entertainment programming dollars;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pressure that may adversely affect revenue and gross margin;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credit availability and/or access to capital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difficulty forecasting, budgeting and planning due to limited visibility into the spending plans of current or prospective customers; or</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financial difficulty and increased risk of uncollectible accounts.</w:t>
      </w:r>
    </w:p>
    <w:p>
      <w:pPr>
        <w:spacing w:after="0" w:line="11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Our Adjusted OIBDA is derived from high margin advertising revenue, and the reduction in spending by or loss of a national or group of local advertisers could have a meaningful adverse effect on our business</w:t>
      </w:r>
    </w:p>
    <w:p>
      <w:pPr>
        <w:spacing w:after="0" w:line="62" w:lineRule="exact"/>
        <w:rPr>
          <w:sz w:val="20"/>
          <w:szCs w:val="20"/>
          <w:color w:val="auto"/>
        </w:rPr>
      </w:pPr>
    </w:p>
    <w:p>
      <w:pPr>
        <w:ind w:right="140" w:firstLine="555"/>
        <w:spacing w:after="0" w:line="254" w:lineRule="auto"/>
        <w:rPr>
          <w:sz w:val="20"/>
          <w:szCs w:val="20"/>
          <w:color w:val="auto"/>
        </w:rPr>
      </w:pPr>
      <w:r>
        <w:rPr>
          <w:rFonts w:ascii="Arial" w:cs="Arial" w:eastAsia="Arial" w:hAnsi="Arial"/>
          <w:sz w:val="18"/>
          <w:szCs w:val="18"/>
          <w:color w:val="auto"/>
        </w:rPr>
        <w:t>We generated all of our Adjusted OIBDA from our high margin advertising business. A substantial portion of our advertising revenue relates to contracts with terms of a month or less. Advertisers will not continue to do business with us if they believe our advertising medium is ineffective or overly expensive. In addition, large advertisers generally have set advertising budgets, most of which are focused on traditional media platforms like television and recently online and mobile networks. Reductions in the size of advertisers’ budgets due to local or national economic trends, a shift in spending to new advertising mediums like the internet and mobile platforms or other factors could result in lower spending on cinema advertising. Because of the high incremental margins on our individual advertising contracts, if we are unable to remain competitive and provide value to our advertising clients, they may reduce their advertising purchases or stop placing advertisements with us, which on large contracts even the loss of a small number of clients would negatively affect our Adjusted OIBDA.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major content partner or advertising customer could significantly reduce our revenue</w:t>
      </w:r>
    </w:p>
    <w:p>
      <w:pPr>
        <w:spacing w:after="0" w:line="11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We derive a significant portion of our revenue from our contracts with our content partners, PSAs and NCM LLC’s founding members’ agreements to purchase on-screen advertising for their beverage concessionaires. We currently have marketing relationships with eight content partners, seven of which expire in 2017 and one in 2018. None of these companies individually accounted for over 10% of our total revenue during the year ended December 29, 2016. However, the agreements with the content partners, PSAs and beverage advertising with the founding members in aggregate accounted for approximately 30%, 30% and 34% of our total revenue during the years ended December 29, 2016, December 31, 2015 and January 1, 2015, respectively. Because we derive a significant percentage of our total revenue from a relatively small number of large companies, the loss of one or more of them as a customer could decrease our revenue and adversely affect current and future operating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or replace them</w:t>
      </w:r>
    </w:p>
    <w:p>
      <w:pPr>
        <w:spacing w:after="0" w:line="117"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Our success depends in part upon the retention of our experienced senior management with specialized industry, sales and technical knowledge and/or industry relationships. In August 2015, our former Chief Executive Officer announced his resignation and, following a defined search process conducted by our Board of Directors, a new Chief Executive Officer was appointed in January 2016. We also appointed a Chief Financial Officer in August 2016 following a defined search process by our Board of Directors. Our Chief Financial Officer position was previously split between our Interim Co-Chief Financial Officers. If other critical members of our senior management team or other employees with special skills leave, we might not be able to find qualified internal or external replacements; accordingly, the loss of critical members of our senior management team and key employees could have a material adverse effect on our ability to effectively pursue our business strategy and our relationships with advertisers and content partners. We do not have key-man life insurance covering any of our employees.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Changes in the ESAs with, or lack of support by, the founding members could adversely affect our revenue, growth and profitability</w:t>
      </w:r>
    </w:p>
    <w:p>
      <w:pPr>
        <w:spacing w:after="0" w:line="11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ESAs with the founding members are critical to our business. The three ESAs each have an initial term of 30 years beginning February 13, 2007 and provide us with a five-year right of first refusal, which begins one year prior to the end of the term of the ESA on February 13, 2037. The founding members’ theaters represent approximately 83% of the screens and approximately 85% of the attendance in our network as of December 29, 2016. If any one of the ESAs was terminated, not renewed at its expiration or found to be unenforceable, it would have a material adverse effect on our revenue, profitability and financial condition.</w:t>
      </w:r>
    </w:p>
    <w:p>
      <w:pPr>
        <w:spacing w:after="0" w:line="80"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The ESAs require the continuing cooperation, investment and support of the founding members, the absence of which could adversely affect us. Pursuant to the ESAs, the founding members must make investments to replace digital network equipment within their theaters and equip newly constructed theaters with digital network equipment. If the founding members do not have adequate financial resources or operational strength, and if they do not replace equipment or equip new theaters to maintain the level of operating functionality that we have today, or if such equipment becomes obsolete, we may have to make additional capital expenditures or our advertising revenue and operating margins may decline.</w:t>
      </w:r>
    </w:p>
    <w:p>
      <w:pPr>
        <w:spacing w:after="0" w:line="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the non-competition provisions of the ESAs are deemed unenforceable, the founding members could compete against us and our business could be adversely affected</w:t>
      </w:r>
    </w:p>
    <w:p>
      <w:pPr>
        <w:spacing w:after="0" w:line="62" w:lineRule="exact"/>
        <w:rPr>
          <w:sz w:val="20"/>
          <w:szCs w:val="20"/>
          <w:color w:val="auto"/>
        </w:rPr>
      </w:pPr>
    </w:p>
    <w:p>
      <w:pPr>
        <w:jc w:val="both"/>
        <w:ind w:right="180" w:firstLine="555"/>
        <w:spacing w:after="0" w:line="297" w:lineRule="auto"/>
        <w:rPr>
          <w:sz w:val="20"/>
          <w:szCs w:val="20"/>
          <w:color w:val="auto"/>
        </w:rPr>
      </w:pPr>
      <w:r>
        <w:rPr>
          <w:rFonts w:ascii="Arial" w:cs="Arial" w:eastAsia="Arial" w:hAnsi="Arial"/>
          <w:sz w:val="16"/>
          <w:szCs w:val="16"/>
          <w:color w:val="auto"/>
        </w:rPr>
        <w:t>With certain limited exceptions, each of the ESAs prohibits the applicable founding member from engaging in any of the business activities that we provide in the founding member’s theaters under the amended ESAs, and from owning interests in other entities that compete with us. These provisions are intended to prevent the founding members from harming our business by providing cinema advertising services directly to their theaters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50" w:lineRule="exact"/>
        <w:rPr>
          <w:sz w:val="20"/>
          <w:szCs w:val="20"/>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117" w:lineRule="exact"/>
        <w:rPr>
          <w:sz w:val="20"/>
          <w:szCs w:val="20"/>
          <w:color w:val="auto"/>
        </w:rPr>
      </w:pPr>
    </w:p>
    <w:p>
      <w:pPr>
        <w:ind w:right="280" w:firstLine="555"/>
        <w:spacing w:after="0" w:line="257" w:lineRule="auto"/>
        <w:rPr>
          <w:sz w:val="20"/>
          <w:szCs w:val="20"/>
          <w:color w:val="auto"/>
        </w:rPr>
      </w:pPr>
      <w:r>
        <w:rPr>
          <w:rFonts w:ascii="Arial" w:cs="Arial" w:eastAsia="Arial" w:hAnsi="Arial"/>
          <w:sz w:val="18"/>
          <w:szCs w:val="18"/>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one of the founding members declared bankruptcy, the ESA with that founding member may be rejected, renegotiated or deemed unenforceable</w:t>
      </w:r>
    </w:p>
    <w:p>
      <w:pPr>
        <w:spacing w:after="0" w:line="140"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Each of the founding members currently has a significant amount of indebtedness, which is rated below investment grade. In 2000 and 2001, several major motion picture exhibition companies filed for bankruptcy, including United Artists, Edwards Theatres and Regal Cinemas (which are predecessor companies to Regal), and General Cinemas and Loews Cineplex (which are predecessor companies to AMC). The industry-wide construction of larger, more expensive megaplexes featuring stadium seating in the late 1990s that rendered existing, smaller, sloped-floor theaters under long-term leases obsolete and unprofitable, were significant contributing factors to these bankruptcies. If a bankruptcy case were commenced by or against a founding member, it is possible that all or part of the ESA with that founding member could be rejected by a trustee in the bankruptcy case pursuant to Section 365 or Section 1123 of the United States Bankruptcy Code, or by the founding member, and thus not be enforceable. Alternatively, the founding member could seek to renegotiate the ESA in a manner less favorable to us than the existing agreement. Should the founding member seek to sell or otherwise dispose of theaters or remove theaters from our network through bankruptcy or for other business reasons, if the acquirer did not agree to continue to allow us to sell advertising in the acquired theaters the number of theaters in our advertising networks would be reduced which in turn would reduce the number of advertising impressions available to us and thus could reduce our advertising revenue.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9" w:name="page20"/>
    <w:bookmarkEnd w:id="19"/>
    <w:p>
      <w:pPr>
        <w:ind w:right="120"/>
        <w:spacing w:after="0" w:line="277" w:lineRule="auto"/>
        <w:rPr>
          <w:sz w:val="20"/>
          <w:szCs w:val="20"/>
          <w:color w:val="auto"/>
        </w:rPr>
      </w:pPr>
      <w:r>
        <w:rPr>
          <w:rFonts w:ascii="Arial" w:cs="Arial" w:eastAsia="Arial" w:hAnsi="Arial"/>
          <w:sz w:val="18"/>
          <w:szCs w:val="18"/>
          <w:b w:val="1"/>
          <w:bCs w:val="1"/>
          <w:i w:val="1"/>
          <w:iCs w:val="1"/>
          <w:color w:val="auto"/>
        </w:rPr>
        <w:t>The ESAs allow the founding members to engage in activities that might compete with certain elements of our business, which could reduce our revenue and growth potential</w:t>
      </w:r>
    </w:p>
    <w:p>
      <w:pPr>
        <w:spacing w:after="0" w:line="62" w:lineRule="exact"/>
        <w:rPr>
          <w:sz w:val="20"/>
          <w:szCs w:val="20"/>
          <w:color w:val="auto"/>
        </w:rPr>
      </w:pPr>
    </w:p>
    <w:p>
      <w:pPr>
        <w:ind w:right="40" w:firstLine="555"/>
        <w:spacing w:after="0" w:line="288" w:lineRule="auto"/>
        <w:rPr>
          <w:sz w:val="20"/>
          <w:szCs w:val="20"/>
          <w:color w:val="auto"/>
        </w:rPr>
      </w:pPr>
      <w:r>
        <w:rPr>
          <w:rFonts w:ascii="Arial" w:cs="Arial" w:eastAsia="Arial" w:hAnsi="Arial"/>
          <w:sz w:val="16"/>
          <w:szCs w:val="16"/>
          <w:color w:val="auto"/>
        </w:rPr>
        <w:t xml:space="preserve">The ESAs contain certain limited exceptions to our exclusive right to use the founding members’ theaters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LEN and certain types of lobby promotions and can be provided at no cost, but only for the purpose of promoting the products or services of those businesses while at the same time promoting the theater circuit or the movie-going experience. The use of LEN or lobby promotions by the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approximately 4% of our total advertising revenue for the year ended December 29, 2016. The founding members do not have the right to use their movie screens (including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or otherwise) for promoting these cross-marketing relationships, and thus we will have the exclusive rights to advertise on the movie screens, except for limited advertising related to theater operations.</w:t>
      </w:r>
    </w:p>
    <w:p>
      <w:pPr>
        <w:spacing w:after="0" w:line="6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The founding members also have the right to install a second network of video monitors in the theater lobbies in excess of those required to be installed for the LEN. This additional lobby video network, which we refer to as the founding members’ lobby network, may be used by the founding members to promote products or services related to operating the theaters, such as concessions and loyalty programs. The presence of the founding members’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founding members and our network affiliates are subject to substantial government regulation, which could slow their future growth of locations and screens and in turn slow our growth prospects.</w:t>
      </w:r>
    </w:p>
    <w:p>
      <w:pPr>
        <w:spacing w:after="0" w:line="170"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The founding members and our network affiliates are subject to various federal, state and local laws, regulations and administrative practices affecting their movie theater business, including provisions regulating antitrust, health and sanitation standards, access for those with disabilities, environmental, and licensing. Some of these laws and regulations also apply directly to us and NCM LLC. Changes in existing laws or implementation of new laws, regulations and practices could have a significant impact on the founding members, our network affiliates’ and our respective businesses. For example, to the extent that antitrust laws, regulation and enforcement policy restrict the ability of the founding members or the network affiliates to acquire additional theaters, it may slow the future growth of those founding members or network affiliates and in turn the growth of our network.</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relies heavily on our technology systems, and any failures or disruptions may materially and adversely affect our operations</w:t>
      </w:r>
    </w:p>
    <w:p>
      <w:pPr>
        <w:spacing w:after="0" w:line="129" w:lineRule="exact"/>
        <w:rPr>
          <w:sz w:val="20"/>
          <w:szCs w:val="20"/>
          <w:color w:val="auto"/>
        </w:rPr>
      </w:pPr>
    </w:p>
    <w:p>
      <w:pPr>
        <w:ind w:right="80" w:firstLine="555"/>
        <w:spacing w:after="0" w:line="289" w:lineRule="auto"/>
        <w:rPr>
          <w:sz w:val="20"/>
          <w:szCs w:val="20"/>
          <w:color w:val="auto"/>
        </w:rPr>
      </w:pPr>
      <w:r>
        <w:rPr>
          <w:rFonts w:ascii="Arial" w:cs="Arial" w:eastAsia="Arial" w:hAnsi="Arial"/>
          <w:sz w:val="16"/>
          <w:szCs w:val="16"/>
          <w:color w:val="auto"/>
        </w:rPr>
        <w:t>In the conduct of our business, we rely on information technology networks and systems, some of which are managed by third parties, to process, transmit and store electronic information and manage and support a variety of business processes and activities. The temporary or permanent loss of our computer equipment and software systems, through cyber and other security threats, operating malfunction, software virus, human error, natural disaster, power loss, terrorist attacks, or other catastrophic events, could disrupt our operations and cause a material adverse impact. These problems may arise in both internally developed systems and the systems of third-party service providers. We devote significant resources to maintaining a disaster recovery location separate from our operations, network security and other measures to protect our network from unauthorized access and misuse. However, depending on the nature and scope of a disruption, if our technology systems were to fail and we were unable to recover in a timely way through our disaster recovery site, we would be unable to fulfill critical business functions, which could lead to a loss of customers and could harm our reputation. Technological breakdown could also interfere with our ability to comply with financial reporting and other regulatory requirements.</w:t>
      </w:r>
    </w:p>
    <w:p>
      <w:pPr>
        <w:spacing w:after="0" w:line="5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services, or technology may infringe on intellectual property rights owned by others, which may interfere with our ability to provide services or expose us to increased liability or expense</w:t>
      </w:r>
    </w:p>
    <w:p>
      <w:pPr>
        <w:spacing w:after="0" w:line="62"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 xml:space="preserve">Intellectual property rights of our business include the copyrights, trademarks, trade secrets and patents of our in-theater, online, and mobile services, including the websites we operate at </w:t>
      </w:r>
      <w:r>
        <w:rPr>
          <w:rFonts w:ascii="Arial" w:cs="Arial" w:eastAsia="Arial" w:hAnsi="Arial"/>
          <w:sz w:val="17"/>
          <w:szCs w:val="17"/>
          <w:i w:val="1"/>
          <w:iCs w:val="1"/>
          <w:color w:val="auto"/>
        </w:rPr>
        <w:t>ncm.com, movienightout.com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firstlookonline.com</w:t>
      </w:r>
      <w:r>
        <w:rPr>
          <w:rFonts w:ascii="Arial" w:cs="Arial" w:eastAsia="Arial" w:hAnsi="Arial"/>
          <w:sz w:val="17"/>
          <w:szCs w:val="17"/>
          <w:color w:val="auto"/>
        </w:rPr>
        <w:t xml:space="preserve">, our mobile app </w:t>
      </w:r>
      <w:r>
        <w:rPr>
          <w:rFonts w:ascii="Arial" w:cs="Arial" w:eastAsia="Arial" w:hAnsi="Arial"/>
          <w:sz w:val="17"/>
          <w:szCs w:val="17"/>
          <w:i w:val="1"/>
          <w:iCs w:val="1"/>
          <w:color w:val="auto"/>
        </w:rPr>
        <w:t>Movie Night Out</w:t>
      </w:r>
      <w:r>
        <w:rPr>
          <w:rFonts w:ascii="Arial" w:cs="Arial" w:eastAsia="Arial" w:hAnsi="Arial"/>
          <w:sz w:val="14"/>
          <w:szCs w:val="14"/>
          <w:color w:val="auto"/>
        </w:rPr>
        <w:t>®</w:t>
      </w:r>
      <w:r>
        <w:rPr>
          <w:rFonts w:ascii="Arial" w:cs="Arial" w:eastAsia="Arial" w:hAnsi="Arial"/>
          <w:sz w:val="17"/>
          <w:szCs w:val="17"/>
          <w:color w:val="auto"/>
        </w:rPr>
        <w:t>, and the features and functionality, content, and software we make available through those websites and app. We rely on our own intellectual property rights as well as intellectual property rights obtained from third parties to conduct our business and provide our in-theater, online, and mobile services. We may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ind w:right="180"/>
        <w:spacing w:after="0" w:line="279" w:lineRule="auto"/>
        <w:rPr>
          <w:sz w:val="20"/>
          <w:szCs w:val="20"/>
          <w:color w:val="auto"/>
        </w:rPr>
      </w:pPr>
      <w:r>
        <w:rPr>
          <w:rFonts w:ascii="Arial" w:cs="Arial" w:eastAsia="Arial" w:hAnsi="Arial"/>
          <w:sz w:val="17"/>
          <w:szCs w:val="17"/>
          <w:color w:val="auto"/>
        </w:rPr>
        <w:t>discover that our business or the technology we use to provide our in-theater, online, or mobile services infringes patent, copyright, or other intellectual property rights owned by others. In addition, our competitors or others may claim rights in patents, copyrights, or other intellectual property rights that will prevent, limit or interfere with our ability to provide our in-theater, online, or mobile services either in the U.S. or in international markets. Further, the laws of certain foreign countries may not protect our intellectual property rights to the same extent as do the laws of the 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content we distribute through our in-theater, online or mobile services may expose us to liability</w:t>
      </w:r>
    </w:p>
    <w:p>
      <w:pPr>
        <w:spacing w:after="0" w:line="117" w:lineRule="exact"/>
        <w:rPr>
          <w:sz w:val="20"/>
          <w:szCs w:val="20"/>
          <w:color w:val="auto"/>
        </w:rPr>
      </w:pPr>
    </w:p>
    <w:p>
      <w:pPr>
        <w:ind w:right="200" w:firstLine="555"/>
        <w:spacing w:after="0" w:line="276" w:lineRule="auto"/>
        <w:rPr>
          <w:sz w:val="20"/>
          <w:szCs w:val="20"/>
          <w:color w:val="auto"/>
        </w:rPr>
      </w:pPr>
      <w:r>
        <w:rPr>
          <w:rFonts w:ascii="Arial" w:cs="Arial" w:eastAsia="Arial" w:hAnsi="Arial"/>
          <w:sz w:val="17"/>
          <w:szCs w:val="17"/>
          <w:color w:val="auto"/>
        </w:rPr>
        <w:t>Our in-theater, online, and mobile services facilitate the distribution of content. This content includes advertising-related content, as well as, movie and television content, music and other media, much of which is obtained from third parties. Our websites also include features enabling users to upload or add their own content to the websites and modify certain content on the websites. As a distributor of content, we face potential liability for negligence, copyright, patent or trademark infringement, or other claims based on the content that we distribute. We or entities that we license content from may not be adequately insured or indemnified to cover claims of these types or liability that may be imposed on us.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user information we collect and maintain through our online and mobile services may expose us to liability</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order to take advantage of some of the online and mobile services we provide, users are required to establish an account on one of our websites. As a result, we will collect and maintain personal identifying information about those users. We also collect and maintain personal identifying information about users who view certain advertising displayed through our online and mobile services. The collection and use of personal identifiable information is governed by federal and state privacy, information security and consumer protection-related laws and regulations. These laws continue to evolve and may be inconsistent from one jurisdiction to another. Compliance with all such laws and regulations may increase our operating costs and adversely impact our ability to interact with users of our online and mobile services. Our collection and use of personal identifying information regarding users of our online and mobile services could result in legal liability. For example, the failure, or perceived failure, to comply with federal or state privacy information security or consumer protection-related laws or regulations or our posted privacy policies could result in actions against us by governmental entities or others. If an actual or perceived breach of our data occurs, the market perception of the effectiveness of our security measures could be harmed, and we could lose users of these services and the associated benefits from gathering such user data.</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62"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A number of regulations, including those referenced below, may impact our business as a result of our online or mobile services. The Digital Millennium Copyright Act has provisions that limit, but do not necessarily eliminate, liability for posting, or linking to third-party websites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The costs of compliance with these regulations,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adverse claims or damages, or the reduction or elimination of features, functionality or content from our online or mobile services. Likewise, any failure on our part to comply with these and other regulations may subject us to additional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and Adjusted OIBDA fluctuate from quarter to quarter and may be unpredictable, which could increase the volatility of our stock price</w:t>
      </w:r>
    </w:p>
    <w:p>
      <w:pPr>
        <w:spacing w:after="0" w:line="140"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A weak advertising market or the shift in spending of a major client from one quarter to another, the performance of films released in a given quarter, a disruption in the release schedule of films or changes in the television scatter market could significantly affect quarter-to-quarter results or even affect results for the entire fiscal year. Because our results may vary from quarter to quarter and may be unpredictable, our financial results for one quarter cannot necessarily be compared to another quarter or the same quarter in prior years and may not be indicative of our financial performance in subsequent quarters. These variations in our financial results could contribute to volatility in our stock price.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16"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We are a holding company with no operations of our own and have no independent ability to generate cash flow other than interest income on cash balances. Consequently, our ability to obtain operating funds primarily depends upon distributions from NCM LLC. The distribution of cash flows and other transfers of funds by NCM LLC to us are subject to statutory and contractual restrictions based upon NCM LLC’s financial performance, including NCM LLC’s compliance with the covenants in its senior secured credit facility and indentures, and the NCM LLC operating agreement. The NCM LLC senior secured credit facility and indentures limit NCM LLC’s ability to distribute cash to its members, including us, based upon certain leverage tests, with exceptions for, among other things, payment of our income taxes and a management fee to NCM, Inc. pursuant to the terms of the management services agreement (incorporated in the ESA). Refer to the information provided under Note 9 to the audited Consolidated Financial Statements included elsewhere in this document for leverage discussion. The declaration of future dividends on our common stock, will be at the discretion of our Board of Directors and will depend upon many factors, including NCM LLC’s results of operations, financial condition, earnings, capital requirements, limitations in our debt agreements and legal requirements. Once the NCM, Inc. cash balances and investments are extinguished, we will be unable to pay dividends to our stockholders or pay other expenses outside the ordinary course of business if NCM LLC fails to comply with these covenants and is unable to distribute cash to us quarterly.</w:t>
      </w:r>
    </w:p>
    <w:p>
      <w:pPr>
        <w:spacing w:after="0" w:line="65"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73"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As a member of NCM LLC, we incur income taxes on our proportionate share of any net taxable income of NCM LLC. We have structured the NCM LLC senior secured credit facility and indentures to allow NCM LLC to distribute cash to its members (including us and NCM LLC’s founding members) in amounts sufficient to cover their tax liabilities and management fees, if any. To the extent that NCM LLC has insufficient cash flow to make such payments, it could have a material adverse effect on our business, financial condition, results of operations or prospects.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NCM LLC’s substantial debt obligations could impair our financial condition or prevent us from achieving our business goals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NCM LLC is party to substantial debt obligations. The senior secured credit facility and indentures contain restrictive covenants that limit NCM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LLC’s ability to take specified actions and prescribe minimum financial maintenance requirements that NCM LLC must meet. Because NCM LLC is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only operating subsidiary, complying with these restrictions may prevent NCM LLC from taking actions that we believe would help us to grow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For example, NCM LLC may be unable to make acquisitions, investments or capital expenditures as a result of such covenants. Moreover, if NCM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LLC violates those restrictive covenants or fails to meet the minimum financial requirements, it would be in default, which could, in turn, result in defaults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other obligations of NCM LLC. Any such defaults could materially impair our financial condition and liquidity. For further information, refer to Note 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audited Consolidated Financial Statements included elsewhere in this document.</w:t>
      </w:r>
    </w:p>
    <w:p>
      <w:pPr>
        <w:spacing w:after="0" w:line="103" w:lineRule="exact"/>
        <w:rPr>
          <w:sz w:val="20"/>
          <w:szCs w:val="20"/>
          <w:color w:val="auto"/>
        </w:rPr>
      </w:pPr>
    </w:p>
    <w:p>
      <w:pPr>
        <w:ind w:right="160" w:firstLine="555"/>
        <w:spacing w:after="0" w:line="286" w:lineRule="auto"/>
        <w:rPr>
          <w:sz w:val="20"/>
          <w:szCs w:val="20"/>
          <w:color w:val="auto"/>
        </w:rPr>
      </w:pPr>
      <w:r>
        <w:rPr>
          <w:rFonts w:ascii="Arial" w:cs="Arial" w:eastAsia="Arial" w:hAnsi="Arial"/>
          <w:sz w:val="17"/>
          <w:szCs w:val="17"/>
          <w:color w:val="auto"/>
        </w:rPr>
        <w:t>If NCM LLC is unable to meet its debt service obligations, it could be forced to restructure or refinance the obligations, seek additional equity financing or sell assets. We may be unable to restructure or refinance these obligations, obtain additional equity financing or sell assets on satisfactory terms or at all. In addition, NCM LLC’s indebtedness could have other negative consequences for us, including without limitation:</w:t>
      </w:r>
    </w:p>
    <w:p>
      <w:pPr>
        <w:spacing w:after="0" w:line="57" w:lineRule="exact"/>
        <w:rPr>
          <w:sz w:val="20"/>
          <w:szCs w:val="20"/>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NCM LLC’s ability to obtain financing in the future;</w:t>
      </w:r>
    </w:p>
    <w:p>
      <w:pPr>
        <w:spacing w:after="0" w:line="117" w:lineRule="exact"/>
        <w:rPr>
          <w:rFonts w:ascii="Arial" w:cs="Arial" w:eastAsia="Arial" w:hAnsi="Arial"/>
          <w:sz w:val="18"/>
          <w:szCs w:val="18"/>
          <w:color w:val="auto"/>
        </w:rPr>
      </w:pPr>
    </w:p>
    <w:p>
      <w:pPr>
        <w:ind w:left="1120" w:right="54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much of NCM LLC’s cash flow to be dedicated to interest obligations and making it unavailable for other purposes, including payments to its members (including NCM, Inc.);</w:t>
      </w:r>
    </w:p>
    <w:p>
      <w:pPr>
        <w:spacing w:after="0" w:line="62" w:lineRule="exact"/>
        <w:rPr>
          <w:rFonts w:ascii="Arial" w:cs="Arial" w:eastAsia="Arial" w:hAnsi="Arial"/>
          <w:sz w:val="18"/>
          <w:szCs w:val="18"/>
          <w:color w:val="auto"/>
        </w:rPr>
      </w:pPr>
    </w:p>
    <w:p>
      <w:pPr>
        <w:ind w:left="1120" w:right="260" w:hanging="558"/>
        <w:spacing w:after="0" w:line="264"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73" w:lineRule="exact"/>
        <w:rPr>
          <w:rFonts w:ascii="Arial" w:cs="Arial" w:eastAsia="Arial" w:hAnsi="Arial"/>
          <w:sz w:val="18"/>
          <w:szCs w:val="18"/>
          <w:color w:val="auto"/>
        </w:rPr>
      </w:pPr>
    </w:p>
    <w:p>
      <w:pPr>
        <w:ind w:left="1120" w:right="20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NCM LLC more vulnerable to an increase in interest rates, a downturn in our operating performance or decline in general economic conditions.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ind w:right="40"/>
        <w:spacing w:after="0" w:line="277" w:lineRule="auto"/>
        <w:rPr>
          <w:sz w:val="20"/>
          <w:szCs w:val="20"/>
          <w:color w:val="auto"/>
        </w:rPr>
      </w:pPr>
      <w:r>
        <w:rPr>
          <w:rFonts w:ascii="Arial" w:cs="Arial" w:eastAsia="Arial" w:hAnsi="Arial"/>
          <w:sz w:val="18"/>
          <w:szCs w:val="18"/>
          <w:b w:val="1"/>
          <w:bCs w:val="1"/>
          <w:i w:val="1"/>
          <w:iCs w:val="1"/>
          <w:color w:val="auto"/>
        </w:rPr>
        <w:t>Despite NCM LLC’s current levels of debt, it or NCM, Inc. may still incur substantially more debt, including secured debt, which would increase the risks associated with NCM LLC’s level of debt</w:t>
      </w:r>
    </w:p>
    <w:p>
      <w:pPr>
        <w:spacing w:after="0" w:line="62"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The agreements relating to NCM LLC’s debt, including the Notes due 2022, Notes due 2026 and the senior secured credit facility, limit but do not prohibit NCM LLC’s ability to incur additional debt, and do not place any restrictions on NCM, Inc.’s ability to incur debt. Accordingly, NCM, Inc. or NCM LLC could incur additional debt in the future, including additional debt under the senior secured credit facility, additional senior or senior subordinated notes and additional secured debt. If new debt is added to current debt levels, the related risks that we now face, including those described above under “—NCM LLC’s substantial debt obligations could impair our financial condition or prevent us from achieving our business goals,” could intensify.</w:t>
      </w:r>
    </w:p>
    <w:p>
      <w:pPr>
        <w:spacing w:after="0" w:line="5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NCM LLC’s founding members or their affiliates may have interests that differ from those of our public stockholders and they may be able to influence our affairs</w:t>
      </w:r>
    </w:p>
    <w:p>
      <w:pPr>
        <w:spacing w:after="0" w:line="6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So long as an NCM LLC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79" w:lineRule="exact"/>
        <w:rPr>
          <w:sz w:val="20"/>
          <w:szCs w:val="20"/>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117" w:lineRule="exact"/>
        <w:rPr>
          <w:rFonts w:ascii="Arial" w:cs="Arial" w:eastAsia="Arial" w:hAnsi="Arial"/>
          <w:sz w:val="18"/>
          <w:szCs w:val="18"/>
          <w:color w:val="auto"/>
        </w:rPr>
      </w:pPr>
    </w:p>
    <w:p>
      <w:pPr>
        <w:ind w:left="1120" w:right="70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117" w:lineRule="exact"/>
        <w:rPr>
          <w:rFonts w:ascii="Arial" w:cs="Arial" w:eastAsia="Arial" w:hAnsi="Arial"/>
          <w:sz w:val="18"/>
          <w:szCs w:val="18"/>
          <w:color w:val="auto"/>
        </w:rPr>
      </w:pPr>
    </w:p>
    <w:p>
      <w:pPr>
        <w:ind w:left="1120" w:right="40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any funded indebtedness or repay, before due, any funded indebtedness with a fixed term in an aggregate amount in excess of $15.0 million per year;</w:t>
      </w:r>
    </w:p>
    <w:p>
      <w:pPr>
        <w:spacing w:after="0" w:line="62"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the NCM LLC operating agreement;</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enter into, modify or terminate certain material contracts not in the ordinary course of business as defined under applicable securities laws;</w:t>
      </w:r>
    </w:p>
    <w:p>
      <w:pPr>
        <w:spacing w:after="0" w:line="140" w:lineRule="exact"/>
        <w:rPr>
          <w:rFonts w:ascii="Arial" w:cs="Arial" w:eastAsia="Arial" w:hAnsi="Arial"/>
          <w:sz w:val="16"/>
          <w:szCs w:val="16"/>
          <w:color w:val="auto"/>
        </w:rPr>
      </w:pPr>
    </w:p>
    <w:p>
      <w:pPr>
        <w:ind w:left="1120" w:right="4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any new equity incentive compensation plan;</w:t>
      </w:r>
    </w:p>
    <w:p>
      <w:pPr>
        <w:spacing w:after="0" w:line="62" w:lineRule="exact"/>
        <w:rPr>
          <w:rFonts w:ascii="Arial" w:cs="Arial" w:eastAsia="Arial" w:hAnsi="Arial"/>
          <w:sz w:val="18"/>
          <w:szCs w:val="18"/>
          <w:color w:val="auto"/>
        </w:rPr>
      </w:pPr>
    </w:p>
    <w:p>
      <w:pPr>
        <w:ind w:left="1120" w:right="46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62" w:lineRule="exact"/>
        <w:rPr>
          <w:rFonts w:ascii="Arial" w:cs="Arial" w:eastAsia="Arial" w:hAnsi="Arial"/>
          <w:sz w:val="18"/>
          <w:szCs w:val="18"/>
          <w:color w:val="auto"/>
        </w:rPr>
      </w:pPr>
    </w:p>
    <w:p>
      <w:pPr>
        <w:ind w:left="1120" w:right="24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 any actions relating to NCM LLC that could reasonably be expected to have a material adverse tax effect on NCM LLC’s founding members.</w:t>
      </w:r>
    </w:p>
    <w:p>
      <w:pPr>
        <w:spacing w:after="0" w:line="62"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Pursuant to a director designation agreement, so long as an NCM LLC founding member owns at least 5% of NCM LLC’s issued and outstanding common membership units, such NCM LLC founding member will have the right to designate a total of two nominees to our nine-member Board of Directors who will be voted upon by our stockholders. One such designee by each NCM LLC founding member must meet the independence requirements of the stock exchange on which our common stock is listed. If, at any time, any NCM LLC founding member owns less than 5% of NCM LLC’s then issued and outstanding common membership units, then such NCM LLC founding member shall cease to have any rights of designation.</w:t>
      </w:r>
    </w:p>
    <w:p>
      <w:pPr>
        <w:spacing w:after="0" w:line="64"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If any director designee to our board designated by NCM LLC’s founding members is not appointed to our board, nominated by us or elected by our stockholders, as applicable, then each of NCM LLC’s founding members (so long as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ind w:right="340"/>
        <w:spacing w:after="0" w:line="277" w:lineRule="auto"/>
        <w:rPr>
          <w:sz w:val="20"/>
          <w:szCs w:val="20"/>
          <w:color w:val="auto"/>
        </w:rPr>
      </w:pPr>
      <w:r>
        <w:rPr>
          <w:rFonts w:ascii="Arial" w:cs="Arial" w:eastAsia="Arial" w:hAnsi="Arial"/>
          <w:sz w:val="18"/>
          <w:szCs w:val="18"/>
          <w:color w:val="auto"/>
        </w:rPr>
        <w:t>NCM LLC founding member continues to own at least 5% of NCM LLC’s issued and outstanding common membership units) will be entitled to approve specified actions of NCM LLC.</w:t>
      </w:r>
    </w:p>
    <w:p>
      <w:pPr>
        <w:spacing w:after="0" w:line="62" w:lineRule="exact"/>
        <w:rPr>
          <w:sz w:val="20"/>
          <w:szCs w:val="20"/>
          <w:color w:val="auto"/>
        </w:rPr>
      </w:pPr>
    </w:p>
    <w:p>
      <w:pPr>
        <w:ind w:right="160" w:firstLine="555"/>
        <w:spacing w:after="0" w:line="254" w:lineRule="auto"/>
        <w:rPr>
          <w:sz w:val="20"/>
          <w:szCs w:val="20"/>
          <w:color w:val="auto"/>
        </w:rPr>
      </w:pPr>
      <w:r>
        <w:rPr>
          <w:rFonts w:ascii="Arial" w:cs="Arial" w:eastAsia="Arial" w:hAnsi="Arial"/>
          <w:sz w:val="18"/>
          <w:szCs w:val="18"/>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NCM LLC founding member will be excluded, so long as such NCM LLC founding member continues to hold the common stock acquired through such redemption or such NCM LLC founding member has disposed of such shares of common stock to another NCM LLC founding member. Shares of our common stock otherwise acquired by NCM LLC’s founding members will also be excluded, unless such shares of common stock were transferred by one NCM LLC founding member to another and were originally received by the transferring NCM LLC founding member upon redemption of NCM LLC common membership units.</w:t>
      </w:r>
    </w:p>
    <w:p>
      <w:pPr>
        <w:spacing w:after="0" w:line="84"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Under these circumstances, our corporate governance documents will allow the founding members and their affiliates to exercise a greater degree of influence in the operation of our business and that of NCM LLC and the management of our affairs and those of NCM LLC than is typically available to stockholders of a publicly-traded company. Even if NCM LLC’s founding members or their affiliates own a minority economic interest (but not less than 5%) in NCM LLC, they may be able to continue exerting such degree of influence over us and NCM LLC.</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Different interests among the founding members or between the founding members and us could prevent us from achieving our business goals</w:t>
      </w:r>
    </w:p>
    <w:p>
      <w:pPr>
        <w:spacing w:after="0" w:line="140"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For the foreseeable future, we expect that our Board of Directors will include directors and certain executive officers of our founding members and other directors who may have commercial or other relationships with NCM LLC’s founding members. The majority of NCM LLC’s outstanding membership interests also are owned by NCM LLC’s founding members. NCM LLC’s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NCM LLC’s founding members.</w:t>
      </w:r>
    </w:p>
    <w:p>
      <w:pPr>
        <w:spacing w:after="0" w:line="64"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In addition, the structural relationship we have with NCM LLC’s founding members could create conflicts of interest among NCM LLC’s founding members, or between NCM LLC’s founding members and us, in a number of areas relating to our past and ongoing relationships. There is not any formal dispute resolution procedure in place to resolve conflicts between us and an NCM LLC founding member or between NCM LLC founding members. We may not be able to resolve any potential conflicts between us and an NCM LLC founding member and, even if we do, the resolution may be less favorable to us than if we were negotiating with an unaffiliated party.</w:t>
      </w:r>
    </w:p>
    <w:p>
      <w:pPr>
        <w:spacing w:after="0" w:line="8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NCM LLC’s founding members to benefit from corporate opportunities that might otherwise be available to us</w:t>
      </w:r>
    </w:p>
    <w:p>
      <w:pPr>
        <w:spacing w:after="0" w:line="6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Our certificate of incorporation contains provisions related to corporate opportunities that may be of interest to both NCM LLC’s founding members and us. It provides that if a corporate opportunity is offered to us, NCM LLC or one or more of the officers, directors or stockholders (both direct and indirect) of NCM, Inc. or a member of NCM LLC that relates to the provision of services to motion picture theaters, use of theaters for any purpose, sale of advertising and promotional services in and around theaters and any other business related to the motion picture theater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74"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NCM LLC’s founding members are not bound by the ESAs and therefore could develop new media platforms that could compete for advertising dollars with our services. Further, we may also compete with NCM LLC’s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NCM LLC’s founding members to themselves or their other affiliates or we lose key personnel to them.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right="260"/>
        <w:spacing w:after="0" w:line="277" w:lineRule="auto"/>
        <w:rPr>
          <w:sz w:val="20"/>
          <w:szCs w:val="20"/>
          <w:color w:val="auto"/>
        </w:rPr>
      </w:pPr>
      <w:r>
        <w:rPr>
          <w:rFonts w:ascii="Arial" w:cs="Arial" w:eastAsia="Arial" w:hAnsi="Arial"/>
          <w:sz w:val="18"/>
          <w:szCs w:val="18"/>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62"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The ESAs and the other contractual agreements that we have with NCM LLC’s founding members were originally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62"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73" w:lineRule="exact"/>
        <w:rPr>
          <w:sz w:val="20"/>
          <w:szCs w:val="20"/>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supermajority approval requirements by our directors before our board may take certain actions;</w:t>
      </w:r>
    </w:p>
    <w:p>
      <w:pPr>
        <w:spacing w:after="0" w:line="117" w:lineRule="exact"/>
        <w:rPr>
          <w:rFonts w:ascii="Arial" w:cs="Arial" w:eastAsia="Arial" w:hAnsi="Arial"/>
          <w:sz w:val="18"/>
          <w:szCs w:val="18"/>
          <w:color w:val="auto"/>
        </w:rPr>
      </w:pPr>
    </w:p>
    <w:p>
      <w:pPr>
        <w:ind w:left="1120" w:right="180" w:hanging="558"/>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 classified Board of Directors;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 removal of directors only for cause;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 and</w:t>
      </w:r>
    </w:p>
    <w:p>
      <w:pPr>
        <w:spacing w:after="0" w:line="62" w:lineRule="exact"/>
        <w:rPr>
          <w:rFonts w:ascii="Arial" w:cs="Arial" w:eastAsia="Arial" w:hAnsi="Arial"/>
          <w:sz w:val="18"/>
          <w:szCs w:val="18"/>
          <w:color w:val="auto"/>
        </w:rPr>
      </w:pPr>
    </w:p>
    <w:p>
      <w:pPr>
        <w:jc w:val="both"/>
        <w:ind w:left="1120" w:right="280" w:hanging="558"/>
        <w:spacing w:after="0" w:line="264"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NCM LLC’s founding members will be able to exercise a greater degree of influence over the operations of NCM LLC, which may discourage other nominations to our Board of Directors, if any director nominee designated by NCM LLC’s founding members is not elected by our stockholders.</w:t>
      </w:r>
    </w:p>
    <w:p>
      <w:pPr>
        <w:spacing w:after="0" w:line="73"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 Further, these restrictions could restrict or limit certain investors from owning our stock.</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62"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The common unit adjustment agreement and the ESAs provide that we will issue common membership units of NCM LLC to account for changes in the number of theater screens NCM LLC’s founding members operate and which are made part of our advertising network. Historically, in most years each of NCM LLC’s founding members has increased the number of screens it operates. If this trend continues, NCM LLC may issue additional common membership units to NCM LLC’s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NCM LLC’s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an NCM LLC founding member’s common membership units in NCM LLC. For further information, refer to Note 4 to the audited Consolidated Financial Statements included elsewhere in this document.</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future issuance of preferred stock could dilute the voting power of our common stockholders and adversely affect the market value of our common stock</w:t>
      </w:r>
    </w:p>
    <w:p>
      <w:pPr>
        <w:spacing w:after="0" w:line="62"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 future issuance of shares of preferred stock with voting rights may adversely affect the voting power of the holders of our other classes of voting stock, either by diluting the voting power of our other classes of voting stock if they vote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right="60"/>
        <w:spacing w:after="0" w:line="277" w:lineRule="auto"/>
        <w:rPr>
          <w:sz w:val="20"/>
          <w:szCs w:val="20"/>
          <w:color w:val="auto"/>
        </w:rPr>
      </w:pPr>
      <w:r>
        <w:rPr>
          <w:rFonts w:ascii="Arial" w:cs="Arial" w:eastAsia="Arial" w:hAnsi="Arial"/>
          <w:sz w:val="18"/>
          <w:szCs w:val="18"/>
          <w:color w:val="auto"/>
        </w:rPr>
        <w:t>together as a single class, or by giving the holders of any such preferred stock the right to block an action on which they have a separate class vote even if the action were approved by the holders of our other classes of voting stock.</w:t>
      </w:r>
    </w:p>
    <w:p>
      <w:pPr>
        <w:spacing w:after="0" w:line="62"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62"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of 1940. As a result, we would become subject to registration and other burdensome requirements of the Investment Company Act. In addition, the requirements of the Investment Company Act of 1940 could restrict our business activities, including our ability to issue securities.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NCM LLC intend to conduct our operations so that we are not deemed an investment company under the Investment Company</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Act. However, if anything were to occur that would cause us to be deemed an investment company, we would become subject to restrictions imposed by the Investment Company Act of 1940.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8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also rely on representations of NCM LLC’s founding members that they are not investment companies under the Investment Company Act. If any NCM LLC founding member were deemed an investment company, the restrictions placed upon that NCM LLC founding member might inhibit its ability to fulfill its obligations under its ESA or restrict NCM LLC’s ability to borrow funds.</w:t>
      </w:r>
    </w:p>
    <w:p>
      <w:pPr>
        <w:spacing w:after="0" w:line="73"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Our tax receivable agreement with NCM LLC’s founding members is expected to reduce the amount of overall cash flow that would otherwise be available to us and will increase our potential exposure to the financial condition of NCM LLC’s founding members</w:t>
      </w:r>
    </w:p>
    <w:p>
      <w:pPr>
        <w:spacing w:after="0" w:line="38"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tax receivable agreement with NCM LLC’s founding members to pay to NCM LLC’s founding members 90% of the amount by which NCM, Inc.’s tax payments to various tax authorities are reduced as a result of the increase in tax basis.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NCM LLC’s founding members was insolvent or bankrupt or otherwise unable to make payment under its indemnification obligation under the tax receivable agreement, then NCM, Inc.’s financial condition could be negatively impacted.</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62"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We cannot predict the effect, if any, that market sales of shares of common stock by NCM LLC’s founding members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We expect AMC over the next 28 months to dispose of shares of NCM, Inc. as required by the settlement agreement between AMC and the U.S. Department of Justice (the “DOJ”) entered into in connection with AMC’s recent acquisition of Carmike Cinemas. See “Management’s Discussion and Analysis of Financial Condition and Results of Operations – Known Trends and Uncertainties – Trends Related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ind w:right="80"/>
        <w:spacing w:after="0" w:line="273" w:lineRule="auto"/>
        <w:rPr>
          <w:sz w:val="20"/>
          <w:szCs w:val="20"/>
          <w:color w:val="auto"/>
        </w:rPr>
      </w:pPr>
      <w:r>
        <w:rPr>
          <w:rFonts w:ascii="Arial" w:cs="Arial" w:eastAsia="Arial" w:hAnsi="Arial"/>
          <w:sz w:val="17"/>
          <w:szCs w:val="17"/>
          <w:color w:val="auto"/>
        </w:rPr>
        <w:t>Ownership in NCM LLC.” If we are unable to sell equity securities at times and prices that we deem appropriate, we may be unable to fund growth. The founding members may receive up to 77,320,333 shares of common stock as of December 29, 2016 upon redemption of their outstanding common membership units of NCM LLC. The resale of these shares of common stock has been registered as required by the terms of the registration rights agreement between NCM Inc. and the founding members. Additionally, once options and restricted stock held by our employees become vested and/or exercisable, as applicable, to the extent that they are not held by one of our affiliates, the shares acquired upon vesting or exercise are freely tradable. Refer to Note 10 to the audited Consolidated Financial Statements included elsewhere in this document.</w:t>
      </w:r>
    </w:p>
    <w:p>
      <w:pPr>
        <w:spacing w:after="0" w:line="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Properties</w:t>
      </w:r>
    </w:p>
    <w:p>
      <w:pPr>
        <w:spacing w:after="0" w:line="121" w:lineRule="exact"/>
        <w:rPr>
          <w:sz w:val="20"/>
          <w:szCs w:val="20"/>
          <w:color w:val="auto"/>
        </w:rPr>
      </w:pPr>
    </w:p>
    <w:p>
      <w:pPr>
        <w:ind w:right="320" w:firstLine="555"/>
        <w:spacing w:after="0" w:line="264" w:lineRule="auto"/>
        <w:rPr>
          <w:sz w:val="20"/>
          <w:szCs w:val="20"/>
          <w:color w:val="auto"/>
        </w:rPr>
      </w:pPr>
      <w:r>
        <w:rPr>
          <w:rFonts w:ascii="Arial" w:cs="Arial" w:eastAsia="Arial" w:hAnsi="Arial"/>
          <w:sz w:val="18"/>
          <w:szCs w:val="18"/>
          <w:color w:val="auto"/>
        </w:rPr>
        <w:t>Information with respect to our corporate headquarters and regional offices is presented below as of December 29, 2016. We own no material real property. We believe that all of our present facilities are adequate for our current needs and that additional space is available for future expansion on acceptable terms.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Facility</w:t>
            </w:r>
          </w:p>
        </w:tc>
        <w:tc>
          <w:tcPr>
            <w:tcW w:w="1780" w:type="dxa"/>
            <w:vAlign w:val="bottom"/>
          </w:tcPr>
          <w:p>
            <w:pPr>
              <w:jc w:val="right"/>
              <w:ind w:right="692"/>
              <w:spacing w:after="0"/>
              <w:rPr>
                <w:sz w:val="20"/>
                <w:szCs w:val="20"/>
                <w:color w:val="auto"/>
              </w:rPr>
            </w:pPr>
            <w:r>
              <w:rPr>
                <w:rFonts w:ascii="Arial" w:cs="Arial" w:eastAsia="Arial" w:hAnsi="Arial"/>
                <w:sz w:val="14"/>
                <w:szCs w:val="14"/>
                <w:b w:val="1"/>
                <w:bCs w:val="1"/>
                <w:color w:val="auto"/>
              </w:rPr>
              <w:t>Size</w:t>
            </w:r>
          </w:p>
        </w:tc>
      </w:tr>
      <w:tr>
        <w:trPr>
          <w:trHeight w:val="223"/>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Centennial, CO </w:t>
            </w:r>
            <w:r>
              <w:rPr>
                <w:rFonts w:ascii="Arial" w:cs="Arial" w:eastAsia="Arial" w:hAnsi="Arial"/>
                <w:sz w:val="18"/>
                <w:szCs w:val="18"/>
                <w:i w:val="1"/>
                <w:iCs w:val="1"/>
                <w:color w:val="auto"/>
              </w:rPr>
              <w:t>(1)</w:t>
            </w:r>
          </w:p>
        </w:tc>
        <w:tc>
          <w:tcPr>
            <w:tcW w:w="200" w:type="dxa"/>
            <w:vAlign w:val="bottom"/>
            <w:tcBorders>
              <w:top w:val="single" w:sz="8" w:color="CFF0FC"/>
            </w:tcBorders>
            <w:shd w:val="clear" w:color="auto" w:fill="CFF0FC"/>
          </w:tcPr>
          <w:p>
            <w:pPr>
              <w:spacing w:after="0"/>
              <w:rPr>
                <w:sz w:val="19"/>
                <w:szCs w:val="19"/>
                <w:color w:val="auto"/>
              </w:rPr>
            </w:pPr>
          </w:p>
        </w:tc>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Headquarters (including the NOC)</w:t>
            </w:r>
          </w:p>
        </w:tc>
        <w:tc>
          <w:tcPr>
            <w:tcW w:w="2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82,721 sq. ft.</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Chicago, IL </w:t>
            </w:r>
            <w:r>
              <w:rPr>
                <w:rFonts w:ascii="Arial" w:cs="Arial" w:eastAsia="Arial" w:hAnsi="Arial"/>
                <w:sz w:val="18"/>
                <w:szCs w:val="18"/>
                <w:i w:val="1"/>
                <w:iCs w:val="1"/>
                <w:color w:val="auto"/>
              </w:rPr>
              <w:t>(2)</w:t>
            </w:r>
          </w:p>
        </w:tc>
        <w:tc>
          <w:tcPr>
            <w:tcW w:w="4820" w:type="dxa"/>
            <w:vAlign w:val="bottom"/>
            <w:gridSpan w:val="2"/>
          </w:tcPr>
          <w:p>
            <w:pPr>
              <w:spacing w:after="0"/>
              <w:rPr>
                <w:sz w:val="20"/>
                <w:szCs w:val="20"/>
                <w:color w:val="auto"/>
              </w:rPr>
            </w:pPr>
            <w:r>
              <w:rPr>
                <w:rFonts w:ascii="Arial" w:cs="Arial" w:eastAsia="Arial" w:hAnsi="Arial"/>
                <w:sz w:val="18"/>
                <w:szCs w:val="18"/>
                <w:color w:val="auto"/>
              </w:rPr>
              <w:t>Advertising Sales Office</w:t>
            </w:r>
          </w:p>
        </w:tc>
        <w:tc>
          <w:tcPr>
            <w:tcW w:w="1780" w:type="dxa"/>
            <w:vAlign w:val="bottom"/>
          </w:tcPr>
          <w:p>
            <w:pPr>
              <w:jc w:val="right"/>
              <w:spacing w:after="0"/>
              <w:rPr>
                <w:sz w:val="20"/>
                <w:szCs w:val="20"/>
                <w:color w:val="auto"/>
              </w:rPr>
            </w:pPr>
            <w:r>
              <w:rPr>
                <w:rFonts w:ascii="Arial" w:cs="Arial" w:eastAsia="Arial" w:hAnsi="Arial"/>
                <w:sz w:val="18"/>
                <w:szCs w:val="18"/>
                <w:color w:val="auto"/>
              </w:rPr>
              <w:t>3,971 sq. ft.</w:t>
            </w: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New York, NY </w:t>
            </w:r>
            <w:r>
              <w:rPr>
                <w:rFonts w:ascii="Arial" w:cs="Arial" w:eastAsia="Arial" w:hAnsi="Arial"/>
                <w:sz w:val="18"/>
                <w:szCs w:val="18"/>
                <w:i w:val="1"/>
                <w:iCs w:val="1"/>
                <w:color w:val="auto"/>
              </w:rPr>
              <w:t>(3)</w:t>
            </w: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Advertising Sales Office</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17,498 sq. ft.</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Woodland Hills, CA </w:t>
            </w:r>
            <w:r>
              <w:rPr>
                <w:rFonts w:ascii="Arial" w:cs="Arial" w:eastAsia="Arial" w:hAnsi="Arial"/>
                <w:sz w:val="18"/>
                <w:szCs w:val="18"/>
                <w:i w:val="1"/>
                <w:iCs w:val="1"/>
                <w:color w:val="auto"/>
              </w:rPr>
              <w:t>(4)</w:t>
            </w:r>
          </w:p>
        </w:tc>
        <w:tc>
          <w:tcPr>
            <w:tcW w:w="4820" w:type="dxa"/>
            <w:vAlign w:val="bottom"/>
            <w:gridSpan w:val="2"/>
          </w:tcPr>
          <w:p>
            <w:pPr>
              <w:spacing w:after="0"/>
              <w:rPr>
                <w:sz w:val="20"/>
                <w:szCs w:val="20"/>
                <w:color w:val="auto"/>
              </w:rPr>
            </w:pPr>
            <w:r>
              <w:rPr>
                <w:rFonts w:ascii="Arial" w:cs="Arial" w:eastAsia="Arial" w:hAnsi="Arial"/>
                <w:sz w:val="18"/>
                <w:szCs w:val="18"/>
                <w:color w:val="auto"/>
              </w:rPr>
              <w:t>Advertising Sales Office</w:t>
            </w:r>
          </w:p>
        </w:tc>
        <w:tc>
          <w:tcPr>
            <w:tcW w:w="1780" w:type="dxa"/>
            <w:vAlign w:val="bottom"/>
          </w:tcPr>
          <w:p>
            <w:pPr>
              <w:jc w:val="right"/>
              <w:spacing w:after="0"/>
              <w:rPr>
                <w:sz w:val="20"/>
                <w:szCs w:val="20"/>
                <w:color w:val="auto"/>
              </w:rPr>
            </w:pPr>
            <w:r>
              <w:rPr>
                <w:rFonts w:ascii="Arial" w:cs="Arial" w:eastAsia="Arial" w:hAnsi="Arial"/>
                <w:sz w:val="18"/>
                <w:szCs w:val="18"/>
                <w:color w:val="auto"/>
              </w:rPr>
              <w:t>6,062 sq. ft.</w:t>
            </w: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Minneapolis, MN </w:t>
            </w:r>
            <w:r>
              <w:rPr>
                <w:rFonts w:ascii="Arial" w:cs="Arial" w:eastAsia="Arial" w:hAnsi="Arial"/>
                <w:sz w:val="18"/>
                <w:szCs w:val="18"/>
                <w:i w:val="1"/>
                <w:iCs w:val="1"/>
                <w:color w:val="auto"/>
              </w:rPr>
              <w:t>(5)</w:t>
            </w: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Software Development Office</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 sq. ft.</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Newport Beach, CA </w:t>
            </w:r>
            <w:r>
              <w:rPr>
                <w:rFonts w:ascii="Arial" w:cs="Arial" w:eastAsia="Arial" w:hAnsi="Arial"/>
                <w:sz w:val="18"/>
                <w:szCs w:val="18"/>
                <w:i w:val="1"/>
                <w:iCs w:val="1"/>
                <w:color w:val="auto"/>
              </w:rPr>
              <w:t>(6)</w:t>
            </w:r>
          </w:p>
        </w:tc>
        <w:tc>
          <w:tcPr>
            <w:tcW w:w="4820" w:type="dxa"/>
            <w:vAlign w:val="bottom"/>
            <w:gridSpan w:val="2"/>
          </w:tcPr>
          <w:p>
            <w:pPr>
              <w:spacing w:after="0"/>
              <w:rPr>
                <w:sz w:val="20"/>
                <w:szCs w:val="20"/>
                <w:color w:val="auto"/>
              </w:rPr>
            </w:pPr>
            <w:r>
              <w:rPr>
                <w:rFonts w:ascii="Arial" w:cs="Arial" w:eastAsia="Arial" w:hAnsi="Arial"/>
                <w:sz w:val="18"/>
                <w:szCs w:val="18"/>
                <w:color w:val="auto"/>
              </w:rPr>
              <w:t>Regional Advertising Sales Office</w:t>
            </w:r>
          </w:p>
        </w:tc>
        <w:tc>
          <w:tcPr>
            <w:tcW w:w="1780" w:type="dxa"/>
            <w:vAlign w:val="bottom"/>
          </w:tcPr>
          <w:p>
            <w:pPr>
              <w:jc w:val="right"/>
              <w:spacing w:after="0"/>
              <w:rPr>
                <w:sz w:val="20"/>
                <w:szCs w:val="20"/>
                <w:color w:val="auto"/>
              </w:rPr>
            </w:pPr>
            <w:r>
              <w:rPr>
                <w:rFonts w:ascii="Arial" w:cs="Arial" w:eastAsia="Arial" w:hAnsi="Arial"/>
                <w:sz w:val="18"/>
                <w:szCs w:val="18"/>
                <w:color w:val="auto"/>
              </w:rPr>
              <w:t>1,417 sq. ft.</w:t>
            </w: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Detroit, MI </w:t>
            </w:r>
            <w:r>
              <w:rPr>
                <w:rFonts w:ascii="Arial" w:cs="Arial" w:eastAsia="Arial" w:hAnsi="Arial"/>
                <w:sz w:val="18"/>
                <w:szCs w:val="18"/>
                <w:i w:val="1"/>
                <w:iCs w:val="1"/>
                <w:color w:val="auto"/>
              </w:rPr>
              <w:t>(7)</w:t>
            </w: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Advertising Sales Office</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 sq. ft.</w:t>
            </w:r>
          </w:p>
        </w:tc>
      </w:tr>
    </w:tbl>
    <w:p>
      <w:pPr>
        <w:spacing w:after="0" w:line="134" w:lineRule="exact"/>
        <w:rPr>
          <w:sz w:val="20"/>
          <w:szCs w:val="20"/>
          <w:color w:val="auto"/>
        </w:rPr>
      </w:pPr>
    </w:p>
    <w:p>
      <w:pPr>
        <w:ind w:left="560" w:hanging="552"/>
        <w:spacing w:after="0"/>
        <w:tabs>
          <w:tab w:leader="none" w:pos="5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June 30, 2021.</w:t>
      </w:r>
    </w:p>
    <w:p>
      <w:pPr>
        <w:spacing w:after="0" w:line="23" w:lineRule="exact"/>
        <w:rPr>
          <w:rFonts w:ascii="Arial" w:cs="Arial" w:eastAsia="Arial" w:hAnsi="Arial"/>
          <w:sz w:val="18"/>
          <w:szCs w:val="18"/>
          <w:i w:val="1"/>
          <w:iCs w:val="1"/>
          <w:color w:val="auto"/>
        </w:rPr>
      </w:pPr>
    </w:p>
    <w:p>
      <w:pPr>
        <w:ind w:left="560" w:hanging="552"/>
        <w:spacing w:after="0"/>
        <w:tabs>
          <w:tab w:leader="none" w:pos="5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September 30, 2017.</w:t>
      </w:r>
    </w:p>
    <w:p>
      <w:pPr>
        <w:spacing w:after="0" w:line="9" w:lineRule="exact"/>
        <w:rPr>
          <w:rFonts w:ascii="Arial" w:cs="Arial" w:eastAsia="Arial" w:hAnsi="Arial"/>
          <w:sz w:val="18"/>
          <w:szCs w:val="18"/>
          <w:i w:val="1"/>
          <w:iCs w:val="1"/>
          <w:color w:val="auto"/>
        </w:rPr>
      </w:pPr>
    </w:p>
    <w:p>
      <w:pPr>
        <w:ind w:left="560" w:hanging="552"/>
        <w:spacing w:after="0" w:line="250" w:lineRule="auto"/>
        <w:tabs>
          <w:tab w:leader="none" w:pos="5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April 30, 2017. A new property in New York, NY (21,892 sq. ft.) will be leased beginning March 1, 2017 through April 30, 2032.</w:t>
      </w:r>
    </w:p>
    <w:p>
      <w:pPr>
        <w:ind w:left="560" w:hanging="552"/>
        <w:spacing w:after="0"/>
        <w:tabs>
          <w:tab w:leader="none" w:pos="5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November 30, 2019.</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September 30, 2022.</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July 31, 2019.</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March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-1099820</wp:posOffset>
            </wp:positionV>
            <wp:extent cx="10375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76" w:lineRule="exact"/>
        <w:rPr>
          <w:sz w:val="20"/>
          <w:szCs w:val="20"/>
          <w:color w:val="auto"/>
        </w:rPr>
      </w:pPr>
    </w:p>
    <w:p>
      <w:pPr>
        <w:ind w:right="162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ind w:left="560"/>
        <w:spacing w:after="0"/>
        <w:rPr>
          <w:sz w:val="20"/>
          <w:szCs w:val="20"/>
          <w:color w:val="auto"/>
        </w:rPr>
      </w:pPr>
      <w:r>
        <w:rPr>
          <w:rFonts w:ascii="Arial" w:cs="Arial" w:eastAsia="Arial" w:hAnsi="Arial"/>
          <w:sz w:val="16"/>
          <w:szCs w:val="16"/>
          <w:color w:val="auto"/>
        </w:rPr>
        <w:t>Our common stock, $0.01 par value, has traded on The NASDAQ Global Market under the symbol “NCMI” since February 8, 2007 (our IPO closed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February 13, 2007). There were 184 stockholders of record as of February 20, 2017 (does not include beneficial holders of shares held in “street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name”). The following table sets forth the historical high and low sales prices per share for our common stock as reported on The NASDAQ Global Market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periods indicated and the amount of cash dividends declared per share.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tbl>
      <w:tblPr>
        <w:tblLayout w:type="fixed"/>
        <w:tblInd w:w="94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Fiscal 2016</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7"/>
        </w:trPr>
        <w:tc>
          <w:tcPr>
            <w:tcW w:w="4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74"/>
              <w:spacing w:after="0" w:line="137" w:lineRule="exact"/>
              <w:rPr>
                <w:sz w:val="20"/>
                <w:szCs w:val="20"/>
                <w:color w:val="auto"/>
              </w:rPr>
            </w:pPr>
            <w:r>
              <w:rPr>
                <w:rFonts w:ascii="Arial" w:cs="Arial" w:eastAsia="Arial" w:hAnsi="Arial"/>
                <w:sz w:val="14"/>
                <w:szCs w:val="14"/>
                <w:color w:val="auto"/>
                <w:w w:val="94"/>
              </w:rPr>
              <w:t>Cash Dividend</w:t>
            </w:r>
          </w:p>
        </w:tc>
        <w:tc>
          <w:tcPr>
            <w:tcW w:w="80" w:type="dxa"/>
            <w:vAlign w:val="bottom"/>
          </w:tcPr>
          <w:p>
            <w:pPr>
              <w:spacing w:after="0"/>
              <w:rPr>
                <w:sz w:val="11"/>
                <w:szCs w:val="11"/>
                <w:color w:val="auto"/>
              </w:rPr>
            </w:pPr>
          </w:p>
        </w:tc>
      </w:tr>
      <w:tr>
        <w:trPr>
          <w:trHeight w:val="167"/>
        </w:trPr>
        <w:tc>
          <w:tcPr>
            <w:tcW w:w="4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color w:val="auto"/>
              </w:rPr>
              <w:t>High</w:t>
            </w: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color w:val="auto"/>
              </w:rPr>
              <w:t>Low</w:t>
            </w:r>
          </w:p>
        </w:tc>
        <w:tc>
          <w:tcPr>
            <w:tcW w:w="1220" w:type="dxa"/>
            <w:vAlign w:val="bottom"/>
            <w:gridSpan w:val="3"/>
          </w:tcPr>
          <w:p>
            <w:pPr>
              <w:spacing w:after="0"/>
              <w:rPr>
                <w:sz w:val="20"/>
                <w:szCs w:val="20"/>
                <w:color w:val="auto"/>
              </w:rPr>
            </w:pPr>
            <w:r>
              <w:rPr>
                <w:rFonts w:ascii="Arial" w:cs="Arial" w:eastAsia="Arial" w:hAnsi="Arial"/>
                <w:sz w:val="14"/>
                <w:szCs w:val="14"/>
                <w:color w:val="auto"/>
                <w:w w:val="97"/>
              </w:rPr>
              <w:t>Declared Per Share</w:t>
            </w: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 (January 1, 2016 – March 31, 2016)</w:t>
            </w:r>
          </w:p>
        </w:tc>
        <w:tc>
          <w:tcPr>
            <w:tcW w:w="6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Second Quarter (April 1, 2016 – June 30, 2016)</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15.76</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13.47</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Third Quarter (July 1, 2016 – September 29, 2016)</w:t>
            </w:r>
          </w:p>
        </w:tc>
        <w:tc>
          <w:tcPr>
            <w:tcW w:w="9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Fourth Quarter (September 30, 2016 – December 29, 2016)</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16.05</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20"/>
                <w:szCs w:val="20"/>
                <w:color w:val="auto"/>
              </w:rPr>
            </w:pPr>
          </w:p>
        </w:tc>
      </w:tr>
      <w:tr>
        <w:trPr>
          <w:trHeight w:val="485"/>
        </w:trPr>
        <w:tc>
          <w:tcPr>
            <w:tcW w:w="4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Fiscal 2015</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7"/>
        </w:trPr>
        <w:tc>
          <w:tcPr>
            <w:tcW w:w="4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74"/>
              <w:spacing w:after="0" w:line="137" w:lineRule="exact"/>
              <w:rPr>
                <w:sz w:val="20"/>
                <w:szCs w:val="20"/>
                <w:color w:val="auto"/>
              </w:rPr>
            </w:pPr>
            <w:r>
              <w:rPr>
                <w:rFonts w:ascii="Arial" w:cs="Arial" w:eastAsia="Arial" w:hAnsi="Arial"/>
                <w:sz w:val="14"/>
                <w:szCs w:val="14"/>
                <w:color w:val="auto"/>
                <w:w w:val="94"/>
              </w:rPr>
              <w:t>Cash Dividend</w:t>
            </w:r>
          </w:p>
        </w:tc>
        <w:tc>
          <w:tcPr>
            <w:tcW w:w="80" w:type="dxa"/>
            <w:vAlign w:val="bottom"/>
          </w:tcPr>
          <w:p>
            <w:pPr>
              <w:spacing w:after="0"/>
              <w:rPr>
                <w:sz w:val="11"/>
                <w:szCs w:val="11"/>
                <w:color w:val="auto"/>
              </w:rPr>
            </w:pPr>
          </w:p>
        </w:tc>
      </w:tr>
      <w:tr>
        <w:trPr>
          <w:trHeight w:val="167"/>
        </w:trPr>
        <w:tc>
          <w:tcPr>
            <w:tcW w:w="4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color w:val="auto"/>
              </w:rPr>
              <w:t>High</w:t>
            </w: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color w:val="auto"/>
              </w:rPr>
              <w:t>Low</w:t>
            </w:r>
          </w:p>
        </w:tc>
        <w:tc>
          <w:tcPr>
            <w:tcW w:w="1220" w:type="dxa"/>
            <w:vAlign w:val="bottom"/>
            <w:gridSpan w:val="3"/>
          </w:tcPr>
          <w:p>
            <w:pPr>
              <w:spacing w:after="0"/>
              <w:rPr>
                <w:sz w:val="20"/>
                <w:szCs w:val="20"/>
                <w:color w:val="auto"/>
              </w:rPr>
            </w:pPr>
            <w:r>
              <w:rPr>
                <w:rFonts w:ascii="Arial" w:cs="Arial" w:eastAsia="Arial" w:hAnsi="Arial"/>
                <w:sz w:val="14"/>
                <w:szCs w:val="14"/>
                <w:color w:val="auto"/>
                <w:w w:val="97"/>
              </w:rPr>
              <w:t>Declared Per Share</w:t>
            </w: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 (January 2, 2015 – April 2, 2015)</w:t>
            </w:r>
          </w:p>
        </w:tc>
        <w:tc>
          <w:tcPr>
            <w:tcW w:w="6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Second Quarter (April 3, 2015 – July 2, 2015)</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16.76</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14.33</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Third Quarter (July 3, 2015 – October 1, 2015)</w:t>
            </w:r>
          </w:p>
        </w:tc>
        <w:tc>
          <w:tcPr>
            <w:tcW w:w="9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Fourth Quarter (October 2, 2015 – December 31, 2015)</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16.33</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20"/>
                <w:szCs w:val="20"/>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We intend to distribute over time a substantial portion of our free cash flow (distributions from NCM LLC less income taxes and payments under the tax receivable agreement with the founding members) in the form of dividends to our stockholders. The declaration, payment, timing and amount of any future dividends payable will be at the sole discretion of our Board of Directors who will take into account general economic and advertising market business conditions, our financial condition, our available cash, our current and anticipated cash needs, and any other factors that the Board of Directors considers relevant.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year. For tax purposes, our dividends paid in 2015 and 2016 were treated as a return of capital to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 of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NCM, Inc.’s Amended and Restated Certificate of Incorporation and the Third Amended and Restated Limited Liability Company Operating Agreement, as amended, of NCM LLC provide a redemption right to the NCM LLC members to exchange common membership units of NCM LLC for shares of NCM, Inc.’s common stock on a one-for-one basis, or at NCM, Inc.’s option, a cash payment equal to the market price of one share of NCM, Inc.’s common stock.</w:t>
      </w:r>
    </w:p>
    <w:p>
      <w:pPr>
        <w:spacing w:after="0" w:line="79"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On December 21, 2015, NCM LLC received a Notice of Redemption from AMC, and NCM, Inc.’s Board of Directors authorized the exchange of 200,000 units for 200,000 shares of NCM, Inc. common stock. In connection with delivering the Notice of Redemption, AMC surrendered common membership units to NCM LLC for cancellation and NCM, Inc. contributed shares of its common stock to NCM LLC in exchange for an amount of newly issued common units equal to the number of units surrendered by AMC. NCM LLC distributed the shares of NCM, Inc.’s common stock to AMC to complete the redemption on December 30, 2015. The issuance of shares in this redemption was exempt from registration as the transaction by NCM, Inc. did not involve a public offering. As of December 29, 2016, these shares had not been sold and AMC owned 200,000 shares of NCM, Inc. common stock.</w:t>
      </w:r>
    </w:p>
    <w:p>
      <w:pPr>
        <w:spacing w:after="0" w:line="5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On November 22, 2016, NCM, Inc. issued 40,000 shares of its common stock, subject to restrictions, to an operating company in connection with the execution of a multi-year commercial agreement. The shares are restricted and subject to vesting and forfeiture provisions, whereby, 20,000 shares vest at the end of the initial five-year term of the commercial agreement and the remaining 20,000 shares would vest at the end of a five-year renewal period, if renewed. The shares have not been registered under the Securities Act of 1933, as amended (the “Securities Act”), and were issued pursuant to the exemption from registration contained in Section 4(a)(2) of the Securities 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the purpose of funding the recipient’s tax withholding obligations.</w:t>
      </w:r>
    </w:p>
    <w:p>
      <w:pPr>
        <w:sectPr>
          <w:pgSz w:w="11900" w:h="16838" w:orient="portrait"/>
          <w:cols w:equalWidth="0" w:num="1">
            <w:col w:w="11440"/>
          </w:cols>
          <w:pgMar w:left="240" w:top="44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Period</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September 30, 2016 through October 27, 2016</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October 28, 2016 through December 1, 2016</w:t>
      </w:r>
    </w:p>
    <w:p>
      <w:pPr>
        <w:spacing w:after="0" w:line="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December 2, 2016 through December 29, 2016</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(d)</w:t>
            </w:r>
          </w:p>
        </w:tc>
      </w:tr>
      <w:tr>
        <w:trPr>
          <w:trHeight w:val="149"/>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Maximum</w:t>
            </w:r>
          </w:p>
        </w:tc>
      </w:tr>
      <w:tr>
        <w:trPr>
          <w:trHeight w:val="149"/>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(c)</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Number (or</w:t>
            </w:r>
          </w:p>
        </w:tc>
      </w:tr>
      <w:tr>
        <w:trPr>
          <w:trHeight w:val="149"/>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Total Number</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Approximate</w:t>
            </w:r>
          </w:p>
        </w:tc>
      </w:tr>
      <w:tr>
        <w:trPr>
          <w:trHeight w:val="149"/>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of Shares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Dollar Value)</w:t>
            </w:r>
          </w:p>
        </w:tc>
      </w:tr>
      <w:tr>
        <w:trPr>
          <w:trHeight w:val="149"/>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Purchased as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9"/>
              </w:rPr>
              <w:t>of Shares that</w:t>
            </w: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Part of Publicly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may yet be</w:t>
            </w: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4"/>
              </w:rPr>
              <w:t>Total Number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(b)</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Announced</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Purchased under</w:t>
            </w: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Average Price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Plans or</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1040" w:type="dxa"/>
            <w:vAlign w:val="bottom"/>
          </w:tcPr>
          <w:p>
            <w:pPr>
              <w:jc w:val="center"/>
              <w:spacing w:after="0"/>
              <w:rPr>
                <w:sz w:val="20"/>
                <w:szCs w:val="20"/>
                <w:color w:val="auto"/>
              </w:rPr>
            </w:pPr>
            <w:r>
              <w:rPr>
                <w:rFonts w:ascii="Arial" w:cs="Arial" w:eastAsia="Arial" w:hAnsi="Arial"/>
                <w:sz w:val="14"/>
                <w:szCs w:val="14"/>
                <w:color w:val="auto"/>
                <w:w w:val="89"/>
              </w:rPr>
              <w:t>Purchased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Paid Per Share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Programs</w:t>
            </w:r>
          </w:p>
        </w:tc>
        <w:tc>
          <w:tcPr>
            <w:tcW w:w="1180" w:type="dxa"/>
            <w:vAlign w:val="bottom"/>
          </w:tcPr>
          <w:p>
            <w:pPr>
              <w:jc w:val="center"/>
              <w:spacing w:after="0"/>
              <w:rPr>
                <w:sz w:val="20"/>
                <w:szCs w:val="20"/>
                <w:color w:val="auto"/>
              </w:rPr>
            </w:pPr>
            <w:r>
              <w:rPr>
                <w:rFonts w:ascii="Arial" w:cs="Arial" w:eastAsia="Arial" w:hAnsi="Arial"/>
                <w:sz w:val="14"/>
                <w:szCs w:val="14"/>
                <w:color w:val="auto"/>
                <w:w w:val="88"/>
              </w:rPr>
              <w:t>Programs</w:t>
            </w:r>
          </w:p>
        </w:tc>
      </w:tr>
      <w:tr>
        <w:trPr>
          <w:trHeight w:val="222"/>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18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N/A</w:t>
            </w: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6,556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13.63</w:t>
            </w:r>
          </w:p>
        </w:tc>
        <w:tc>
          <w:tcPr>
            <w:tcW w:w="20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80" w:type="dxa"/>
            <w:vAlign w:val="bottom"/>
          </w:tcPr>
          <w:p>
            <w:pPr>
              <w:ind w:left="840"/>
              <w:spacing w:after="0"/>
              <w:rPr>
                <w:sz w:val="20"/>
                <w:szCs w:val="20"/>
                <w:color w:val="auto"/>
              </w:rPr>
            </w:pPr>
            <w:r>
              <w:rPr>
                <w:rFonts w:ascii="Arial" w:cs="Arial" w:eastAsia="Arial" w:hAnsi="Arial"/>
                <w:sz w:val="18"/>
                <w:szCs w:val="18"/>
                <w:color w:val="auto"/>
              </w:rPr>
              <w:t>N/A</w:t>
            </w: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80" w:type="dxa"/>
            <w:vAlign w:val="bottom"/>
          </w:tcPr>
          <w:p>
            <w:pPr>
              <w:ind w:left="84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-145415</wp:posOffset>
            </wp:positionV>
            <wp:extent cx="651764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-445135</wp:posOffset>
            </wp:positionV>
            <wp:extent cx="651764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5220" w:space="720"/>
            <w:col w:w="5500"/>
          </w:cols>
          <w:pgMar w:left="240" w:top="445" w:right="219" w:bottom="1440" w:gutter="0" w:footer="0" w:header="0"/>
          <w:type w:val="continuous"/>
        </w:sectPr>
      </w:pPr>
    </w:p>
    <w:p>
      <w:pPr>
        <w:ind w:right="260" w:firstLine="555"/>
        <w:spacing w:after="0" w:line="308" w:lineRule="auto"/>
        <w:rPr>
          <w:sz w:val="20"/>
          <w:szCs w:val="20"/>
          <w:color w:val="auto"/>
        </w:rPr>
      </w:pPr>
      <w:r>
        <w:rPr>
          <w:rFonts w:ascii="Arial" w:cs="Arial" w:eastAsia="Arial" w:hAnsi="Arial"/>
          <w:sz w:val="17"/>
          <w:szCs w:val="17"/>
          <w:color w:val="auto"/>
        </w:rPr>
        <w:t>Refer to “Item 12. Security Ownership of Certain Beneficial Owners and Management and Related Stockholder Matters” for information regarding securities authorized for issuance under our equity compensation plans which is incorporated in this Item by this reference.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The following graph compares the cumulative total stockholder return on the common stock of the Company (including dividends paid) for the period December 29, 2011 through December 29, 2016 with the Russell 2000 Index and the Dow Jones US Media TSM.</w:t>
      </w:r>
    </w:p>
    <w:p>
      <w:pPr>
        <w:spacing w:after="0" w:line="62" w:lineRule="exact"/>
        <w:rPr>
          <w:sz w:val="20"/>
          <w:szCs w:val="20"/>
          <w:color w:val="auto"/>
        </w:rPr>
      </w:pPr>
    </w:p>
    <w:p>
      <w:pPr>
        <w:ind w:right="620" w:firstLine="555"/>
        <w:spacing w:after="0" w:line="274" w:lineRule="auto"/>
        <w:rPr>
          <w:sz w:val="20"/>
          <w:szCs w:val="20"/>
          <w:color w:val="auto"/>
        </w:rPr>
      </w:pPr>
      <w:r>
        <w:rPr>
          <w:rFonts w:ascii="Arial" w:cs="Arial" w:eastAsia="Arial" w:hAnsi="Arial"/>
          <w:sz w:val="17"/>
          <w:szCs w:val="17"/>
          <w:color w:val="auto"/>
        </w:rPr>
        <w:t xml:space="preserve">The comparisons in the graph below are based upon historical data and are not indicative of, or intended to forecast, future performance of our common stock. </w:t>
      </w:r>
      <w:r>
        <w:rPr>
          <w:sz w:val="1"/>
          <w:szCs w:val="1"/>
          <w:color w:val="auto"/>
        </w:rPr>
        <w:drawing>
          <wp:inline distT="0" distB="0" distL="0" distR="0">
            <wp:extent cx="5754370" cy="257302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573020"/>
                    </a:xfrm>
                    <a:prstGeom prst="rect">
                      <a:avLst/>
                    </a:prstGeom>
                    <a:noFill/>
                    <a:ln>
                      <a:noFill/>
                    </a:ln>
                  </pic:spPr>
                </pic:pic>
              </a:graphicData>
            </a:graphic>
          </wp:inline>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 29, 2011</w:t>
            </w: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 27, 2012</w:t>
            </w: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 26, 2013</w:t>
            </w: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 1, 2015</w:t>
            </w: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 31, 2015</w:t>
            </w: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 29, 2016</w:t>
            </w:r>
          </w:p>
        </w:tc>
        <w:tc>
          <w:tcPr>
            <w:tcW w:w="20" w:type="dxa"/>
            <w:vAlign w:val="bottom"/>
          </w:tcPr>
          <w:p>
            <w:pPr>
              <w:spacing w:after="0"/>
              <w:rPr>
                <w:sz w:val="14"/>
                <w:szCs w:val="14"/>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National CineMedia, Inc.</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117.46</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166.17</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119.45</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130.59</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Russell 2000</w:t>
            </w: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112.41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156.06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161.71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152.47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Dow Jones US Media TSM</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132.41</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195.84</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217.41</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837"/>
        </w:trPr>
        <w:tc>
          <w:tcPr>
            <w:tcW w:w="3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type w:val="continuous"/>
        </w:sectPr>
      </w:pPr>
    </w:p>
    <w:bookmarkStart w:id="29" w:name="page30"/>
    <w:bookmarkEnd w:id="29"/>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21" w:lineRule="exact"/>
        <w:rPr>
          <w:sz w:val="20"/>
          <w:szCs w:val="20"/>
          <w:color w:val="auto"/>
        </w:rPr>
      </w:pPr>
    </w:p>
    <w:p>
      <w:pPr>
        <w:ind w:right="240" w:firstLine="555"/>
        <w:spacing w:after="0" w:line="279" w:lineRule="auto"/>
        <w:rPr>
          <w:sz w:val="20"/>
          <w:szCs w:val="20"/>
          <w:color w:val="auto"/>
        </w:rPr>
      </w:pPr>
      <w:r>
        <w:rPr>
          <w:rFonts w:ascii="Arial" w:cs="Arial" w:eastAsia="Arial" w:hAnsi="Arial"/>
          <w:sz w:val="17"/>
          <w:szCs w:val="17"/>
          <w:color w:val="auto"/>
        </w:rPr>
        <w:t>The following table sets forth our historical selected financial and operating data for the periods indicated. The selected financial and operating data should be read in conjunction with the other information contained in this document, including “Business,” “Management’s Discussion and Analysis of Financial Condition and Results of Operations”, the audited historical Consolidated Financial Statements and the notes thereto included elsewhere in this document, and historical audited Consolidated Financial Statements, which have not been included in this document.</w:t>
      </w:r>
    </w:p>
    <w:p>
      <w:pPr>
        <w:spacing w:after="0" w:line="63" w:lineRule="exact"/>
        <w:rPr>
          <w:sz w:val="20"/>
          <w:szCs w:val="20"/>
          <w:color w:val="auto"/>
        </w:rPr>
      </w:pPr>
    </w:p>
    <w:p>
      <w:pPr>
        <w:ind w:right="320" w:firstLine="555"/>
        <w:spacing w:after="0" w:line="302" w:lineRule="auto"/>
        <w:rPr>
          <w:sz w:val="20"/>
          <w:szCs w:val="20"/>
          <w:color w:val="auto"/>
        </w:rPr>
      </w:pPr>
      <w:r>
        <w:rPr>
          <w:rFonts w:ascii="Arial" w:cs="Arial" w:eastAsia="Arial" w:hAnsi="Arial"/>
          <w:sz w:val="16"/>
          <w:szCs w:val="16"/>
          <w:color w:val="auto"/>
        </w:rPr>
        <w:t>The results of operations data for the years ended December 29, 2016, December 31, 2015 and January 1, 2015 and the balance sheet data as of December 29, 2016 and December 31, 2015 are derived from the audited Consolidated Financial Statements of NCM, Inc. included elsewhere in this document. The results of operations data for the years ended December 26, 2013 and December 27, 2012 and the balance sheet data as of January 1, 2015, December 26, 2013 and December 27, 2012 are derived from the audited Consolidated Financial Statements of NCM, Inc.</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20"/>
                <w:szCs w:val="20"/>
                <w:color w:val="auto"/>
              </w:rPr>
            </w:pPr>
            <w:r>
              <w:rPr>
                <w:rFonts w:ascii="Arial" w:cs="Arial" w:eastAsia="Arial" w:hAnsi="Arial"/>
                <w:sz w:val="14"/>
                <w:szCs w:val="14"/>
                <w:b w:val="1"/>
                <w:bCs w:val="1"/>
                <w:color w:val="auto"/>
              </w:rPr>
              <w:t>Results of Operations Data</w:t>
            </w: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 except per share data)</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 29,</w:t>
            </w:r>
          </w:p>
        </w:tc>
        <w:tc>
          <w:tcPr>
            <w:tcW w:w="240" w:type="dxa"/>
            <w:vAlign w:val="bottom"/>
          </w:tcPr>
          <w:p>
            <w:pPr>
              <w:spacing w:after="0"/>
              <w:rPr>
                <w:sz w:val="11"/>
                <w:szCs w:val="11"/>
                <w:color w:val="auto"/>
              </w:rPr>
            </w:pPr>
          </w:p>
        </w:tc>
        <w:tc>
          <w:tcPr>
            <w:tcW w:w="800" w:type="dxa"/>
            <w:vAlign w:val="bottom"/>
          </w:tcPr>
          <w:p>
            <w:pPr>
              <w:jc w:val="right"/>
              <w:ind w:right="92"/>
              <w:spacing w:after="0" w:line="133" w:lineRule="exact"/>
              <w:rPr>
                <w:sz w:val="20"/>
                <w:szCs w:val="20"/>
                <w:color w:val="auto"/>
              </w:rPr>
            </w:pPr>
            <w:r>
              <w:rPr>
                <w:rFonts w:ascii="Arial" w:cs="Arial" w:eastAsia="Arial" w:hAnsi="Arial"/>
                <w:sz w:val="14"/>
                <w:szCs w:val="14"/>
                <w:b w:val="1"/>
                <w:bCs w:val="1"/>
                <w:color w:val="auto"/>
              </w:rPr>
              <w:t>Dec. 31,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Jan. 1,</w:t>
            </w:r>
          </w:p>
        </w:tc>
        <w:tc>
          <w:tcPr>
            <w:tcW w:w="180" w:type="dxa"/>
            <w:vAlign w:val="bottom"/>
          </w:tcPr>
          <w:p>
            <w:pPr>
              <w:spacing w:after="0"/>
              <w:rPr>
                <w:sz w:val="11"/>
                <w:szCs w:val="11"/>
                <w:color w:val="auto"/>
              </w:rPr>
            </w:pPr>
          </w:p>
        </w:tc>
        <w:tc>
          <w:tcPr>
            <w:tcW w:w="860" w:type="dxa"/>
            <w:vAlign w:val="bottom"/>
          </w:tcPr>
          <w:p>
            <w:pPr>
              <w:jc w:val="right"/>
              <w:ind w:right="192"/>
              <w:spacing w:after="0" w:line="133" w:lineRule="exact"/>
              <w:rPr>
                <w:sz w:val="20"/>
                <w:szCs w:val="20"/>
                <w:color w:val="auto"/>
              </w:rPr>
            </w:pPr>
            <w:r>
              <w:rPr>
                <w:rFonts w:ascii="Arial" w:cs="Arial" w:eastAsia="Arial" w:hAnsi="Arial"/>
                <w:sz w:val="14"/>
                <w:szCs w:val="14"/>
                <w:b w:val="1"/>
                <w:bCs w:val="1"/>
                <w:color w:val="auto"/>
              </w:rPr>
              <w:t>Dec. 26,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212"/>
              <w:spacing w:after="0" w:line="133" w:lineRule="exact"/>
              <w:rPr>
                <w:sz w:val="20"/>
                <w:szCs w:val="20"/>
                <w:color w:val="auto"/>
              </w:rPr>
            </w:pPr>
            <w:r>
              <w:rPr>
                <w:rFonts w:ascii="Arial" w:cs="Arial" w:eastAsia="Arial" w:hAnsi="Arial"/>
                <w:sz w:val="14"/>
                <w:szCs w:val="14"/>
                <w:b w:val="1"/>
                <w:bCs w:val="1"/>
                <w:color w:val="auto"/>
              </w:rPr>
              <w:t>Dec. 27,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80" w:type="dxa"/>
            <w:vAlign w:val="bottom"/>
            <w:tcBorders>
              <w:bottom w:val="single" w:sz="8" w:color="CFF0FC"/>
            </w:tcBorders>
            <w:vMerge w:val="continue"/>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9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447.6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446.5</w:t>
            </w: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394.0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426.3</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Fathom Events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Advertising operating costs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Fathom Events operating costs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Network costs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Theater access fees—founding members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Selling and marketing costs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Merger termination fee and related merger costs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Administrative and other costs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NON-OPERATING EXPENSES</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CONSOLIDATED NET INCOME</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8"/>
                <w:szCs w:val="18"/>
                <w:color w:val="auto"/>
              </w:rPr>
              <w:t>Less: Net income attributable to noncontrolling</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interests</w:t>
            </w:r>
          </w:p>
        </w:tc>
        <w:tc>
          <w:tcPr>
            <w:tcW w:w="7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NCM, Inc.</w:t>
            </w: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EARNINGS PER NCM, INC. COMMON SHARE:</w:t>
            </w: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9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4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Diluted</w:t>
            </w:r>
          </w:p>
        </w:tc>
        <w:tc>
          <w:tcPr>
            <w:tcW w:w="9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0.26</w:t>
            </w: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0.73</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431"/>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20"/>
                <w:szCs w:val="20"/>
                <w:color w:val="auto"/>
              </w:rPr>
            </w:pPr>
            <w:r>
              <w:rPr>
                <w:rFonts w:ascii="Arial" w:cs="Arial" w:eastAsia="Arial" w:hAnsi="Arial"/>
                <w:sz w:val="14"/>
                <w:szCs w:val="14"/>
                <w:b w:val="1"/>
                <w:bCs w:val="1"/>
                <w:color w:val="auto"/>
              </w:rPr>
              <w:t>Other Financial and Operating Data</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w w:val="93"/>
              </w:rPr>
              <w:t>(in millions, except cash dividend declared per common share and screen data)</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right"/>
              <w:ind w:right="500"/>
              <w:spacing w:after="0" w:line="133" w:lineRule="exact"/>
              <w:rPr>
                <w:sz w:val="20"/>
                <w:szCs w:val="20"/>
                <w:color w:val="auto"/>
              </w:rPr>
            </w:pPr>
            <w:r>
              <w:rPr>
                <w:rFonts w:ascii="Arial" w:cs="Arial" w:eastAsia="Arial" w:hAnsi="Arial"/>
                <w:sz w:val="14"/>
                <w:szCs w:val="14"/>
                <w:b w:val="1"/>
                <w:bCs w:val="1"/>
                <w:color w:val="auto"/>
                <w:w w:val="94"/>
              </w:rPr>
              <w:t>Dec. 29,</w:t>
            </w: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4"/>
          </w:tcPr>
          <w:p>
            <w:pPr>
              <w:jc w:val="right"/>
              <w:ind w:right="560"/>
              <w:spacing w:after="0" w:line="133" w:lineRule="exact"/>
              <w:rPr>
                <w:sz w:val="20"/>
                <w:szCs w:val="20"/>
                <w:color w:val="auto"/>
              </w:rPr>
            </w:pPr>
            <w:r>
              <w:rPr>
                <w:rFonts w:ascii="Arial" w:cs="Arial" w:eastAsia="Arial" w:hAnsi="Arial"/>
                <w:sz w:val="14"/>
                <w:szCs w:val="14"/>
                <w:b w:val="1"/>
                <w:bCs w:val="1"/>
                <w:color w:val="auto"/>
              </w:rPr>
              <w:t>Dec. 31,</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580"/>
              <w:spacing w:after="0" w:line="133" w:lineRule="exact"/>
              <w:rPr>
                <w:sz w:val="20"/>
                <w:szCs w:val="20"/>
                <w:color w:val="auto"/>
              </w:rPr>
            </w:pPr>
            <w:r>
              <w:rPr>
                <w:rFonts w:ascii="Arial" w:cs="Arial" w:eastAsia="Arial" w:hAnsi="Arial"/>
                <w:sz w:val="14"/>
                <w:szCs w:val="14"/>
                <w:b w:val="1"/>
                <w:bCs w:val="1"/>
                <w:color w:val="auto"/>
                <w:w w:val="91"/>
              </w:rPr>
              <w:t>Jan. 1,</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right"/>
              <w:ind w:right="500"/>
              <w:spacing w:after="0" w:line="133" w:lineRule="exact"/>
              <w:rPr>
                <w:sz w:val="20"/>
                <w:szCs w:val="20"/>
                <w:color w:val="auto"/>
              </w:rPr>
            </w:pPr>
            <w:r>
              <w:rPr>
                <w:rFonts w:ascii="Arial" w:cs="Arial" w:eastAsia="Arial" w:hAnsi="Arial"/>
                <w:sz w:val="14"/>
                <w:szCs w:val="14"/>
                <w:b w:val="1"/>
                <w:bCs w:val="1"/>
                <w:color w:val="auto"/>
                <w:w w:val="94"/>
              </w:rPr>
              <w:t>Dec. 26,</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73"/>
              <w:spacing w:after="0" w:line="133" w:lineRule="exact"/>
              <w:rPr>
                <w:sz w:val="20"/>
                <w:szCs w:val="20"/>
                <w:color w:val="auto"/>
              </w:rPr>
            </w:pPr>
            <w:r>
              <w:rPr>
                <w:rFonts w:ascii="Arial" w:cs="Arial" w:eastAsia="Arial" w:hAnsi="Arial"/>
                <w:sz w:val="14"/>
                <w:szCs w:val="14"/>
                <w:b w:val="1"/>
                <w:bCs w:val="1"/>
                <w:color w:val="auto"/>
              </w:rPr>
              <w:t>Dec. 27,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OIBDA </w:t>
            </w:r>
            <w:r>
              <w:rPr>
                <w:rFonts w:ascii="Arial" w:cs="Arial" w:eastAsia="Arial" w:hAnsi="Arial"/>
                <w:sz w:val="18"/>
                <w:szCs w:val="18"/>
                <w:i w:val="1"/>
                <w:iCs w:val="1"/>
                <w:color w:val="auto"/>
              </w:rPr>
              <w:t>(1)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Adjusted OIBDA </w:t>
            </w:r>
            <w:r>
              <w:rPr>
                <w:rFonts w:ascii="Arial" w:cs="Arial" w:eastAsia="Arial" w:hAnsi="Arial"/>
                <w:sz w:val="18"/>
                <w:szCs w:val="18"/>
                <w:i w:val="1"/>
                <w:iCs w:val="1"/>
                <w:color w:val="auto"/>
              </w:rPr>
              <w:t>(1)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230.7</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OIBDA margin </w:t>
            </w:r>
            <w:r>
              <w:rPr>
                <w:rFonts w:ascii="Arial" w:cs="Arial" w:eastAsia="Arial" w:hAnsi="Arial"/>
                <w:sz w:val="18"/>
                <w:szCs w:val="18"/>
                <w:i w:val="1"/>
                <w:iCs w:val="1"/>
                <w:color w:val="auto"/>
              </w:rPr>
              <w:t>(1)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51.5%</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50.7%</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Capital expenditures</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Cash dividend declared per common share</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Founding member screens at period end </w:t>
            </w:r>
            <w:r>
              <w:rPr>
                <w:rFonts w:ascii="Arial" w:cs="Arial" w:eastAsia="Arial" w:hAnsi="Arial"/>
                <w:sz w:val="18"/>
                <w:szCs w:val="18"/>
                <w:i w:val="1"/>
                <w:iCs w:val="1"/>
                <w:color w:val="auto"/>
              </w:rPr>
              <w:t>(2) (6)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17,022</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screens at period end </w:t>
            </w:r>
            <w:r>
              <w:rPr>
                <w:rFonts w:ascii="Arial" w:cs="Arial" w:eastAsia="Arial" w:hAnsi="Arial"/>
                <w:sz w:val="18"/>
                <w:szCs w:val="18"/>
                <w:i w:val="1"/>
                <w:iCs w:val="1"/>
                <w:color w:val="auto"/>
              </w:rPr>
              <w:t>(3) (6)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20,548</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DCN screens at period end </w:t>
            </w:r>
            <w:r>
              <w:rPr>
                <w:rFonts w:ascii="Arial" w:cs="Arial" w:eastAsia="Arial" w:hAnsi="Arial"/>
                <w:sz w:val="18"/>
                <w:szCs w:val="18"/>
                <w:i w:val="1"/>
                <w:iCs w:val="1"/>
                <w:color w:val="auto"/>
              </w:rPr>
              <w:t>(4) (6)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20,080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19,760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attendance for period </w:t>
            </w:r>
            <w:r>
              <w:rPr>
                <w:rFonts w:ascii="Arial" w:cs="Arial" w:eastAsia="Arial" w:hAnsi="Arial"/>
                <w:sz w:val="18"/>
                <w:szCs w:val="18"/>
                <w:i w:val="1"/>
                <w:iCs w:val="1"/>
                <w:color w:val="auto"/>
              </w:rPr>
              <w:t>(5) (6)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688.8</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Data (in millions)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rPr>
              <w:t>Dec. 29,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right"/>
              <w:ind w:right="360"/>
              <w:spacing w:after="0" w:line="133"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Jan. 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4"/>
                <w:szCs w:val="14"/>
                <w:b w:val="1"/>
                <w:bCs w:val="1"/>
                <w:color w:val="auto"/>
              </w:rPr>
              <w:t>Dec. 26,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Dec.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(7)</w:t>
            </w:r>
          </w:p>
        </w:tc>
        <w:tc>
          <w:tcPr>
            <w:tcW w:w="34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8"/>
                <w:szCs w:val="18"/>
                <w:i w:val="1"/>
                <w:iCs w:val="1"/>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1,057.4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1,084.3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991.4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1,067.3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Borrowings, gross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935.0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936.0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rPr>
              <w:t>Payable to founding members under tax receivable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agreement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161.8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Equity/(deficit)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70"/>
              <w:spacing w:after="0"/>
              <w:rPr>
                <w:sz w:val="20"/>
                <w:szCs w:val="20"/>
                <w:color w:val="auto"/>
              </w:rPr>
            </w:pPr>
            <w:r>
              <w:rPr>
                <w:rFonts w:ascii="Arial" w:cs="Arial" w:eastAsia="Arial" w:hAnsi="Arial"/>
                <w:sz w:val="18"/>
                <w:szCs w:val="18"/>
                <w:color w:val="auto"/>
              </w:rPr>
              <w:t>(181.2)</w:t>
            </w: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(208.7)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(146.1)</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Total liabilities and equity </w:t>
            </w:r>
            <w:r>
              <w:rPr>
                <w:rFonts w:ascii="Arial" w:cs="Arial" w:eastAsia="Arial" w:hAnsi="Arial"/>
                <w:sz w:val="18"/>
                <w:szCs w:val="18"/>
                <w:i w:val="1"/>
                <w:iCs w:val="1"/>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1,057.4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1,084.3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991.4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1,067.3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Selected Historical Financial and Operating Data</w:t>
      </w:r>
    </w:p>
    <w:p>
      <w:pPr>
        <w:spacing w:after="0" w:line="121" w:lineRule="exact"/>
        <w:rPr>
          <w:sz w:val="20"/>
          <w:szCs w:val="20"/>
          <w:color w:val="auto"/>
        </w:rPr>
      </w:pPr>
    </w:p>
    <w:p>
      <w:pPr>
        <w:ind w:left="1120" w:hanging="558"/>
        <w:spacing w:after="0" w:line="285" w:lineRule="auto"/>
        <w:tabs>
          <w:tab w:leader="none" w:pos="1120" w:val="left"/>
        </w:tabs>
        <w:numPr>
          <w:ilvl w:val="0"/>
          <w:numId w:val="18"/>
        </w:numPr>
        <w:rPr>
          <w:rFonts w:ascii="Arial" w:cs="Arial" w:eastAsia="Arial" w:hAnsi="Arial"/>
          <w:sz w:val="16"/>
          <w:szCs w:val="16"/>
          <w:i w:val="1"/>
          <w:iCs w:val="1"/>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United States. OIBDA represents operating income before depreciation and amortization expense. Adjusted OIBDA excludes from OIBDA non-cash share based payment costs, the merger termination fee and related merger costs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levels of mergers and acquisitions, CEO turnover,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costs associated with the terminated merger with Screenvision, LLC (“Screenvision”), or costs associated with the resignation of the Company’s former Chief Executive Officer.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31" w:name="page32"/>
    <w:bookmarkEnd w:id="31"/>
    <w:p>
      <w:pPr>
        <w:ind w:left="1120"/>
        <w:spacing w:after="0"/>
        <w:rPr>
          <w:sz w:val="20"/>
          <w:szCs w:val="20"/>
          <w:color w:val="auto"/>
        </w:rPr>
      </w:pPr>
      <w:r>
        <w:rPr>
          <w:rFonts w:ascii="Arial" w:cs="Arial" w:eastAsia="Arial" w:hAnsi="Arial"/>
          <w:sz w:val="17"/>
          <w:szCs w:val="17"/>
          <w:color w:val="auto"/>
        </w:rPr>
        <w:t>OIBDA and Adjusted OIBDA do not reflect integration payments as integration payments are recorded as a reduction to intangible</w:t>
      </w:r>
    </w:p>
    <w:p>
      <w:pPr>
        <w:spacing w:after="0" w:line="35" w:lineRule="exact"/>
        <w:rPr>
          <w:sz w:val="20"/>
          <w:szCs w:val="20"/>
          <w:color w:val="auto"/>
        </w:rPr>
      </w:pPr>
    </w:p>
    <w:p>
      <w:pPr>
        <w:jc w:val="both"/>
        <w:ind w:left="1120" w:right="100"/>
        <w:spacing w:after="0" w:line="281" w:lineRule="auto"/>
        <w:rPr>
          <w:sz w:val="20"/>
          <w:szCs w:val="20"/>
          <w:color w:val="auto"/>
        </w:rPr>
      </w:pPr>
      <w:r>
        <w:rPr>
          <w:rFonts w:ascii="Arial" w:cs="Arial" w:eastAsia="Arial" w:hAnsi="Arial"/>
          <w:sz w:val="16"/>
          <w:szCs w:val="16"/>
          <w:color w:val="auto"/>
        </w:rPr>
        <w:t>assets. Integration payments received are added to Adjusted OIBDA to determine our compliance with financial covenants under our senior secured credit facility and included in available cash distributions to NCM LLC’s founding members. During the years ended December 29, 2016, December 31, 2015, January 1, 2015, December 26, 2013 and December 27, 2012, the Company recorded integration payments of $2.6 million, $2.7 million, $2.2 million, $2.8 million, and $0.0 million, respectively, from NCM LLC’s founding members.</w:t>
      </w:r>
    </w:p>
    <w:p>
      <w:pPr>
        <w:spacing w:after="0" w:line="3" w:lineRule="exact"/>
        <w:rPr>
          <w:sz w:val="20"/>
          <w:szCs w:val="20"/>
          <w:color w:val="auto"/>
        </w:rPr>
      </w:pPr>
    </w:p>
    <w:p>
      <w:pPr>
        <w:ind w:left="1120" w:hanging="558"/>
        <w:spacing w:after="0"/>
        <w:tabs>
          <w:tab w:leader="none" w:pos="112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Represents the total number of screens within NCM LLC’s advertising network operated by NCM LLC’s founding members.</w:t>
      </w:r>
    </w:p>
    <w:p>
      <w:pPr>
        <w:spacing w:after="0" w:line="9" w:lineRule="exact"/>
        <w:rPr>
          <w:rFonts w:ascii="Arial" w:cs="Arial" w:eastAsia="Arial" w:hAnsi="Arial"/>
          <w:sz w:val="18"/>
          <w:szCs w:val="18"/>
          <w:i w:val="1"/>
          <w:iCs w:val="1"/>
          <w:color w:val="auto"/>
        </w:rPr>
      </w:pPr>
    </w:p>
    <w:p>
      <w:pPr>
        <w:ind w:left="1120" w:hanging="558"/>
        <w:spacing w:after="0"/>
        <w:tabs>
          <w:tab w:leader="none" w:pos="112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Represents the total screens within NCM LLC’s advertising network.</w:t>
      </w:r>
    </w:p>
    <w:p>
      <w:pPr>
        <w:spacing w:after="0" w:line="9" w:lineRule="exact"/>
        <w:rPr>
          <w:rFonts w:ascii="Arial" w:cs="Arial" w:eastAsia="Arial" w:hAnsi="Arial"/>
          <w:sz w:val="18"/>
          <w:szCs w:val="18"/>
          <w:i w:val="1"/>
          <w:iCs w:val="1"/>
          <w:color w:val="auto"/>
        </w:rPr>
      </w:pPr>
    </w:p>
    <w:p>
      <w:pPr>
        <w:ind w:left="1120" w:hanging="558"/>
        <w:spacing w:after="0"/>
        <w:tabs>
          <w:tab w:leader="none" w:pos="112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Represents the total number of screens that are connected to the DCN.</w:t>
      </w:r>
    </w:p>
    <w:p>
      <w:pPr>
        <w:spacing w:after="0" w:line="9" w:lineRule="exact"/>
        <w:rPr>
          <w:rFonts w:ascii="Arial" w:cs="Arial" w:eastAsia="Arial" w:hAnsi="Arial"/>
          <w:sz w:val="18"/>
          <w:szCs w:val="18"/>
          <w:i w:val="1"/>
          <w:iCs w:val="1"/>
          <w:color w:val="auto"/>
        </w:rPr>
      </w:pPr>
    </w:p>
    <w:p>
      <w:pPr>
        <w:ind w:left="1120" w:hanging="558"/>
        <w:spacing w:after="0"/>
        <w:tabs>
          <w:tab w:leader="none" w:pos="112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9" w:lineRule="exact"/>
        <w:rPr>
          <w:rFonts w:ascii="Arial" w:cs="Arial" w:eastAsia="Arial" w:hAnsi="Arial"/>
          <w:sz w:val="18"/>
          <w:szCs w:val="18"/>
          <w:i w:val="1"/>
          <w:iCs w:val="1"/>
          <w:color w:val="auto"/>
        </w:rPr>
      </w:pPr>
    </w:p>
    <w:p>
      <w:pPr>
        <w:ind w:left="1120" w:right="100" w:hanging="558"/>
        <w:spacing w:after="0" w:line="250" w:lineRule="auto"/>
        <w:tabs>
          <w:tab w:leader="none" w:pos="112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Cinemark Rave and AMC Rave theaters for all periods presented. Refer to Note 4 to the audited Consolidated Financial Statements included elsewhere in this document.</w:t>
      </w:r>
    </w:p>
    <w:p>
      <w:pPr>
        <w:ind w:left="1120" w:hanging="558"/>
        <w:spacing w:after="0"/>
        <w:tabs>
          <w:tab w:leader="none" w:pos="112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Includes short-term and long-term marketable securities.</w:t>
      </w:r>
    </w:p>
    <w:p>
      <w:pPr>
        <w:spacing w:after="0" w:line="9" w:lineRule="exact"/>
        <w:rPr>
          <w:rFonts w:ascii="Arial" w:cs="Arial" w:eastAsia="Arial" w:hAnsi="Arial"/>
          <w:sz w:val="18"/>
          <w:szCs w:val="18"/>
          <w:i w:val="1"/>
          <w:iCs w:val="1"/>
          <w:color w:val="auto"/>
        </w:rPr>
      </w:pPr>
    </w:p>
    <w:p>
      <w:pPr>
        <w:ind w:left="1120" w:right="20" w:hanging="558"/>
        <w:spacing w:after="0" w:line="286" w:lineRule="auto"/>
        <w:tabs>
          <w:tab w:leader="none" w:pos="1120" w:val="left"/>
        </w:tabs>
        <w:numPr>
          <w:ilvl w:val="0"/>
          <w:numId w:val="19"/>
        </w:numPr>
        <w:rPr>
          <w:rFonts w:ascii="Arial" w:cs="Arial" w:eastAsia="Arial" w:hAnsi="Arial"/>
          <w:sz w:val="16"/>
          <w:szCs w:val="16"/>
          <w:i w:val="1"/>
          <w:iCs w:val="1"/>
          <w:color w:val="auto"/>
        </w:rPr>
      </w:pPr>
      <w:r>
        <w:rPr>
          <w:rFonts w:ascii="Arial" w:cs="Arial" w:eastAsia="Arial" w:hAnsi="Arial"/>
          <w:sz w:val="16"/>
          <w:szCs w:val="16"/>
          <w:color w:val="auto"/>
        </w:rPr>
        <w:t>During the first quarter of 2016, the Company adopted Accounting Standards Update 2015-03, Interest – Imputation of Interest (Subtopic 835-30): Simplifying the Presentation of Debt Issuance Costs (“ASU 2015-03”) and Accounting Standards Update 2015-15, Interest – Imputation of Interest (“ASU 2015-15”), on a retrospective basis, which provide guidance for simplifying the presentation of debt issuance costs. In connection with the adoption of ASU 2015-03 and ASU 2015-15, the Company reclassified net deferred financing costs related to NCM LLC’s term loans, secured and unsecured notes in the Consolidated Balance Sheet as a direct deduction from the carrying amount of those borrowings, while net deferred financing costs related to the revolving credit facility remained an asset in the Consolidated Balance Sheet. The amounts presented above for total assets and total liabilities and equity reflect this reclassification as of December 29, 2016 and December 31, 2015. Amounts presented as of January 1, 2015, December 26, 2013 and December 27, 2012 do not reflect the reclassification. If adjusted, the reclassification for ASU 2015-03 and ASU 2015-15 would reduce both total assets and total liabilities and equity shown above by $12.7 million, $14.8 million and $14.6 million as of January 1, 2015, December 26, 2013 and December 27, 2012, respectively.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89"/>
              </w:rPr>
              <w:t>Years Ended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7"/>
        </w:trPr>
        <w:tc>
          <w:tcPr>
            <w:tcW w:w="1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Dec. 29, 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Dec. 31, 2015</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Jan. 1, 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 26, 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 27, 2012</w:t>
            </w:r>
          </w:p>
        </w:tc>
      </w:tr>
      <w:tr>
        <w:trPr>
          <w:trHeight w:val="223"/>
        </w:trPr>
        <w:tc>
          <w:tcPr>
            <w:tcW w:w="4660" w:type="dxa"/>
            <w:vAlign w:val="bottom"/>
            <w:tcBorders>
              <w:top w:val="single" w:sz="8" w:color="CFF2FA"/>
            </w:tcBorders>
            <w:gridSpan w:val="2"/>
            <w:shd w:val="clear" w:color="auto" w:fill="CFF2FA"/>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173.0</w:t>
            </w:r>
          </w:p>
        </w:tc>
        <w:tc>
          <w:tcPr>
            <w:tcW w:w="2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148.0</w:t>
            </w:r>
          </w:p>
        </w:tc>
        <w:tc>
          <w:tcPr>
            <w:tcW w:w="30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151.7</w:t>
            </w:r>
          </w:p>
        </w:tc>
        <w:tc>
          <w:tcPr>
            <w:tcW w:w="2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191.8</w:t>
            </w:r>
          </w:p>
        </w:tc>
        <w:tc>
          <w:tcPr>
            <w:tcW w:w="180" w:type="dxa"/>
            <w:vAlign w:val="bottom"/>
            <w:tcBorders>
              <w:top w:val="single" w:sz="8" w:color="CFF2FA"/>
            </w:tcBorders>
            <w:shd w:val="clear" w:color="auto" w:fill="CFF2FA"/>
          </w:tcPr>
          <w:p>
            <w:pPr>
              <w:spacing w:after="0"/>
              <w:rPr>
                <w:sz w:val="19"/>
                <w:szCs w:val="19"/>
                <w:color w:val="auto"/>
              </w:rPr>
            </w:pPr>
          </w:p>
        </w:tc>
      </w:tr>
      <w:tr>
        <w:trPr>
          <w:trHeight w:val="230"/>
        </w:trPr>
        <w:tc>
          <w:tcPr>
            <w:tcW w:w="4660" w:type="dxa"/>
            <w:vAlign w:val="bottom"/>
            <w:tcBorders>
              <w:bottom w:val="single" w:sz="8" w:color="CFF2FA"/>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300" w:type="dxa"/>
            <w:vAlign w:val="bottom"/>
            <w:tcBorders>
              <w:bottom w:val="single" w:sz="8" w:color="CFF2F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Borders>
              <w:bottom w:val="single" w:sz="8" w:color="CFF2FA"/>
            </w:tcBorders>
          </w:tcPr>
          <w:p>
            <w:pPr>
              <w:spacing w:after="0"/>
              <w:rPr>
                <w:sz w:val="19"/>
                <w:szCs w:val="19"/>
                <w:color w:val="auto"/>
              </w:rPr>
            </w:pPr>
          </w:p>
        </w:tc>
      </w:tr>
      <w:tr>
        <w:trPr>
          <w:trHeight w:val="223"/>
        </w:trPr>
        <w:tc>
          <w:tcPr>
            <w:tcW w:w="4660" w:type="dxa"/>
            <w:vAlign w:val="bottom"/>
            <w:gridSpan w:val="2"/>
            <w:shd w:val="clear" w:color="auto" w:fill="CFF2FA"/>
          </w:tcPr>
          <w:p>
            <w:pPr>
              <w:ind w:left="260"/>
              <w:spacing w:after="0"/>
              <w:rPr>
                <w:sz w:val="20"/>
                <w:szCs w:val="20"/>
                <w:color w:val="auto"/>
              </w:rPr>
            </w:pPr>
            <w:r>
              <w:rPr>
                <w:rFonts w:ascii="Arial" w:cs="Arial" w:eastAsia="Arial" w:hAnsi="Arial"/>
                <w:sz w:val="18"/>
                <w:szCs w:val="18"/>
                <w:color w:val="auto"/>
              </w:rPr>
              <w:t>OIBDA</w:t>
            </w:r>
          </w:p>
        </w:tc>
        <w:tc>
          <w:tcPr>
            <w:tcW w:w="14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208.8</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180.2</w:t>
            </w:r>
          </w:p>
        </w:tc>
        <w:tc>
          <w:tcPr>
            <w:tcW w:w="300" w:type="dxa"/>
            <w:vAlign w:val="bottom"/>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184.1</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228.6</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212.2</w:t>
            </w:r>
          </w:p>
        </w:tc>
        <w:tc>
          <w:tcPr>
            <w:tcW w:w="180" w:type="dxa"/>
            <w:vAlign w:val="bottom"/>
            <w:shd w:val="clear" w:color="auto" w:fill="CFF2FA"/>
          </w:tcPr>
          <w:p>
            <w:pPr>
              <w:spacing w:after="0"/>
              <w:rPr>
                <w:sz w:val="19"/>
                <w:szCs w:val="19"/>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r>
      <w:tr>
        <w:trPr>
          <w:trHeight w:val="230"/>
        </w:trPr>
        <w:tc>
          <w:tcPr>
            <w:tcW w:w="4660" w:type="dxa"/>
            <w:vAlign w:val="bottom"/>
            <w:gridSpan w:val="2"/>
            <w:shd w:val="clear" w:color="auto" w:fill="CFF2FA"/>
          </w:tcPr>
          <w:p>
            <w:pPr>
              <w:spacing w:after="0"/>
              <w:rPr>
                <w:sz w:val="20"/>
                <w:szCs w:val="20"/>
                <w:color w:val="auto"/>
              </w:rPr>
            </w:pPr>
            <w:r>
              <w:rPr>
                <w:rFonts w:ascii="Arial" w:cs="Arial" w:eastAsia="Arial" w:hAnsi="Arial"/>
                <w:sz w:val="18"/>
                <w:szCs w:val="18"/>
                <w:color w:val="auto"/>
              </w:rPr>
              <w:t xml:space="preserve">Merger-related administrative costs </w:t>
            </w:r>
            <w:r>
              <w:rPr>
                <w:rFonts w:ascii="Arial" w:cs="Arial" w:eastAsia="Arial" w:hAnsi="Arial"/>
                <w:sz w:val="18"/>
                <w:szCs w:val="18"/>
                <w:i w:val="1"/>
                <w:iCs w:val="1"/>
                <w:color w:val="auto"/>
              </w:rPr>
              <w:t>(2)</w:t>
            </w:r>
          </w:p>
        </w:tc>
        <w:tc>
          <w:tcPr>
            <w:tcW w:w="14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34.3</w:t>
            </w:r>
          </w:p>
        </w:tc>
        <w:tc>
          <w:tcPr>
            <w:tcW w:w="3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Borders>
              <w:top w:val="single" w:sz="8" w:color="CFF2FA"/>
            </w:tcBorders>
            <w:gridSpan w:val="2"/>
            <w:shd w:val="clear" w:color="auto" w:fill="CFF2FA"/>
          </w:tcPr>
          <w:p>
            <w:pPr>
              <w:ind w:left="260"/>
              <w:spacing w:after="0"/>
              <w:rPr>
                <w:sz w:val="20"/>
                <w:szCs w:val="20"/>
                <w:color w:val="auto"/>
              </w:rPr>
            </w:pPr>
            <w:r>
              <w:rPr>
                <w:rFonts w:ascii="Arial" w:cs="Arial" w:eastAsia="Arial" w:hAnsi="Arial"/>
                <w:sz w:val="18"/>
                <w:szCs w:val="18"/>
                <w:color w:val="auto"/>
              </w:rPr>
              <w:t>Adjusted OIBDA</w:t>
            </w:r>
          </w:p>
        </w:tc>
        <w:tc>
          <w:tcPr>
            <w:tcW w:w="1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230.7</w:t>
            </w:r>
          </w:p>
        </w:tc>
        <w:tc>
          <w:tcPr>
            <w:tcW w:w="2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229.9</w:t>
            </w:r>
          </w:p>
        </w:tc>
        <w:tc>
          <w:tcPr>
            <w:tcW w:w="30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234.5</w:t>
            </w:r>
          </w:p>
        </w:tc>
        <w:tc>
          <w:tcPr>
            <w:tcW w:w="2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221.2</w:t>
            </w:r>
          </w:p>
        </w:tc>
        <w:tc>
          <w:tcPr>
            <w:tcW w:w="180" w:type="dxa"/>
            <w:vAlign w:val="bottom"/>
            <w:tcBorders>
              <w:top w:val="single" w:sz="8" w:color="CFF2FA"/>
            </w:tcBorders>
            <w:shd w:val="clear" w:color="auto" w:fill="CFF2FA"/>
          </w:tcPr>
          <w:p>
            <w:pPr>
              <w:spacing w:after="0"/>
              <w:rPr>
                <w:sz w:val="19"/>
                <w:szCs w:val="19"/>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447.6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446.5</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448.8</w:t>
            </w:r>
          </w:p>
        </w:tc>
        <w:tc>
          <w:tcPr>
            <w:tcW w:w="180" w:type="dxa"/>
            <w:vAlign w:val="bottom"/>
          </w:tcPr>
          <w:p>
            <w:pPr>
              <w:spacing w:after="0"/>
              <w:rPr>
                <w:sz w:val="19"/>
                <w:szCs w:val="19"/>
                <w:color w:val="auto"/>
              </w:rPr>
            </w:pPr>
          </w:p>
        </w:tc>
      </w:tr>
      <w:tr>
        <w:trPr>
          <w:trHeight w:val="230"/>
        </w:trPr>
        <w:tc>
          <w:tcPr>
            <w:tcW w:w="4660" w:type="dxa"/>
            <w:vAlign w:val="bottom"/>
            <w:gridSpan w:val="2"/>
            <w:shd w:val="clear" w:color="auto" w:fill="CFF2FA"/>
          </w:tcPr>
          <w:p>
            <w:pPr>
              <w:ind w:left="260"/>
              <w:spacing w:after="0"/>
              <w:rPr>
                <w:sz w:val="20"/>
                <w:szCs w:val="20"/>
                <w:color w:val="auto"/>
              </w:rPr>
            </w:pPr>
            <w:r>
              <w:rPr>
                <w:rFonts w:ascii="Arial" w:cs="Arial" w:eastAsia="Arial" w:hAnsi="Arial"/>
                <w:sz w:val="18"/>
                <w:szCs w:val="18"/>
                <w:color w:val="auto"/>
              </w:rPr>
              <w:t>Adjusted OIBDA margin</w:t>
            </w:r>
          </w:p>
        </w:tc>
        <w:tc>
          <w:tcPr>
            <w:tcW w:w="14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26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49.3%</w:t>
            </w:r>
          </w:p>
        </w:tc>
      </w:tr>
      <w:tr>
        <w:trPr>
          <w:trHeight w:val="135"/>
        </w:trPr>
        <w:tc>
          <w:tcPr>
            <w:tcW w:w="1640" w:type="dxa"/>
            <w:vAlign w:val="bottom"/>
            <w:tcBorders>
              <w:bottom w:val="single" w:sz="8" w:color="auto"/>
            </w:tcBorders>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pacing w:after="0" w:line="94" w:lineRule="exact"/>
        <w:rPr>
          <w:sz w:val="20"/>
          <w:szCs w:val="20"/>
          <w:color w:val="auto"/>
        </w:rPr>
      </w:pPr>
    </w:p>
    <w:p>
      <w:pPr>
        <w:ind w:left="1120" w:right="540" w:hanging="558"/>
        <w:spacing w:after="0" w:line="258" w:lineRule="auto"/>
        <w:tabs>
          <w:tab w:leader="none" w:pos="112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Share-based payments costs are included in network operations, selling and marketing and administrative expense in the accompanying audited Consolidated Financial Statements.</w:t>
      </w:r>
    </w:p>
    <w:p>
      <w:pPr>
        <w:spacing w:after="0" w:line="1" w:lineRule="exact"/>
        <w:rPr>
          <w:rFonts w:ascii="Arial" w:cs="Arial" w:eastAsia="Arial" w:hAnsi="Arial"/>
          <w:sz w:val="18"/>
          <w:szCs w:val="18"/>
          <w:i w:val="1"/>
          <w:iCs w:val="1"/>
          <w:color w:val="auto"/>
        </w:rPr>
      </w:pPr>
    </w:p>
    <w:p>
      <w:pPr>
        <w:ind w:left="1120" w:right="180" w:hanging="558"/>
        <w:spacing w:after="0" w:line="250" w:lineRule="auto"/>
        <w:tabs>
          <w:tab w:leader="none" w:pos="112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1120" w:hanging="558"/>
        <w:spacing w:after="0"/>
        <w:tabs>
          <w:tab w:leader="none" w:pos="112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Chief Executive Officer transition costs represent severance, consulting and related other costs.</w:t>
      </w:r>
    </w:p>
    <w:p>
      <w:pPr>
        <w:spacing w:after="0" w:line="103" w:lineRule="exact"/>
        <w:rPr>
          <w:sz w:val="20"/>
          <w:szCs w:val="20"/>
          <w:color w:val="auto"/>
        </w:rPr>
      </w:pPr>
    </w:p>
    <w:p>
      <w:pPr>
        <w:ind w:right="220" w:firstLine="555"/>
        <w:spacing w:after="0" w:line="297" w:lineRule="auto"/>
        <w:rPr>
          <w:sz w:val="20"/>
          <w:szCs w:val="20"/>
          <w:color w:val="auto"/>
        </w:rPr>
      </w:pPr>
      <w:r>
        <w:rPr>
          <w:rFonts w:ascii="Arial" w:cs="Arial" w:eastAsia="Arial" w:hAnsi="Arial"/>
          <w:sz w:val="16"/>
          <w:szCs w:val="16"/>
          <w:color w:val="auto"/>
        </w:rPr>
        <w:t>The Company has also presented total operating expenses before the merger termination fee and related merger costs within its results of operations section below which is not a financial measure calculated in accordance with GAAP. Operating expenses before the merger termination fee and related merger costs represent operating costs less costs associated with the terminated Screenvision merger. This non-GAAP financial measure is used to provide readers a comparison of our 2016 results to our 2015 results without including the impact of the nonrecurring merger termination fee and related merger costs. The Company believes this is an important supplemental measure because it eliminates these nonrecurring costs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ind w:right="40"/>
        <w:spacing w:after="0" w:line="259" w:lineRule="auto"/>
        <w:rPr>
          <w:sz w:val="20"/>
          <w:szCs w:val="20"/>
          <w:color w:val="auto"/>
        </w:rPr>
      </w:pPr>
      <w:r>
        <w:rPr>
          <w:rFonts w:ascii="Arial" w:cs="Arial" w:eastAsia="Arial" w:hAnsi="Arial"/>
          <w:sz w:val="18"/>
          <w:szCs w:val="18"/>
          <w:color w:val="auto"/>
        </w:rPr>
        <w:t>highlight trends in its ongoing business that may not otherwise be apparent when relying solely on GAAP financial measures. Operating expenses before the merger termination fee and related merger costs should not be regarded as an alternative to operating expenses or as an indicator of operating performance, nor should it be considered in isolation of, or as a substitute for financial measures prepared in accordance with GAAP. The Company believes that total operating expenses is the most directly comparable GAAP financial measure.</w:t>
      </w:r>
    </w:p>
    <w:p>
      <w:pPr>
        <w:spacing w:after="0" w:line="7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right="160" w:firstLine="555"/>
        <w:spacing w:after="0" w:line="290" w:lineRule="auto"/>
        <w:rPr>
          <w:sz w:val="20"/>
          <w:szCs w:val="20"/>
          <w:color w:val="auto"/>
        </w:rPr>
      </w:pPr>
      <w:r>
        <w:rPr>
          <w:rFonts w:ascii="Arial" w:cs="Arial" w:eastAsia="Arial" w:hAnsi="Arial"/>
          <w:sz w:val="16"/>
          <w:szCs w:val="16"/>
          <w:i w:val="1"/>
          <w:iCs w:val="1"/>
          <w:color w:val="auto"/>
        </w:rPr>
        <w:t>As discussed in Part 1, some of the information in this Annual Report on Form 10-K includes “forward-looking statements” within the meaning of Section 27A of the Securities Act of 1933, as amended, and Section 21E of the Securities Exchange Act of 1934 (the “Exchange Act”), as amended. All statements other than statements of historical facts included in this Form 10-K,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 xml:space="preserve">We are America's Movie Network. As the #1 weekend network for Millennials (age 18-34) in the U.S., we are the connector between brands and movie audiences. We currently derive revenue principally from the sale of advertising to national, regional and local businesses in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our cinema advertising and entertainment pre-show seen on movie screens across the U.S. We also sell advertising on our LEN, a series of strategically-placed screens located in movie theater lobbies, as well as other forms of advertising and promotions in theater lobbies. In addition, we sell online and mobile advertising through our </w:t>
      </w:r>
      <w:r>
        <w:rPr>
          <w:rFonts w:ascii="Arial" w:cs="Arial" w:eastAsia="Arial" w:hAnsi="Arial"/>
          <w:sz w:val="16"/>
          <w:szCs w:val="16"/>
          <w:i w:val="1"/>
          <w:iCs w:val="1"/>
          <w:color w:val="auto"/>
        </w:rPr>
        <w:t>Cinema Accelerator</w:t>
      </w:r>
      <w:r>
        <w:rPr>
          <w:rFonts w:ascii="Arial" w:cs="Arial" w:eastAsia="Arial" w:hAnsi="Arial"/>
          <w:sz w:val="16"/>
          <w:szCs w:val="16"/>
          <w:color w:val="auto"/>
        </w:rPr>
        <w:t xml:space="preserve"> digital product to reach entertainment audiences beyond the theater. We have long-term ESAs (over 20 years remaining as of December 29, 2016) and multi-year agreements with network affiliates, which expire at various dates between July 14, 2017 and July 22, 2031. The weighted average remaining term (based on attendance) of the ESAs and the network affiliate agreements is 18.1 years as of December 29, 2016. The ESAs and network affiliate agreements grant NCM LLC exclusive rights in their theaters to sell advertising, subject to limited exceptions.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LEN programming are distributed predominantly via satellite through our proprietary DCN. Approximately 98% of the aggregate founding member and network affiliate theater attendance is generated by theaters connected to our DCN (the remaining screens receive advertisements on USB drives) and 100%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is projected on digital projectors (90% digital cinema projectors and 10% LCD projectors).</w:t>
      </w:r>
    </w:p>
    <w:p>
      <w:pPr>
        <w:spacing w:after="0" w:line="65"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officers, managers and staff to discuss and analyze operating results and address significant variances to budget and prior year in an effort to identify trends and changes in our business. We focus on many operating metrics including changes in revenue, OIBDA, Adjusted OIBDA and Adjusted OIBDA margin, as defined and discussed in “Notes to the Selected Historical Financial and Operating Data” above, as some of our primary measurement metrics. In addition, we monitor our monthly advertising performance measurements, including advertising inventory utilization, national and local advertising pricing (CPM), local and regional advertising rate per screen per week, local and regional and total advertising revenue per attendee. We also monitor free cash flow, the dividend coverage ratio, financial leverage (net debt divided by Adjusted OIBDA), cash balances and revolving credit facility availability to ensure debt covenant compliance and that there is adequate cash availability to fund our working capital needs and debt obligations and current and future dividends declared by our Board of Directors.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On May 5, 2014, NCM, Inc. entered into an Agreement and Plan of Merger (the “Merger Agreement”) to merge with Screenvision. On November 3, 2014, the DOJ filed a lawsuit seeking to enjoin the merger. On March 16, 2015, NCM, Inc. announced the termination of the Merger Agreement and the lawsuit was dismissed. After the Merger Agreement was terminated, NCM LLC reimbursed NCM, Inc. for certain expenses pursuant to an indemnification agreement among NCM LLC, NCM, Inc. and the founding members. On March 17, 2015, NCM LLC paid Screenvision an approximate $26.8 million termination payment on behalf of NCM, Inc. During the year ended December 31, 2015, NCM LLC also either paid directly or reimbursed NCM, Inc. for the legal and other merger-related costs of approximately $15.0 million ($7.5 million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3" w:name="page34"/>
    <w:bookmarkEnd w:id="33"/>
    <w:p>
      <w:pPr>
        <w:ind w:right="280"/>
        <w:spacing w:after="0" w:line="264" w:lineRule="auto"/>
        <w:rPr>
          <w:sz w:val="20"/>
          <w:szCs w:val="20"/>
          <w:color w:val="auto"/>
        </w:rPr>
      </w:pPr>
      <w:r>
        <w:rPr>
          <w:rFonts w:ascii="Arial" w:cs="Arial" w:eastAsia="Arial" w:hAnsi="Arial"/>
          <w:sz w:val="18"/>
          <w:szCs w:val="18"/>
          <w:color w:val="auto"/>
        </w:rPr>
        <w:t>incurred by NCM, Inc. during the year ended January 1, 2015 and approximately $7.5 million incurred by NCM LLC during the year ended December 31, 2015). NCM, Inc. and the founding members each bore a pro rata portion of the termination fee and the related merger expenses based on their aggregate ownership percentages in NCM LLC when the expenses were incurred.</w:t>
      </w:r>
    </w:p>
    <w:p>
      <w:pPr>
        <w:spacing w:after="0" w:line="73" w:lineRule="exact"/>
        <w:rPr>
          <w:sz w:val="20"/>
          <w:szCs w:val="20"/>
          <w:color w:val="auto"/>
        </w:rPr>
      </w:pPr>
    </w:p>
    <w:p>
      <w:pPr>
        <w:ind w:right="620" w:firstLine="555"/>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this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You should read this information in conjunction with the other information contained in this document, and our audited historical financial statements and the notes thereto included elsewhere in this document.</w:t>
      </w:r>
    </w:p>
    <w:p>
      <w:pPr>
        <w:spacing w:after="0" w:line="62"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The following table presents operating data and Adjusted OIBDA (dollars in millions, except share and margin data). Refer to “Item 6. Selected Financial Data—Notes to the Selected Historical Financial and Operating Data” for a discussion of the calculation of Adjusted OIBDA and reconciliation to operating income.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6"/>
              </w:rPr>
              <w:t>Years Ended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920" w:type="dxa"/>
            <w:vAlign w:val="bottom"/>
            <w:gridSpan w:val="2"/>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3"/>
              </w:rPr>
              <w:t>Dec. 29, 2016</w:t>
            </w: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7"/>
              </w:rPr>
              <w:t>Dec. 31, 2015</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w w:val="91"/>
              </w:rPr>
              <w:t>Jan. 1, 2015</w:t>
            </w:r>
          </w:p>
        </w:tc>
        <w:tc>
          <w:tcPr>
            <w:tcW w:w="28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2015 to 2016</w:t>
            </w:r>
          </w:p>
        </w:tc>
        <w:tc>
          <w:tcPr>
            <w:tcW w:w="100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2014 to 2015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shd w:val="clear" w:color="auto" w:fill="CFF2FA"/>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2F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2FA"/>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2FA"/>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vMerge w:val="continue"/>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447.6</w:t>
            </w:r>
          </w:p>
        </w:tc>
        <w:tc>
          <w:tcPr>
            <w:tcW w:w="280" w:type="dxa"/>
            <w:vAlign w:val="bottom"/>
            <w:shd w:val="clear" w:color="auto" w:fill="CFF2FA"/>
          </w:tcPr>
          <w:p>
            <w:pPr>
              <w:spacing w:after="0"/>
              <w:rPr>
                <w:sz w:val="19"/>
                <w:szCs w:val="19"/>
                <w:color w:val="auto"/>
              </w:rPr>
            </w:pPr>
          </w:p>
        </w:tc>
        <w:tc>
          <w:tcPr>
            <w:tcW w:w="16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446.5</w:t>
            </w:r>
          </w:p>
        </w:tc>
        <w:tc>
          <w:tcPr>
            <w:tcW w:w="300" w:type="dxa"/>
            <w:vAlign w:val="bottom"/>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394.0</w:t>
            </w:r>
          </w:p>
        </w:tc>
        <w:tc>
          <w:tcPr>
            <w:tcW w:w="28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200"/>
              <w:spacing w:after="0"/>
              <w:rPr>
                <w:sz w:val="20"/>
                <w:szCs w:val="20"/>
                <w:color w:val="auto"/>
              </w:rPr>
            </w:pPr>
            <w:r>
              <w:rPr>
                <w:rFonts w:ascii="Arial" w:cs="Arial" w:eastAsia="Arial" w:hAnsi="Arial"/>
                <w:sz w:val="18"/>
                <w:szCs w:val="18"/>
                <w:color w:val="auto"/>
              </w:rPr>
              <w:t>0.2%</w:t>
            </w:r>
          </w:p>
        </w:tc>
        <w:tc>
          <w:tcPr>
            <w:tcW w:w="122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2FA"/>
          </w:tcPr>
          <w:p>
            <w:pPr>
              <w:ind w:left="24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FF2FA"/>
          </w:tcPr>
          <w:p>
            <w:pPr>
              <w:spacing w:after="0"/>
              <w:rPr>
                <w:sz w:val="19"/>
                <w:szCs w:val="19"/>
                <w:color w:val="auto"/>
              </w:rPr>
            </w:pPr>
          </w:p>
        </w:tc>
        <w:tc>
          <w:tcPr>
            <w:tcW w:w="9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173.9</w:t>
            </w:r>
          </w:p>
        </w:tc>
        <w:tc>
          <w:tcPr>
            <w:tcW w:w="28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173.6</w:t>
            </w:r>
          </w:p>
        </w:tc>
        <w:tc>
          <w:tcPr>
            <w:tcW w:w="3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154.6</w:t>
            </w:r>
          </w:p>
        </w:tc>
        <w:tc>
          <w:tcPr>
            <w:tcW w:w="28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200"/>
              <w:spacing w:after="0"/>
              <w:rPr>
                <w:sz w:val="20"/>
                <w:szCs w:val="20"/>
                <w:color w:val="auto"/>
              </w:rPr>
            </w:pPr>
            <w:r>
              <w:rPr>
                <w:rFonts w:ascii="Arial" w:cs="Arial" w:eastAsia="Arial" w:hAnsi="Arial"/>
                <w:sz w:val="18"/>
                <w:szCs w:val="18"/>
                <w:color w:val="auto"/>
              </w:rPr>
              <w:t>0.2%</w:t>
            </w:r>
          </w:p>
        </w:tc>
        <w:tc>
          <w:tcPr>
            <w:tcW w:w="122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Network, administrative and unallocated costs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80.2</w:t>
            </w: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2FA"/>
          </w:tcPr>
          <w:p>
            <w:pPr>
              <w:ind w:left="240"/>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(1)</w:t>
            </w:r>
          </w:p>
        </w:tc>
        <w:tc>
          <w:tcPr>
            <w:tcW w:w="100" w:type="dxa"/>
            <w:vAlign w:val="bottom"/>
            <w:shd w:val="clear" w:color="auto" w:fill="CFF2FA"/>
          </w:tcPr>
          <w:p>
            <w:pPr>
              <w:spacing w:after="0"/>
              <w:rPr>
                <w:sz w:val="19"/>
                <w:szCs w:val="19"/>
                <w:color w:val="auto"/>
              </w:rPr>
            </w:pPr>
          </w:p>
        </w:tc>
        <w:tc>
          <w:tcPr>
            <w:tcW w:w="1260" w:type="dxa"/>
            <w:vAlign w:val="bottom"/>
            <w:gridSpan w:val="2"/>
            <w:shd w:val="clear" w:color="auto" w:fill="CFF2FA"/>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2FA"/>
          </w:tcPr>
          <w:p>
            <w:pPr>
              <w:spacing w:after="0"/>
              <w:rPr>
                <w:sz w:val="19"/>
                <w:szCs w:val="19"/>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34.3</w:t>
            </w:r>
          </w:p>
        </w:tc>
        <w:tc>
          <w:tcPr>
            <w:tcW w:w="3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FF2FA"/>
            </w:tcBorders>
          </w:tcPr>
          <w:p>
            <w:pPr>
              <w:ind w:left="4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280" w:type="dxa"/>
            <w:vAlign w:val="bottom"/>
            <w:tcBorders>
              <w:bottom w:val="single" w:sz="8" w:color="CFF2FA"/>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300" w:type="dxa"/>
            <w:vAlign w:val="bottom"/>
            <w:tcBorders>
              <w:bottom w:val="single" w:sz="8" w:color="CFF2FA"/>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280" w:type="dxa"/>
            <w:vAlign w:val="bottom"/>
            <w:tcBorders>
              <w:bottom w:val="single" w:sz="8" w:color="CFF2FA"/>
            </w:tcBorders>
          </w:tcPr>
          <w:p>
            <w:pPr>
              <w:spacing w:after="0"/>
              <w:rPr>
                <w:sz w:val="19"/>
                <w:szCs w:val="19"/>
                <w:color w:val="auto"/>
              </w:rPr>
            </w:pPr>
          </w:p>
        </w:tc>
        <w:tc>
          <w:tcPr>
            <w:tcW w:w="1340" w:type="dxa"/>
            <w:vAlign w:val="bottom"/>
            <w:tcBorders>
              <w:bottom w:val="single" w:sz="8" w:color="CFF2FA"/>
            </w:tcBorders>
            <w:gridSpan w:val="2"/>
          </w:tcPr>
          <w:p>
            <w:pPr>
              <w:jc w:val="right"/>
              <w:ind w:right="140"/>
              <w:spacing w:after="0"/>
              <w:rPr>
                <w:sz w:val="20"/>
                <w:szCs w:val="20"/>
                <w:color w:val="auto"/>
              </w:rPr>
            </w:pPr>
            <w:r>
              <w:rPr>
                <w:rFonts w:ascii="Arial" w:cs="Arial" w:eastAsia="Arial" w:hAnsi="Arial"/>
                <w:sz w:val="18"/>
                <w:szCs w:val="18"/>
                <w:color w:val="auto"/>
              </w:rPr>
              <w:t>(8.0%)</w:t>
            </w:r>
          </w:p>
        </w:tc>
        <w:tc>
          <w:tcPr>
            <w:tcW w:w="1220" w:type="dxa"/>
            <w:vAlign w:val="bottom"/>
            <w:tcBorders>
              <w:bottom w:val="single" w:sz="8" w:color="CFF2FA"/>
            </w:tcBorders>
            <w:gridSpan w:val="2"/>
          </w:tcPr>
          <w:p>
            <w:pPr>
              <w:jc w:val="right"/>
              <w:ind w:right="8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2FA"/>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FF2FA"/>
          </w:tcPr>
          <w:p>
            <w:pPr>
              <w:spacing w:after="0"/>
              <w:rPr>
                <w:sz w:val="19"/>
                <w:szCs w:val="19"/>
                <w:color w:val="auto"/>
              </w:rPr>
            </w:pPr>
          </w:p>
        </w:tc>
        <w:tc>
          <w:tcPr>
            <w:tcW w:w="9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173.0</w:t>
            </w:r>
          </w:p>
        </w:tc>
        <w:tc>
          <w:tcPr>
            <w:tcW w:w="28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148.0</w:t>
            </w:r>
          </w:p>
        </w:tc>
        <w:tc>
          <w:tcPr>
            <w:tcW w:w="3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151.7</w:t>
            </w:r>
          </w:p>
        </w:tc>
        <w:tc>
          <w:tcPr>
            <w:tcW w:w="28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200"/>
              <w:spacing w:after="0"/>
              <w:rPr>
                <w:sz w:val="20"/>
                <w:szCs w:val="20"/>
                <w:color w:val="auto"/>
              </w:rPr>
            </w:pPr>
            <w:r>
              <w:rPr>
                <w:rFonts w:ascii="Arial" w:cs="Arial" w:eastAsia="Arial" w:hAnsi="Arial"/>
                <w:sz w:val="18"/>
                <w:szCs w:val="18"/>
                <w:color w:val="auto"/>
              </w:rPr>
              <w:t>16.9%</w:t>
            </w:r>
          </w:p>
        </w:tc>
        <w:tc>
          <w:tcPr>
            <w:tcW w:w="122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Non-operating expenses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76.2</w:t>
            </w: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2FA"/>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2FA"/>
          </w:tcPr>
          <w:p>
            <w:pPr>
              <w:spacing w:after="0"/>
              <w:rPr>
                <w:sz w:val="19"/>
                <w:szCs w:val="19"/>
                <w:color w:val="auto"/>
              </w:rPr>
            </w:pPr>
          </w:p>
        </w:tc>
        <w:tc>
          <w:tcPr>
            <w:tcW w:w="9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(48.3%)</w:t>
            </w:r>
          </w:p>
        </w:tc>
        <w:tc>
          <w:tcPr>
            <w:tcW w:w="122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80" w:type="dxa"/>
            <w:vAlign w:val="bottom"/>
            <w:tcBorders>
              <w:bottom w:val="single" w:sz="8" w:color="CFF2F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300" w:type="dxa"/>
            <w:vAlign w:val="bottom"/>
            <w:tcBorders>
              <w:bottom w:val="single" w:sz="8" w:color="CFF2F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80" w:type="dxa"/>
            <w:vAlign w:val="bottom"/>
            <w:tcBorders>
              <w:bottom w:val="single" w:sz="8" w:color="CFF2FA"/>
            </w:tcBorders>
          </w:tcPr>
          <w:p>
            <w:pPr>
              <w:spacing w:after="0"/>
              <w:rPr>
                <w:sz w:val="19"/>
                <w:szCs w:val="19"/>
                <w:color w:val="auto"/>
              </w:rPr>
            </w:pPr>
          </w:p>
        </w:tc>
        <w:tc>
          <w:tcPr>
            <w:tcW w:w="1340" w:type="dxa"/>
            <w:vAlign w:val="bottom"/>
            <w:tcBorders>
              <w:bottom w:val="single" w:sz="8" w:color="CFF2FA"/>
            </w:tcBorders>
            <w:gridSpan w:val="2"/>
          </w:tcPr>
          <w:p>
            <w:pPr>
              <w:jc w:val="right"/>
              <w:ind w:right="200"/>
              <w:spacing w:after="0"/>
              <w:rPr>
                <w:sz w:val="20"/>
                <w:szCs w:val="20"/>
                <w:color w:val="auto"/>
              </w:rPr>
            </w:pPr>
            <w:r>
              <w:rPr>
                <w:rFonts w:ascii="Arial" w:cs="Arial" w:eastAsia="Arial" w:hAnsi="Arial"/>
                <w:sz w:val="18"/>
                <w:szCs w:val="18"/>
                <w:color w:val="auto"/>
              </w:rPr>
              <w:t>27.5%</w:t>
            </w:r>
          </w:p>
        </w:tc>
        <w:tc>
          <w:tcPr>
            <w:tcW w:w="1220" w:type="dxa"/>
            <w:vAlign w:val="bottom"/>
            <w:tcBorders>
              <w:bottom w:val="single" w:sz="8" w:color="CFF2FA"/>
            </w:tcBorders>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Net income attributable to NCM, Inc.</w:t>
            </w:r>
          </w:p>
        </w:tc>
        <w:tc>
          <w:tcPr>
            <w:tcW w:w="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Borders>
              <w:bottom w:val="single" w:sz="8" w:color="CFF2FA"/>
            </w:tcBorders>
            <w:shd w:val="clear" w:color="auto" w:fill="CFF2FA"/>
          </w:tcPr>
          <w:p>
            <w:pPr>
              <w:spacing w:after="0"/>
              <w:rPr>
                <w:sz w:val="19"/>
                <w:szCs w:val="19"/>
                <w:color w:val="auto"/>
              </w:rPr>
            </w:pPr>
          </w:p>
        </w:tc>
        <w:tc>
          <w:tcPr>
            <w:tcW w:w="1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Borders>
              <w:bottom w:val="single" w:sz="8" w:color="CFF2FA"/>
            </w:tcBorders>
            <w:shd w:val="clear" w:color="auto" w:fill="CFF2FA"/>
          </w:tcPr>
          <w:p>
            <w:pPr>
              <w:spacing w:after="0"/>
              <w:rPr>
                <w:sz w:val="19"/>
                <w:szCs w:val="19"/>
                <w:color w:val="auto"/>
              </w:rPr>
            </w:pPr>
          </w:p>
        </w:tc>
        <w:tc>
          <w:tcPr>
            <w:tcW w:w="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Borders>
              <w:bottom w:val="single" w:sz="8" w:color="CFF2FA"/>
            </w:tcBorders>
            <w:shd w:val="clear" w:color="auto" w:fill="CFF2FA"/>
          </w:tcPr>
          <w:p>
            <w:pPr>
              <w:spacing w:after="0"/>
              <w:rPr>
                <w:sz w:val="19"/>
                <w:szCs w:val="19"/>
                <w:color w:val="auto"/>
              </w:rPr>
            </w:pPr>
          </w:p>
        </w:tc>
        <w:tc>
          <w:tcPr>
            <w:tcW w:w="1340" w:type="dxa"/>
            <w:vAlign w:val="bottom"/>
            <w:tcBorders>
              <w:bottom w:val="single" w:sz="8" w:color="CFF2FA"/>
            </w:tcBorders>
            <w:gridSpan w:val="2"/>
            <w:shd w:val="clear" w:color="auto" w:fill="CFF2FA"/>
          </w:tcPr>
          <w:p>
            <w:pPr>
              <w:jc w:val="right"/>
              <w:ind w:right="200"/>
              <w:spacing w:after="0"/>
              <w:rPr>
                <w:sz w:val="20"/>
                <w:szCs w:val="20"/>
                <w:color w:val="auto"/>
              </w:rPr>
            </w:pPr>
            <w:r>
              <w:rPr>
                <w:rFonts w:ascii="Arial" w:cs="Arial" w:eastAsia="Arial" w:hAnsi="Arial"/>
                <w:sz w:val="18"/>
                <w:szCs w:val="18"/>
                <w:color w:val="auto"/>
              </w:rPr>
              <w:t>64.9%</w:t>
            </w:r>
          </w:p>
        </w:tc>
        <w:tc>
          <w:tcPr>
            <w:tcW w:w="1220" w:type="dxa"/>
            <w:vAlign w:val="bottom"/>
            <w:tcBorders>
              <w:bottom w:val="single" w:sz="8" w:color="CFF2FA"/>
            </w:tcBorders>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2FA"/>
          </w:tcPr>
          <w:p>
            <w:pPr>
              <w:spacing w:after="0"/>
              <w:rPr>
                <w:sz w:val="20"/>
                <w:szCs w:val="20"/>
                <w:color w:val="auto"/>
              </w:rPr>
            </w:pPr>
            <w:r>
              <w:rPr>
                <w:rFonts w:ascii="Arial" w:cs="Arial" w:eastAsia="Arial" w:hAnsi="Arial"/>
                <w:sz w:val="18"/>
                <w:szCs w:val="18"/>
                <w:color w:val="auto"/>
              </w:rPr>
              <w:t>Net income per NCM, Inc. basic share</w:t>
            </w:r>
          </w:p>
        </w:tc>
        <w:tc>
          <w:tcPr>
            <w:tcW w:w="10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0.42</w:t>
            </w:r>
          </w:p>
        </w:tc>
        <w:tc>
          <w:tcPr>
            <w:tcW w:w="280" w:type="dxa"/>
            <w:vAlign w:val="bottom"/>
            <w:shd w:val="clear" w:color="auto" w:fill="CFF2FA"/>
          </w:tcPr>
          <w:p>
            <w:pPr>
              <w:spacing w:after="0"/>
              <w:rPr>
                <w:sz w:val="19"/>
                <w:szCs w:val="19"/>
                <w:color w:val="auto"/>
              </w:rPr>
            </w:pPr>
          </w:p>
        </w:tc>
        <w:tc>
          <w:tcPr>
            <w:tcW w:w="16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0.26</w:t>
            </w:r>
          </w:p>
        </w:tc>
        <w:tc>
          <w:tcPr>
            <w:tcW w:w="300" w:type="dxa"/>
            <w:vAlign w:val="bottom"/>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200"/>
              <w:spacing w:after="0"/>
              <w:rPr>
                <w:sz w:val="20"/>
                <w:szCs w:val="20"/>
                <w:color w:val="auto"/>
              </w:rPr>
            </w:pPr>
            <w:r>
              <w:rPr>
                <w:rFonts w:ascii="Arial" w:cs="Arial" w:eastAsia="Arial" w:hAnsi="Arial"/>
                <w:sz w:val="18"/>
                <w:szCs w:val="18"/>
                <w:color w:val="auto"/>
              </w:rPr>
              <w:t>61.5%</w:t>
            </w:r>
          </w:p>
        </w:tc>
        <w:tc>
          <w:tcPr>
            <w:tcW w:w="122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income per NCM, Inc. diluted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0.42</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0.23</w:t>
            </w: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61.5%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980" w:type="dxa"/>
            <w:vAlign w:val="bottom"/>
            <w:shd w:val="clear" w:color="auto" w:fill="CFF2FA"/>
          </w:tcPr>
          <w:p>
            <w:pPr>
              <w:spacing w:after="0"/>
              <w:rPr>
                <w:sz w:val="19"/>
                <w:szCs w:val="19"/>
                <w:color w:val="auto"/>
              </w:rPr>
            </w:pPr>
          </w:p>
        </w:tc>
        <w:tc>
          <w:tcPr>
            <w:tcW w:w="28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84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900" w:type="dxa"/>
            <w:vAlign w:val="bottom"/>
            <w:shd w:val="clear" w:color="auto" w:fill="CFF2FA"/>
          </w:tcPr>
          <w:p>
            <w:pPr>
              <w:spacing w:after="0"/>
              <w:rPr>
                <w:sz w:val="19"/>
                <w:szCs w:val="19"/>
                <w:color w:val="auto"/>
              </w:rPr>
            </w:pPr>
          </w:p>
        </w:tc>
        <w:tc>
          <w:tcPr>
            <w:tcW w:w="280" w:type="dxa"/>
            <w:vAlign w:val="bottom"/>
            <w:shd w:val="clear" w:color="auto" w:fill="CFF2FA"/>
          </w:tcPr>
          <w:p>
            <w:pPr>
              <w:spacing w:after="0"/>
              <w:rPr>
                <w:sz w:val="19"/>
                <w:szCs w:val="19"/>
                <w:color w:val="auto"/>
              </w:rPr>
            </w:pPr>
          </w:p>
        </w:tc>
        <w:tc>
          <w:tcPr>
            <w:tcW w:w="1000" w:type="dxa"/>
            <w:vAlign w:val="bottom"/>
            <w:shd w:val="clear" w:color="auto" w:fill="CFF2FA"/>
          </w:tcPr>
          <w:p>
            <w:pPr>
              <w:spacing w:after="0"/>
              <w:rPr>
                <w:sz w:val="19"/>
                <w:szCs w:val="19"/>
                <w:color w:val="auto"/>
              </w:rPr>
            </w:pPr>
          </w:p>
        </w:tc>
        <w:tc>
          <w:tcPr>
            <w:tcW w:w="340" w:type="dxa"/>
            <w:vAlign w:val="bottom"/>
            <w:shd w:val="clear" w:color="auto" w:fill="CFF2FA"/>
          </w:tcPr>
          <w:p>
            <w:pPr>
              <w:spacing w:after="0"/>
              <w:rPr>
                <w:sz w:val="19"/>
                <w:szCs w:val="19"/>
                <w:color w:val="auto"/>
              </w:rPr>
            </w:pPr>
          </w:p>
        </w:tc>
        <w:tc>
          <w:tcPr>
            <w:tcW w:w="100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Adjusted OIBDA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230.7</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229.9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199.3</w:t>
            </w: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2FA"/>
          </w:tcPr>
          <w:p>
            <w:pPr>
              <w:spacing w:after="0"/>
              <w:rPr>
                <w:sz w:val="20"/>
                <w:szCs w:val="20"/>
                <w:color w:val="auto"/>
              </w:rPr>
            </w:pPr>
            <w:r>
              <w:rPr>
                <w:rFonts w:ascii="Arial" w:cs="Arial" w:eastAsia="Arial" w:hAnsi="Arial"/>
                <w:sz w:val="18"/>
                <w:szCs w:val="18"/>
                <w:color w:val="auto"/>
              </w:rPr>
              <w:t>Adjusted OIBDA margin</w:t>
            </w:r>
          </w:p>
        </w:tc>
        <w:tc>
          <w:tcPr>
            <w:tcW w:w="100" w:type="dxa"/>
            <w:vAlign w:val="bottom"/>
            <w:shd w:val="clear" w:color="auto" w:fill="CFF2FA"/>
          </w:tcPr>
          <w:p>
            <w:pPr>
              <w:spacing w:after="0"/>
              <w:rPr>
                <w:sz w:val="19"/>
                <w:szCs w:val="19"/>
                <w:color w:val="auto"/>
              </w:rPr>
            </w:pPr>
          </w:p>
        </w:tc>
        <w:tc>
          <w:tcPr>
            <w:tcW w:w="126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50.6%</w:t>
            </w:r>
          </w:p>
        </w:tc>
        <w:tc>
          <w:tcPr>
            <w:tcW w:w="1340" w:type="dxa"/>
            <w:vAlign w:val="bottom"/>
            <w:gridSpan w:val="2"/>
            <w:shd w:val="clear" w:color="auto" w:fill="CFF2FA"/>
          </w:tcPr>
          <w:p>
            <w:pPr>
              <w:jc w:val="right"/>
              <w:ind w:right="20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(2)</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688.8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694.7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688.2</w:t>
            </w:r>
          </w:p>
        </w:tc>
        <w:tc>
          <w:tcPr>
            <w:tcW w:w="2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0375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 w:lineRule="exact"/>
        <w:rPr>
          <w:sz w:val="20"/>
          <w:szCs w:val="20"/>
          <w:color w:val="auto"/>
        </w:rPr>
      </w:pPr>
    </w:p>
    <w:p>
      <w:pPr>
        <w:ind w:left="1120" w:right="180" w:hanging="558"/>
        <w:spacing w:after="0" w:line="250" w:lineRule="auto"/>
        <w:tabs>
          <w:tab w:leader="none" w:pos="112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1120" w:right="80" w:hanging="558"/>
        <w:spacing w:after="0" w:line="255" w:lineRule="auto"/>
        <w:tabs>
          <w:tab w:leader="none" w:pos="112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theaters that are currently part of another cinema advertising network for all periods presented. Refer to Note 4 to the audited Consolidated Financial Statements included elsewhere in this document.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color w:val="auto"/>
        </w:rPr>
        <w:t>Prior to the completion of the IPO, NCM LLC was wholly-owned by its founding members. In connection with the offering, NCM, Inc. purchased newly issued common membership units from NCM LLC and common membership units from NCM LLC’s founding members, and became a member of and the sole manager of NCM LLC. We entered into several agreements to effect the reorganization and the financing transaction and certain amendments were made to the existing ESAs to govern the relationships among NCM LLC and NCM LLC’s founding members after the completion of these transactions.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results of operations data discussed herein were derived from the audited Consolidated Financial Statements and accounting records of NCM,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should be read in conjunction with the notes thereto.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ind w:right="200" w:firstLine="555"/>
        <w:spacing w:after="0" w:line="302" w:lineRule="auto"/>
        <w:rPr>
          <w:sz w:val="20"/>
          <w:szCs w:val="20"/>
          <w:color w:val="auto"/>
        </w:rPr>
      </w:pPr>
      <w:r>
        <w:rPr>
          <w:rFonts w:ascii="Arial" w:cs="Arial" w:eastAsia="Arial" w:hAnsi="Arial"/>
          <w:sz w:val="16"/>
          <w:szCs w:val="16"/>
          <w:color w:val="auto"/>
        </w:rPr>
        <w:t>We have a 52-week or 53-week fiscal year ending on the first Thursday after December 25. Fiscal year 2014 contained 53 weeks. Fiscal years 2015 and 2016 contained 52 weeks. Our 2017 fiscal year will contain 52 weeks. Throughout this document, we refer to our fiscal years as set forth below:</w:t>
      </w:r>
    </w:p>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in</w:t>
            </w:r>
          </w:p>
        </w:tc>
      </w:tr>
      <w:tr>
        <w:trPr>
          <w:trHeight w:val="188"/>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this Document</w:t>
            </w: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29, 2016</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1, 2015</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Years 2016 and 2015</w:t>
      </w:r>
    </w:p>
    <w:p>
      <w:pPr>
        <w:spacing w:after="0" w:line="117"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Total revenue increased $1.1 million, or 0.2%, from $446.5 million for the year ended December 31, 2015 to $447.6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29, 2016. The following is a summary of revenue by category (in millions):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Fiscal Year</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Change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216"/>
              <w:spacing w:after="0" w:line="133" w:lineRule="exact"/>
              <w:rPr>
                <w:sz w:val="20"/>
                <w:szCs w:val="20"/>
                <w:color w:val="auto"/>
              </w:rPr>
            </w:pPr>
            <w:r>
              <w:rPr>
                <w:rFonts w:ascii="Arial" w:cs="Arial" w:eastAsia="Arial" w:hAnsi="Arial"/>
                <w:sz w:val="14"/>
                <w:szCs w:val="14"/>
                <w:b w:val="1"/>
                <w:bCs w:val="1"/>
                <w:color w:val="auto"/>
              </w:rPr>
              <w:t>2015 to</w:t>
            </w:r>
          </w:p>
        </w:tc>
        <w:tc>
          <w:tcPr>
            <w:tcW w:w="260" w:type="dxa"/>
            <w:vAlign w:val="bottom"/>
          </w:tcPr>
          <w:p>
            <w:pPr>
              <w:spacing w:after="0"/>
              <w:rPr>
                <w:sz w:val="11"/>
                <w:szCs w:val="11"/>
                <w:color w:val="auto"/>
              </w:rPr>
            </w:pPr>
          </w:p>
        </w:tc>
        <w:tc>
          <w:tcPr>
            <w:tcW w:w="9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2015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tcBorders>
              <w:bottom w:val="single" w:sz="8" w:color="CFF2FA"/>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2FA"/>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2FA"/>
            </w:tcBorders>
          </w:tcPr>
          <w:p>
            <w:pPr>
              <w:spacing w:after="0"/>
              <w:rPr>
                <w:sz w:val="14"/>
                <w:szCs w:val="14"/>
                <w:color w:val="auto"/>
              </w:rPr>
            </w:pPr>
          </w:p>
        </w:tc>
        <w:tc>
          <w:tcPr>
            <w:tcW w:w="20" w:type="dxa"/>
            <w:vAlign w:val="bottom"/>
            <w:tcBorders>
              <w:bottom w:val="single" w:sz="8" w:color="CFF2FA"/>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2FA"/>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2FA"/>
          </w:tcPr>
          <w:p>
            <w:pPr>
              <w:spacing w:after="0"/>
              <w:rPr>
                <w:sz w:val="20"/>
                <w:szCs w:val="20"/>
                <w:color w:val="auto"/>
              </w:rPr>
            </w:pPr>
            <w:r>
              <w:rPr>
                <w:rFonts w:ascii="Arial" w:cs="Arial" w:eastAsia="Arial" w:hAnsi="Arial"/>
                <w:sz w:val="18"/>
                <w:szCs w:val="18"/>
                <w:color w:val="auto"/>
              </w:rPr>
              <w:t>National advertising revenue</w:t>
            </w:r>
          </w:p>
        </w:tc>
        <w:tc>
          <w:tcPr>
            <w:tcW w:w="240" w:type="dxa"/>
            <w:vAlign w:val="bottom"/>
            <w:shd w:val="clear" w:color="auto" w:fill="CFF2FA"/>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311.9</w:t>
            </w:r>
          </w:p>
        </w:tc>
        <w:tc>
          <w:tcPr>
            <w:tcW w:w="240" w:type="dxa"/>
            <w:vAlign w:val="bottom"/>
            <w:shd w:val="clear" w:color="auto" w:fill="CFF2FA"/>
          </w:tcPr>
          <w:p>
            <w:pPr>
              <w:spacing w:after="0"/>
              <w:rPr>
                <w:sz w:val="19"/>
                <w:szCs w:val="19"/>
                <w:color w:val="auto"/>
              </w:rPr>
            </w:pPr>
          </w:p>
        </w:tc>
        <w:tc>
          <w:tcPr>
            <w:tcW w:w="320" w:type="dxa"/>
            <w:vAlign w:val="bottom"/>
            <w:shd w:val="clear" w:color="auto" w:fill="CFF2FA"/>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307.0</w:t>
            </w:r>
          </w:p>
        </w:tc>
        <w:tc>
          <w:tcPr>
            <w:tcW w:w="2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260" w:type="dxa"/>
            <w:vAlign w:val="bottom"/>
            <w:shd w:val="clear" w:color="auto" w:fill="CFF2FA"/>
          </w:tcPr>
          <w:p>
            <w:pPr>
              <w:jc w:val="right"/>
              <w:ind w:right="143"/>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5100" w:type="dxa"/>
            <w:vAlign w:val="bottom"/>
            <w:shd w:val="clear" w:color="auto" w:fill="CFF2FA"/>
          </w:tcPr>
          <w:p>
            <w:pPr>
              <w:spacing w:after="0"/>
              <w:rPr>
                <w:sz w:val="20"/>
                <w:szCs w:val="20"/>
                <w:color w:val="auto"/>
              </w:rPr>
            </w:pPr>
            <w:r>
              <w:rPr>
                <w:rFonts w:ascii="Arial" w:cs="Arial" w:eastAsia="Arial" w:hAnsi="Arial"/>
                <w:sz w:val="18"/>
                <w:szCs w:val="18"/>
                <w:color w:val="auto"/>
              </w:rPr>
              <w:t>Founding member advertising revenue from beverage</w:t>
            </w:r>
          </w:p>
        </w:tc>
        <w:tc>
          <w:tcPr>
            <w:tcW w:w="2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8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72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98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2FA"/>
          </w:tcPr>
          <w:p>
            <w:pPr>
              <w:ind w:left="140"/>
              <w:spacing w:after="0"/>
              <w:rPr>
                <w:sz w:val="20"/>
                <w:szCs w:val="20"/>
                <w:color w:val="auto"/>
              </w:rPr>
            </w:pPr>
            <w:r>
              <w:rPr>
                <w:rFonts w:ascii="Arial" w:cs="Arial" w:eastAsia="Arial" w:hAnsi="Arial"/>
                <w:sz w:val="18"/>
                <w:szCs w:val="18"/>
                <w:color w:val="auto"/>
              </w:rPr>
              <w:t>concessionaire agreements</w:t>
            </w:r>
          </w:p>
        </w:tc>
        <w:tc>
          <w:tcPr>
            <w:tcW w:w="240" w:type="dxa"/>
            <w:vAlign w:val="bottom"/>
            <w:shd w:val="clear" w:color="auto" w:fill="CFF2FA"/>
          </w:tcPr>
          <w:p>
            <w:pPr>
              <w:spacing w:after="0"/>
              <w:rPr>
                <w:sz w:val="20"/>
                <w:szCs w:val="20"/>
                <w:color w:val="auto"/>
              </w:rPr>
            </w:pP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FF2FA"/>
          </w:tcPr>
          <w:p>
            <w:pPr>
              <w:spacing w:after="0"/>
              <w:rPr>
                <w:sz w:val="20"/>
                <w:szCs w:val="20"/>
                <w:color w:val="auto"/>
              </w:rPr>
            </w:pPr>
          </w:p>
        </w:tc>
        <w:tc>
          <w:tcPr>
            <w:tcW w:w="320" w:type="dxa"/>
            <w:vAlign w:val="bottom"/>
            <w:shd w:val="clear" w:color="auto" w:fill="CFF2FA"/>
          </w:tcPr>
          <w:p>
            <w:pPr>
              <w:spacing w:after="0"/>
              <w:rPr>
                <w:sz w:val="20"/>
                <w:szCs w:val="20"/>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260" w:type="dxa"/>
            <w:vAlign w:val="bottom"/>
            <w:shd w:val="clear" w:color="auto" w:fill="CFF2FA"/>
          </w:tcPr>
          <w:p>
            <w:pPr>
              <w:spacing w:after="0"/>
              <w:rPr>
                <w:sz w:val="20"/>
                <w:szCs w:val="20"/>
                <w:color w:val="auto"/>
              </w:rPr>
            </w:pPr>
          </w:p>
        </w:tc>
        <w:tc>
          <w:tcPr>
            <w:tcW w:w="980" w:type="dxa"/>
            <w:vAlign w:val="bottom"/>
            <w:gridSpan w:val="2"/>
            <w:shd w:val="clear" w:color="auto" w:fill="CFF2FA"/>
          </w:tcPr>
          <w:p>
            <w:pPr>
              <w:jc w:val="right"/>
              <w:ind w:right="200"/>
              <w:spacing w:after="0"/>
              <w:rPr>
                <w:sz w:val="20"/>
                <w:szCs w:val="20"/>
                <w:color w:val="auto"/>
              </w:rPr>
            </w:pPr>
            <w:r>
              <w:rPr>
                <w:rFonts w:ascii="Arial" w:cs="Arial" w:eastAsia="Arial" w:hAnsi="Arial"/>
                <w:sz w:val="18"/>
                <w:szCs w:val="18"/>
                <w:color w:val="auto"/>
              </w:rPr>
              <w:t>(1.3)</w:t>
            </w:r>
          </w:p>
        </w:tc>
        <w:tc>
          <w:tcPr>
            <w:tcW w:w="122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51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data on revenue per attendee for the years ended December 29, 2016 and December 31, 2015:</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Fiscal Year</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580" w:type="dxa"/>
            <w:vAlign w:val="bottom"/>
            <w:vMerge w:val="restart"/>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2015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5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0.453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0.442</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130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0.155</w:t>
            </w:r>
          </w:p>
        </w:tc>
        <w:tc>
          <w:tcPr>
            <w:tcW w:w="5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0.158</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 member</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beverage revenue) per attendee</w:t>
            </w:r>
          </w:p>
        </w:tc>
        <w:tc>
          <w:tcPr>
            <w:tcW w:w="130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0.608</w:t>
            </w:r>
          </w:p>
        </w:tc>
        <w:tc>
          <w:tcPr>
            <w:tcW w:w="5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0.600</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30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0.650</w:t>
            </w:r>
          </w:p>
        </w:tc>
        <w:tc>
          <w:tcPr>
            <w:tcW w:w="5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0.643</w:t>
            </w: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5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688.8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700" w:right="220" w:hanging="558"/>
        <w:spacing w:after="0" w:line="264" w:lineRule="auto"/>
        <w:tabs>
          <w:tab w:leader="none" w:pos="170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theaters for all periods presented. Refer to Note 4 to the audited Consolidated Financial Statements included elsewhere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-432435</wp:posOffset>
            </wp:positionV>
            <wp:extent cx="13379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53"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u w:val="single" w:color="auto"/>
          <w:color w:val="auto"/>
        </w:rPr>
        <w:t>National advertising revenue.</w:t>
      </w:r>
      <w:r>
        <w:rPr>
          <w:rFonts w:ascii="Arial" w:cs="Arial" w:eastAsia="Arial" w:hAnsi="Arial"/>
          <w:sz w:val="17"/>
          <w:szCs w:val="17"/>
          <w:color w:val="auto"/>
        </w:rPr>
        <w:t xml:space="preserve"> The $4.9 million, or 1.6%, increase in national advertising revenue (excluding beverage revenue from the founding members) was due primarily to a 9.6% increase in national advertising CPMs (excluding beverage) during the year ended December 29, 2016 compared to the year ended December 31, 2015 and a $5.4 million increase in online, mobile and other revenue not included in the inventory measured by impressions sold or by CPMs. The increase in national advertising CPMs was due primarily to higher CPMs on upfront commitments year over year and to a lesser extent higher CPMs in the scatter market as well. These increases to revenue were partially offset by an 8.2% decrease in impressions sold during the year ended December 29, 2016, compared to the year ended December 31, 2015. The decrease in impressions sold was due primarily to fewer impressions sold during the first half of 2016, compared to the first half of 2015. The decrease in impressions sold resulted in a decrease in national inventory utilization, from 128.3% in 2015 to 118.4% in 2016 on a 0.8% decrease in network attendance. Inventory utilization is calculated as utilized impressions divided by total advertising impressions, which is based on eleven 30-second salable national advertising units in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which can be expanded, should market demand dictate.</w:t>
      </w:r>
    </w:p>
    <w:p>
      <w:pPr>
        <w:spacing w:after="0" w:line="70"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$2.5 million, or 2.3%, decrease in local and regional advertising revenue was driven by a decrease in revenue from contracts greater than $100,000, whereby they had a 6.9% decrease in contract volume and a 5.6% decrease in average contract value during 2016, compared to 2015. The decrease in revenue from contracts greater than $100,000 was driven by fewer contracts that were greater than $1 million. This was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left="560" w:right="480"/>
        <w:spacing w:after="0" w:line="277" w:lineRule="auto"/>
        <w:rPr>
          <w:sz w:val="20"/>
          <w:szCs w:val="20"/>
          <w:color w:val="auto"/>
        </w:rPr>
      </w:pPr>
      <w:r>
        <w:rPr>
          <w:rFonts w:ascii="Arial" w:cs="Arial" w:eastAsia="Arial" w:hAnsi="Arial"/>
          <w:sz w:val="18"/>
          <w:szCs w:val="18"/>
          <w:color w:val="auto"/>
        </w:rPr>
        <w:t>partially offset by revenue from contracts less than $100,000 which increased 2.5% in contract volume primarily related to the expansion of our salesforce and diversification of our client base.</w:t>
      </w:r>
    </w:p>
    <w:p>
      <w:pPr>
        <w:spacing w:after="0" w:line="62" w:lineRule="exact"/>
        <w:rPr>
          <w:sz w:val="20"/>
          <w:szCs w:val="20"/>
          <w:color w:val="auto"/>
        </w:rPr>
      </w:pPr>
    </w:p>
    <w:p>
      <w:pPr>
        <w:ind w:left="560" w:right="340"/>
        <w:spacing w:after="0" w:line="302" w:lineRule="auto"/>
        <w:rPr>
          <w:sz w:val="20"/>
          <w:szCs w:val="20"/>
          <w:color w:val="auto"/>
        </w:rPr>
      </w:pPr>
      <w:r>
        <w:rPr>
          <w:rFonts w:ascii="Arial" w:cs="Arial" w:eastAsia="Arial" w:hAnsi="Arial"/>
          <w:sz w:val="16"/>
          <w:szCs w:val="16"/>
          <w:u w:val="single" w:color="auto"/>
          <w:color w:val="auto"/>
        </w:rPr>
        <w:t>Founding member beverage revenue.</w:t>
      </w:r>
      <w:r>
        <w:rPr>
          <w:rFonts w:ascii="Arial" w:cs="Arial" w:eastAsia="Arial" w:hAnsi="Arial"/>
          <w:sz w:val="16"/>
          <w:szCs w:val="16"/>
          <w:color w:val="auto"/>
        </w:rPr>
        <w:t xml:space="preserve"> The $1.3 million, or 4.3%, decrease in national advertising revenue from the founding members’ beverage concessionaire agreements was due to a decrease of $3.0 million related to one of the founding members reducing the length of its beverage advertising unit by 30 seconds beginning July 1, 2015, partially offset by a 5.7% increase in beverage revenue CPMs. The 2016 beverage revenue CPM is based on the change in CPM during segment one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from 2014 to 2015, which increased 5.7%.</w:t>
      </w:r>
    </w:p>
    <w:p>
      <w:pPr>
        <w:spacing w:after="0" w:line="46"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Total operating expenses decreased $23.9 million, or 8.0%, from $298.5 million for the year ended December 31, 2015 to $274.6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29, 2016. The following table shows the changes in operating expense for the year ended December 29, 2016 and December 31, 2015 (in millions):</w:t>
      </w:r>
    </w:p>
    <w:p>
      <w:pPr>
        <w:spacing w:after="0" w:line="3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Fiscal Year</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72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1"/>
              </w:rPr>
              <w:t>2015 to</w:t>
            </w:r>
          </w:p>
        </w:tc>
        <w:tc>
          <w:tcPr>
            <w:tcW w:w="2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2015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CFF2FA"/>
            </w:tcBorders>
          </w:tcPr>
          <w:p>
            <w:pPr>
              <w:spacing w:after="0"/>
              <w:rPr>
                <w:sz w:val="14"/>
                <w:szCs w:val="14"/>
                <w:color w:val="auto"/>
              </w:rPr>
            </w:pPr>
          </w:p>
        </w:tc>
        <w:tc>
          <w:tcPr>
            <w:tcW w:w="720" w:type="dxa"/>
            <w:vAlign w:val="bottom"/>
            <w:tcBorders>
              <w:bottom w:val="single" w:sz="8" w:color="CFF2FA"/>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FF2FA"/>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2FA"/>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2FA"/>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2FA"/>
          </w:tcPr>
          <w:p>
            <w:pPr>
              <w:spacing w:after="0"/>
              <w:rPr>
                <w:sz w:val="20"/>
                <w:szCs w:val="20"/>
                <w:color w:val="auto"/>
              </w:rPr>
            </w:pPr>
            <w:r>
              <w:rPr>
                <w:rFonts w:ascii="Arial" w:cs="Arial" w:eastAsia="Arial" w:hAnsi="Arial"/>
                <w:sz w:val="18"/>
                <w:szCs w:val="18"/>
                <w:color w:val="auto"/>
              </w:rPr>
              <w:t>Advertising operating costs</w:t>
            </w:r>
          </w:p>
        </w:tc>
        <w:tc>
          <w:tcPr>
            <w:tcW w:w="720" w:type="dxa"/>
            <w:vAlign w:val="bottom"/>
            <w:shd w:val="clear" w:color="auto" w:fill="CFF2FA"/>
          </w:tcPr>
          <w:p>
            <w:pPr>
              <w:spacing w:after="0"/>
              <w:rPr>
                <w:sz w:val="19"/>
                <w:szCs w:val="19"/>
                <w:color w:val="auto"/>
              </w:rPr>
            </w:pPr>
          </w:p>
        </w:tc>
        <w:tc>
          <w:tcPr>
            <w:tcW w:w="700" w:type="dxa"/>
            <w:vAlign w:val="bottom"/>
            <w:shd w:val="clear" w:color="auto" w:fill="CFF2FA"/>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2FA"/>
          </w:tcPr>
          <w:p>
            <w:pPr>
              <w:spacing w:after="0"/>
              <w:rPr>
                <w:sz w:val="19"/>
                <w:szCs w:val="19"/>
                <w:color w:val="auto"/>
              </w:rPr>
            </w:pPr>
          </w:p>
        </w:tc>
        <w:tc>
          <w:tcPr>
            <w:tcW w:w="320" w:type="dxa"/>
            <w:vAlign w:val="bottom"/>
            <w:shd w:val="clear" w:color="auto" w:fill="CFF2FA"/>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FF2FA"/>
          </w:tcPr>
          <w:p>
            <w:pPr>
              <w:spacing w:after="0"/>
              <w:rPr>
                <w:sz w:val="19"/>
                <w:szCs w:val="19"/>
                <w:color w:val="auto"/>
              </w:rPr>
            </w:pP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(0.8)</w:t>
            </w:r>
          </w:p>
        </w:tc>
        <w:tc>
          <w:tcPr>
            <w:tcW w:w="136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Network costs</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160" w:type="dxa"/>
            <w:vAlign w:val="bottom"/>
            <w:shd w:val="clear" w:color="auto" w:fill="CFF2FA"/>
          </w:tcPr>
          <w:p>
            <w:pPr>
              <w:spacing w:after="0"/>
              <w:rPr>
                <w:sz w:val="20"/>
                <w:szCs w:val="20"/>
                <w:color w:val="auto"/>
              </w:rPr>
            </w:pPr>
            <w:r>
              <w:rPr>
                <w:rFonts w:ascii="Arial" w:cs="Arial" w:eastAsia="Arial" w:hAnsi="Arial"/>
                <w:sz w:val="18"/>
                <w:szCs w:val="18"/>
                <w:color w:val="auto"/>
              </w:rPr>
              <w:t>Theater access fees—founding members</w:t>
            </w:r>
          </w:p>
        </w:tc>
        <w:tc>
          <w:tcPr>
            <w:tcW w:w="720" w:type="dxa"/>
            <w:vAlign w:val="bottom"/>
            <w:shd w:val="clear" w:color="auto" w:fill="CFF2FA"/>
          </w:tcPr>
          <w:p>
            <w:pPr>
              <w:spacing w:after="0"/>
              <w:rPr>
                <w:sz w:val="19"/>
                <w:szCs w:val="19"/>
                <w:color w:val="auto"/>
              </w:rPr>
            </w:pPr>
          </w:p>
        </w:tc>
        <w:tc>
          <w:tcPr>
            <w:tcW w:w="70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160" w:type="dxa"/>
            <w:vAlign w:val="bottom"/>
            <w:shd w:val="clear" w:color="auto" w:fill="CFF2FA"/>
          </w:tcPr>
          <w:p>
            <w:pPr>
              <w:spacing w:after="0"/>
              <w:rPr>
                <w:sz w:val="20"/>
                <w:szCs w:val="20"/>
                <w:color w:val="auto"/>
              </w:rPr>
            </w:pPr>
            <w:r>
              <w:rPr>
                <w:rFonts w:ascii="Arial" w:cs="Arial" w:eastAsia="Arial" w:hAnsi="Arial"/>
                <w:sz w:val="18"/>
                <w:szCs w:val="18"/>
                <w:color w:val="auto"/>
              </w:rPr>
              <w:t>Administrative and other costs</w:t>
            </w:r>
          </w:p>
        </w:tc>
        <w:tc>
          <w:tcPr>
            <w:tcW w:w="720" w:type="dxa"/>
            <w:vAlign w:val="bottom"/>
            <w:shd w:val="clear" w:color="auto" w:fill="CFF2FA"/>
          </w:tcPr>
          <w:p>
            <w:pPr>
              <w:spacing w:after="0"/>
              <w:rPr>
                <w:sz w:val="19"/>
                <w:szCs w:val="19"/>
                <w:color w:val="auto"/>
              </w:rPr>
            </w:pPr>
          </w:p>
        </w:tc>
        <w:tc>
          <w:tcPr>
            <w:tcW w:w="70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tcBorders>
              <w:bottom w:val="single" w:sz="8" w:color="CFF2FA"/>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CFF2F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FF2F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FF2FA"/>
            </w:tcBorders>
          </w:tcPr>
          <w:p>
            <w:pPr>
              <w:spacing w:after="0"/>
              <w:rPr>
                <w:sz w:val="19"/>
                <w:szCs w:val="19"/>
                <w:color w:val="auto"/>
              </w:rPr>
            </w:pPr>
          </w:p>
        </w:tc>
        <w:tc>
          <w:tcPr>
            <w:tcW w:w="1360" w:type="dxa"/>
            <w:vAlign w:val="bottom"/>
            <w:tcBorders>
              <w:bottom w:val="single" w:sz="8" w:color="CFF2FA"/>
            </w:tcBorders>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9"/>
        </w:trPr>
        <w:tc>
          <w:tcPr>
            <w:tcW w:w="41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Total operating expenses before the merger</w:t>
            </w:r>
          </w:p>
        </w:tc>
        <w:tc>
          <w:tcPr>
            <w:tcW w:w="720" w:type="dxa"/>
            <w:vAlign w:val="bottom"/>
            <w:shd w:val="clear" w:color="auto" w:fill="CFF2FA"/>
          </w:tcPr>
          <w:p>
            <w:pPr>
              <w:spacing w:after="0"/>
              <w:rPr>
                <w:sz w:val="18"/>
                <w:szCs w:val="18"/>
                <w:color w:val="auto"/>
              </w:rPr>
            </w:pPr>
          </w:p>
        </w:tc>
        <w:tc>
          <w:tcPr>
            <w:tcW w:w="700" w:type="dxa"/>
            <w:vAlign w:val="bottom"/>
            <w:shd w:val="clear" w:color="auto" w:fill="CFF2FA"/>
          </w:tcPr>
          <w:p>
            <w:pPr>
              <w:spacing w:after="0"/>
              <w:rPr>
                <w:sz w:val="18"/>
                <w:szCs w:val="18"/>
                <w:color w:val="auto"/>
              </w:rPr>
            </w:pPr>
          </w:p>
        </w:tc>
        <w:tc>
          <w:tcPr>
            <w:tcW w:w="4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8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96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112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2FA"/>
          </w:tcPr>
          <w:p>
            <w:pPr>
              <w:ind w:left="380"/>
              <w:spacing w:after="0"/>
              <w:rPr>
                <w:sz w:val="20"/>
                <w:szCs w:val="20"/>
                <w:color w:val="auto"/>
              </w:rPr>
            </w:pPr>
            <w:r>
              <w:rPr>
                <w:rFonts w:ascii="Arial" w:cs="Arial" w:eastAsia="Arial" w:hAnsi="Arial"/>
                <w:sz w:val="18"/>
                <w:szCs w:val="18"/>
                <w:color w:val="auto"/>
              </w:rPr>
              <w:t>termination fee and related merger costs</w:t>
            </w:r>
          </w:p>
        </w:tc>
        <w:tc>
          <w:tcPr>
            <w:tcW w:w="720" w:type="dxa"/>
            <w:vAlign w:val="bottom"/>
            <w:shd w:val="clear" w:color="auto" w:fill="CFF2FA"/>
          </w:tcPr>
          <w:p>
            <w:pPr>
              <w:spacing w:after="0"/>
              <w:rPr>
                <w:sz w:val="20"/>
                <w:szCs w:val="20"/>
                <w:color w:val="auto"/>
              </w:rPr>
            </w:pPr>
          </w:p>
        </w:tc>
        <w:tc>
          <w:tcPr>
            <w:tcW w:w="700" w:type="dxa"/>
            <w:vAlign w:val="bottom"/>
            <w:shd w:val="clear" w:color="auto" w:fill="CFF2FA"/>
          </w:tcPr>
          <w:p>
            <w:pPr>
              <w:spacing w:after="0"/>
              <w:rPr>
                <w:sz w:val="20"/>
                <w:szCs w:val="20"/>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84"/>
              </w:rPr>
              <w:t>274.6</w:t>
            </w:r>
          </w:p>
        </w:tc>
        <w:tc>
          <w:tcPr>
            <w:tcW w:w="220" w:type="dxa"/>
            <w:vAlign w:val="bottom"/>
            <w:shd w:val="clear" w:color="auto" w:fill="CFF2FA"/>
          </w:tcPr>
          <w:p>
            <w:pPr>
              <w:spacing w:after="0"/>
              <w:rPr>
                <w:sz w:val="20"/>
                <w:szCs w:val="20"/>
                <w:color w:val="auto"/>
              </w:rPr>
            </w:pPr>
          </w:p>
        </w:tc>
        <w:tc>
          <w:tcPr>
            <w:tcW w:w="320" w:type="dxa"/>
            <w:vAlign w:val="bottom"/>
            <w:shd w:val="clear" w:color="auto" w:fill="CFF2FA"/>
          </w:tcPr>
          <w:p>
            <w:pPr>
              <w:spacing w:after="0"/>
              <w:rPr>
                <w:sz w:val="20"/>
                <w:szCs w:val="20"/>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264.2</w:t>
            </w:r>
          </w:p>
        </w:tc>
        <w:tc>
          <w:tcPr>
            <w:tcW w:w="220" w:type="dxa"/>
            <w:vAlign w:val="bottom"/>
            <w:shd w:val="clear" w:color="auto" w:fill="CFF2FA"/>
          </w:tcPr>
          <w:p>
            <w:pPr>
              <w:spacing w:after="0"/>
              <w:rPr>
                <w:sz w:val="20"/>
                <w:szCs w:val="20"/>
                <w:color w:val="auto"/>
              </w:rPr>
            </w:pPr>
          </w:p>
        </w:tc>
        <w:tc>
          <w:tcPr>
            <w:tcW w:w="160" w:type="dxa"/>
            <w:vAlign w:val="bottom"/>
            <w:shd w:val="clear" w:color="auto" w:fill="CFF2FA"/>
          </w:tcPr>
          <w:p>
            <w:pPr>
              <w:spacing w:after="0"/>
              <w:rPr>
                <w:sz w:val="20"/>
                <w:szCs w:val="20"/>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2FA"/>
          </w:tcPr>
          <w:p>
            <w:pPr>
              <w:spacing w:after="0"/>
              <w:rPr>
                <w:sz w:val="20"/>
                <w:szCs w:val="20"/>
                <w:color w:val="auto"/>
              </w:rPr>
            </w:pPr>
          </w:p>
        </w:tc>
        <w:tc>
          <w:tcPr>
            <w:tcW w:w="13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Merger termination fee and related merger costs</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FF2FA"/>
          </w:tcPr>
          <w:p>
            <w:pPr>
              <w:ind w:left="120"/>
              <w:spacing w:after="0"/>
              <w:rPr>
                <w:sz w:val="20"/>
                <w:szCs w:val="20"/>
                <w:color w:val="auto"/>
              </w:rPr>
            </w:pPr>
            <w:r>
              <w:rPr>
                <w:rFonts w:ascii="Arial" w:cs="Arial" w:eastAsia="Arial" w:hAnsi="Arial"/>
                <w:sz w:val="18"/>
                <w:szCs w:val="18"/>
                <w:color w:val="auto"/>
              </w:rPr>
              <w:t>Total operating expenses</w:t>
            </w:r>
          </w:p>
        </w:tc>
        <w:tc>
          <w:tcPr>
            <w:tcW w:w="720" w:type="dxa"/>
            <w:vAlign w:val="bottom"/>
            <w:vMerge w:val="restart"/>
            <w:shd w:val="clear" w:color="auto" w:fill="CFF2FA"/>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2FA"/>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2F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2FA"/>
          </w:tcPr>
          <w:p>
            <w:pPr>
              <w:spacing w:after="0" w:line="20" w:lineRule="exact"/>
              <w:rPr>
                <w:sz w:val="1"/>
                <w:szCs w:val="1"/>
                <w:color w:val="auto"/>
              </w:rPr>
            </w:pPr>
          </w:p>
        </w:tc>
        <w:tc>
          <w:tcPr>
            <w:tcW w:w="1360" w:type="dxa"/>
            <w:vAlign w:val="bottom"/>
            <w:gridSpan w:val="2"/>
            <w:vMerge w:val="restart"/>
            <w:shd w:val="clear" w:color="auto" w:fill="CFF2FA"/>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223"/>
        </w:trPr>
        <w:tc>
          <w:tcPr>
            <w:tcW w:w="4160" w:type="dxa"/>
            <w:vAlign w:val="bottom"/>
            <w:vMerge w:val="continue"/>
            <w:shd w:val="clear" w:color="auto" w:fill="CFF2FA"/>
          </w:tcPr>
          <w:p>
            <w:pPr>
              <w:spacing w:after="0"/>
              <w:rPr>
                <w:sz w:val="19"/>
                <w:szCs w:val="19"/>
                <w:color w:val="auto"/>
              </w:rPr>
            </w:pPr>
          </w:p>
        </w:tc>
        <w:tc>
          <w:tcPr>
            <w:tcW w:w="720" w:type="dxa"/>
            <w:vAlign w:val="bottom"/>
            <w:vMerge w:val="continue"/>
            <w:shd w:val="clear" w:color="auto" w:fill="CFF2FA"/>
          </w:tcPr>
          <w:p>
            <w:pPr>
              <w:spacing w:after="0"/>
              <w:rPr>
                <w:sz w:val="19"/>
                <w:szCs w:val="19"/>
                <w:color w:val="auto"/>
              </w:rPr>
            </w:pPr>
          </w:p>
        </w:tc>
        <w:tc>
          <w:tcPr>
            <w:tcW w:w="700" w:type="dxa"/>
            <w:vAlign w:val="bottom"/>
            <w:shd w:val="clear" w:color="auto" w:fill="CFF2FA"/>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84"/>
              </w:rPr>
              <w:t>274.6</w:t>
            </w:r>
          </w:p>
        </w:tc>
        <w:tc>
          <w:tcPr>
            <w:tcW w:w="220" w:type="dxa"/>
            <w:vAlign w:val="bottom"/>
            <w:vMerge w:val="continue"/>
            <w:shd w:val="clear" w:color="auto" w:fill="CFF2FA"/>
          </w:tcPr>
          <w:p>
            <w:pPr>
              <w:spacing w:after="0"/>
              <w:rPr>
                <w:sz w:val="19"/>
                <w:szCs w:val="19"/>
                <w:color w:val="auto"/>
              </w:rPr>
            </w:pPr>
          </w:p>
        </w:tc>
        <w:tc>
          <w:tcPr>
            <w:tcW w:w="320" w:type="dxa"/>
            <w:vAlign w:val="bottom"/>
            <w:shd w:val="clear" w:color="auto" w:fill="CFF2FA"/>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298.5</w:t>
            </w:r>
          </w:p>
        </w:tc>
        <w:tc>
          <w:tcPr>
            <w:tcW w:w="220" w:type="dxa"/>
            <w:vAlign w:val="bottom"/>
            <w:vMerge w:val="continue"/>
            <w:shd w:val="clear" w:color="auto" w:fill="CFF2FA"/>
          </w:tcPr>
          <w:p>
            <w:pPr>
              <w:spacing w:after="0"/>
              <w:rPr>
                <w:sz w:val="19"/>
                <w:szCs w:val="19"/>
                <w:color w:val="auto"/>
              </w:rPr>
            </w:pP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(23.9)</w:t>
            </w:r>
          </w:p>
        </w:tc>
        <w:tc>
          <w:tcPr>
            <w:tcW w:w="1360" w:type="dxa"/>
            <w:vAlign w:val="bottom"/>
            <w:gridSpan w:val="2"/>
            <w:vMerge w:val="continue"/>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2FA"/>
            </w:tcBorders>
          </w:tcPr>
          <w:p>
            <w:pPr>
              <w:spacing w:after="0" w:line="20" w:lineRule="exact"/>
              <w:rPr>
                <w:sz w:val="1"/>
                <w:szCs w:val="1"/>
                <w:color w:val="auto"/>
              </w:rPr>
            </w:pPr>
          </w:p>
        </w:tc>
        <w:tc>
          <w:tcPr>
            <w:tcW w:w="720" w:type="dxa"/>
            <w:vAlign w:val="bottom"/>
            <w:tcBorders>
              <w:top w:val="single" w:sz="8" w:color="CFF2FA"/>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1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line="312"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i w:val="1"/>
          <w:iCs w:val="1"/>
          <w:u w:val="single" w:color="auto"/>
          <w:color w:val="auto"/>
        </w:rPr>
        <w:t>.</w:t>
      </w:r>
      <w:r>
        <w:rPr>
          <w:rFonts w:ascii="Arial" w:cs="Arial" w:eastAsia="Arial" w:hAnsi="Arial"/>
          <w:sz w:val="16"/>
          <w:szCs w:val="16"/>
          <w:color w:val="auto"/>
        </w:rPr>
        <w:t xml:space="preserve"> Advertising operating costs decreased $0.8 million, or 2.6%, from $30.8 million for the year ended December 31, 2015 to $30.0 million for the year ended December 29, 2016. This decrease was primarily due to a $0.4 million decrease in personnel related expenses and $0.2 million lower on-screen production costs during year ended December 29, 2016, compared to the year ended December 31, 2015.</w:t>
      </w:r>
    </w:p>
    <w:p>
      <w:pPr>
        <w:spacing w:after="0" w:line="39" w:lineRule="exact"/>
        <w:rPr>
          <w:sz w:val="20"/>
          <w:szCs w:val="20"/>
          <w:color w:val="auto"/>
        </w:rPr>
      </w:pPr>
    </w:p>
    <w:p>
      <w:pPr>
        <w:ind w:left="560"/>
        <w:spacing w:after="0" w:line="308"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$0.7 million, or 3.9%, from $17.8 million for the year ended December 31, 2015 to $17.1 million for the year ended December 29, 2016 due primarily to a decrease of $0.5 million in network maintenance costs related to our DCN.</w:t>
      </w:r>
    </w:p>
    <w:p>
      <w:pPr>
        <w:spacing w:after="0" w:line="38"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u w:val="single" w:color="auto"/>
          <w:color w:val="auto"/>
        </w:rPr>
        <w:t>Theater access fees—founding members.</w:t>
      </w:r>
      <w:r>
        <w:rPr>
          <w:rFonts w:ascii="Arial" w:cs="Arial" w:eastAsia="Arial" w:hAnsi="Arial"/>
          <w:sz w:val="16"/>
          <w:szCs w:val="16"/>
          <w:color w:val="auto"/>
        </w:rPr>
        <w:t xml:space="preserve"> Theater access fees increased $2.6 million, or 3.6%, from $72.5 million for the year ended December 31, 2015 to $75.1 million for the year ended December 29, 2016. The increase was due to a $2.6 million increase in the fee associated with the number of founding member digital screens that are connected to the DCN, including higher quality digital cinema projectors and related equipment. The $2.6 million increase in digital screen fees increased $1.5 million related to an annual 5% rate increase specified in the ESAs and $1.1 million from an increase in the number of founding member screens equipped with higher quality digital cinema equipment. Theater access fees based upon founding member attendance remained consistent during 2016, compared to 2015 as founding member attendance remained flat year over year.</w:t>
      </w:r>
    </w:p>
    <w:p>
      <w:pPr>
        <w:spacing w:after="0" w:line="57"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$0.5 million, or 0.7%, from $72.3 million for the year ended December 31, 2015 to $72.8 million for the year ended December 29, 2016. This increase was primarily due to an increase of $0.9 million in online publisher expense related to higher online and mobile revenue, a $0.8 million increase in marketing research expenses and $0.7 million due to a non-cash impairment charge on an investment obtained in exchange for advertising services. These increases to selling and marketing costs were partially offset by a $1.7 million decrease in personnel related expenses due primarily to lower commission and bonus expense during the year ended December 29, 2016, compared to the year ended December 31, 2015.</w:t>
      </w:r>
    </w:p>
    <w:p>
      <w:pPr>
        <w:spacing w:after="0" w:line="85" w:lineRule="exact"/>
        <w:rPr>
          <w:sz w:val="20"/>
          <w:szCs w:val="20"/>
          <w:color w:val="auto"/>
        </w:rPr>
      </w:pPr>
    </w:p>
    <w:p>
      <w:pPr>
        <w:ind w:left="560" w:right="40"/>
        <w:spacing w:after="0" w:line="276"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increased $5.2 million, or 13.5%, from $38.6 million for the year ended December 31, 2015 to $43.8 million for the year ended December 29, 2016 due primarily to a $3.0 million increase in CEO transition costs, which consisted primarily of severance and consulting costs to our former CEO, a $0.7 million increase in personnel-related costs related primarily to higher non-cash share based compensation expense associated with modifying equity awards with our former CEO, a $0.7 million increase in franchise and other non-income based tax expenses and a $0.6 million increase in professional service costs.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6" w:name="page37"/>
    <w:bookmarkEnd w:id="36"/>
    <w:p>
      <w:pPr>
        <w:ind w:left="560" w:right="38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$3.6 million, or 11.2%, from $32.2 million for the year ended December 31, 2015 to $35.8 million for the year ended December 29, 2016. The increase was due to an increase in amortization expense of intangible assets related primarily to founding member common unit adjustments, partially offset by lower depreciation expense as assets became fully depreciated.</w:t>
      </w:r>
    </w:p>
    <w:p>
      <w:pPr>
        <w:spacing w:after="0" w:line="79" w:lineRule="exact"/>
        <w:rPr>
          <w:sz w:val="20"/>
          <w:szCs w:val="20"/>
          <w:color w:val="auto"/>
        </w:rPr>
      </w:pPr>
    </w:p>
    <w:p>
      <w:pPr>
        <w:ind w:left="560" w:right="660"/>
        <w:spacing w:after="0" w:line="286" w:lineRule="auto"/>
        <w:rPr>
          <w:sz w:val="20"/>
          <w:szCs w:val="20"/>
          <w:color w:val="auto"/>
        </w:rPr>
      </w:pPr>
      <w:r>
        <w:rPr>
          <w:rFonts w:ascii="Arial" w:cs="Arial" w:eastAsia="Arial" w:hAnsi="Arial"/>
          <w:sz w:val="17"/>
          <w:szCs w:val="17"/>
          <w:u w:val="single" w:color="auto"/>
          <w:color w:val="auto"/>
        </w:rPr>
        <w:t>Merger termination fee and related merger costs.</w:t>
      </w:r>
      <w:r>
        <w:rPr>
          <w:rFonts w:ascii="Arial" w:cs="Arial" w:eastAsia="Arial" w:hAnsi="Arial"/>
          <w:sz w:val="17"/>
          <w:szCs w:val="17"/>
          <w:color w:val="auto"/>
        </w:rPr>
        <w:t xml:space="preserve"> The merger termination fee and related merger costs were $34.3 million for the year ended December 31, 2015 due to the merger termination payment of approximately $26.8 million and approximately $7.5 million in primarily legal, accounting, advisory and other professional fees associated with the terminated Screenvision merger.</w:t>
      </w:r>
    </w:p>
    <w:p>
      <w:pPr>
        <w:spacing w:after="0" w:line="57"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i w:val="1"/>
          <w:iCs w:val="1"/>
          <w:u w:val="single" w:color="auto"/>
          <w:color w:val="auto"/>
        </w:rPr>
        <w:t>Non-operating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Total non-operating expenses increased $10.3 million, or 15.5%, from $66.5 million for the year ended December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to $76.8 million for the year ended December 29, 2016. The following table shows the changes in non-operating expense for the years ended December 29, 2016 and December 31, 2015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Fiscal Year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Change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274"/>
              <w:spacing w:after="0" w:line="133" w:lineRule="exact"/>
              <w:rPr>
                <w:sz w:val="20"/>
                <w:szCs w:val="20"/>
                <w:color w:val="auto"/>
              </w:rPr>
            </w:pPr>
            <w:r>
              <w:rPr>
                <w:rFonts w:ascii="Arial" w:cs="Arial" w:eastAsia="Arial" w:hAnsi="Arial"/>
                <w:sz w:val="14"/>
                <w:szCs w:val="14"/>
                <w:b w:val="1"/>
                <w:bCs w:val="1"/>
                <w:color w:val="auto"/>
              </w:rPr>
              <w:t>2015 to</w:t>
            </w:r>
          </w:p>
        </w:tc>
        <w:tc>
          <w:tcPr>
            <w:tcW w:w="2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2015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Interest on borrowings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Accretion of interest on the discounted payable to</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founding members under tax receivable agreement</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Amortization of terminated derivatives</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Loss on early retirement of debt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non-operating expenses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The increase in non-operating expense was due primarily to a $10.4 million loss on early retirement of debt recorded in the year ended December 29, 2016 as a result of the redemption of our Notes due 2021. The loss on early retirement of debt included an approximate $7.9 million redemption premium and the write-off of approximately $2.5 million in unamortized debt issuance costs. The interest on borrowings increased approximately $1.8 million in 2016 compared to 2015 due to the one-month period between the issuance of the Notes due 2026 in August 2016 and the redemption of the Notes due 2021 in September 2016, whereby interest was paid on both notes for one month, as well as, a higher LIBOR rate on our term loans during 2016 compared to 2015. These increases in non-operating expenses were partially offset by a $1.6 million decrease in the amortization of terminated derivatives as the amortization period ended in February 2015.</w:t>
      </w:r>
    </w:p>
    <w:p>
      <w:pPr>
        <w:spacing w:after="0" w:line="81" w:lineRule="exact"/>
        <w:rPr>
          <w:sz w:val="20"/>
          <w:szCs w:val="20"/>
          <w:color w:val="auto"/>
        </w:rPr>
      </w:pPr>
    </w:p>
    <w:p>
      <w:pPr>
        <w:ind w:right="120" w:firstLine="555"/>
        <w:spacing w:after="0" w:line="297"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increased $10.0 million from $15.4 million for the year ended December 31, 2015 to $25.4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29, 2016. The increase in net income was primarily due to an increase of $25.0 million in operating income, as described above, and a decrease of $8.6 million in income tax expense due primarily to a change of $7.8 million for a reserve for uncertain tax positions as $4.9 million of reserve was added during 2015 and $2.9 million was reversed during 2016 as the statute of limitations expired in the period. These increases to net income were partially offset by an increase of $10.3 million in non-operating expense, as described above, and a $13.3 million increase in income attributable to noncontrolling interests.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Years 2015 and 2014</w:t>
      </w:r>
    </w:p>
    <w:p>
      <w:pPr>
        <w:spacing w:after="0" w:line="117" w:lineRule="exact"/>
        <w:rPr>
          <w:sz w:val="20"/>
          <w:szCs w:val="20"/>
          <w:color w:val="auto"/>
        </w:rPr>
      </w:pPr>
    </w:p>
    <w:p>
      <w:pPr>
        <w:ind w:right="460" w:firstLine="555"/>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$52.5 million, or 13.3%, from $394.0 million for the year ended January 1, 2015 to $446.5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The following is a summary of revenue by category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25"/>
              <w:spacing w:after="0"/>
              <w:rPr>
                <w:sz w:val="20"/>
                <w:szCs w:val="20"/>
                <w:color w:val="auto"/>
              </w:rPr>
            </w:pPr>
            <w:r>
              <w:rPr>
                <w:rFonts w:ascii="Arial" w:cs="Arial" w:eastAsia="Arial" w:hAnsi="Arial"/>
                <w:sz w:val="14"/>
                <w:szCs w:val="14"/>
                <w:b w:val="1"/>
                <w:bCs w:val="1"/>
                <w:color w:val="auto"/>
              </w:rPr>
              <w:t>Fiscal Year</w:t>
            </w:r>
          </w:p>
        </w:tc>
        <w:tc>
          <w:tcPr>
            <w:tcW w:w="8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Change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216"/>
              <w:spacing w:after="0" w:line="133" w:lineRule="exact"/>
              <w:rPr>
                <w:sz w:val="20"/>
                <w:szCs w:val="20"/>
                <w:color w:val="auto"/>
              </w:rPr>
            </w:pPr>
            <w:r>
              <w:rPr>
                <w:rFonts w:ascii="Arial" w:cs="Arial" w:eastAsia="Arial" w:hAnsi="Arial"/>
                <w:sz w:val="14"/>
                <w:szCs w:val="14"/>
                <w:b w:val="1"/>
                <w:bCs w:val="1"/>
                <w:color w:val="auto"/>
              </w:rPr>
              <w:t>2014 to</w:t>
            </w:r>
          </w:p>
        </w:tc>
        <w:tc>
          <w:tcPr>
            <w:tcW w:w="240" w:type="dxa"/>
            <w:vAlign w:val="bottom"/>
          </w:tcPr>
          <w:p>
            <w:pPr>
              <w:spacing w:after="0"/>
              <w:rPr>
                <w:sz w:val="11"/>
                <w:szCs w:val="11"/>
                <w:color w:val="auto"/>
              </w:rPr>
            </w:pPr>
          </w:p>
        </w:tc>
        <w:tc>
          <w:tcPr>
            <w:tcW w:w="9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2014 to</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6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jc w:val="center"/>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 beverage</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concessionaire agreements</w:t>
            </w: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(8.4)</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90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37</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37" w:name="page38"/>
    <w:bookmarkEnd w:id="37"/>
    <w:p>
      <w:pPr>
        <w:ind w:left="140"/>
        <w:spacing w:after="0"/>
        <w:rPr>
          <w:sz w:val="20"/>
          <w:szCs w:val="20"/>
          <w:color w:val="auto"/>
        </w:rPr>
      </w:pPr>
      <w:r>
        <w:rPr>
          <w:rFonts w:ascii="Arial" w:cs="Arial" w:eastAsia="Arial" w:hAnsi="Arial"/>
          <w:sz w:val="18"/>
          <w:szCs w:val="18"/>
          <w:color w:val="auto"/>
        </w:rPr>
        <w:t>The following table shows data on revenue per attendee for the years ended December 31, 2015 and January 1, 2015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Fiscal Year</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60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2014 to</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6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0.442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13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0.158</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0.145</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 member</w:t>
            </w:r>
          </w:p>
        </w:tc>
        <w:tc>
          <w:tcPr>
            <w:tcW w:w="6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beverage revenue) per attendee</w:t>
            </w:r>
          </w:p>
        </w:tc>
        <w:tc>
          <w:tcPr>
            <w:tcW w:w="130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0.600</w:t>
            </w:r>
          </w:p>
        </w:tc>
        <w:tc>
          <w:tcPr>
            <w:tcW w:w="5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0.517</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3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0.643</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0.573</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6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694.7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40" w:right="220" w:hanging="558"/>
        <w:spacing w:after="0" w:line="264" w:lineRule="auto"/>
        <w:tabs>
          <w:tab w:leader="none" w:pos="114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theaters for all periods presented. Refer to Note 4 to the audited Consolidated Financial Statements included elsewhere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-432435</wp:posOffset>
            </wp:positionV>
            <wp:extent cx="13379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5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$51.1 million, or 20.0%, increase in national advertising revenue (excluding beverage revenue from the founding members) was due primarily to a 14.2% increase in impressions sold during the year ended December 31, 2015, compared to the year ended January 1, 2015 and a 6.7% increase in national advertising CPMs (excluding beverage) during the year ended December 31, 2015, compared to the year ended January 1, 2015. The increase in impressions sold was driven by an increase in national inventory utilization from 115.7% for the year ended January 1, 2015 to 128.3% for the year ended December 31, 2015, due to an expansion of our client base and increased spending by certain existing clients, related in part to the success of our strategy to compete in the national television Upfront marketplace. Inventory utilization is calculated as utilized impressions divided by total advertising impressions, which is based on eleven 30-second salable national advertising units 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which can be expanded, should market demand dictate. This increase in impressions sold was also driven by an increase in our network theater attendance of 0.9% related to an overall increase in cinema industry attendance resulting from a stronger film release schedule and the addition of new network screens. The increase in CPMs relates primarily to our successful Upfront sales campaign and strong scatter market.</w:t>
      </w:r>
    </w:p>
    <w:p>
      <w:pPr>
        <w:spacing w:after="0" w:line="6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u w:val="single" w:color="auto"/>
          <w:color w:val="auto"/>
        </w:rPr>
        <w:t>Local and regional advertising revenue.</w:t>
      </w:r>
      <w:r>
        <w:rPr>
          <w:rFonts w:ascii="Arial" w:cs="Arial" w:eastAsia="Arial" w:hAnsi="Arial"/>
          <w:sz w:val="16"/>
          <w:szCs w:val="16"/>
          <w:color w:val="auto"/>
        </w:rPr>
        <w:t xml:space="preserve"> The $9.8 million, or 9.8%, increase in local and regional advertising revenue was driven by an increase of $6.9 million, or 21.7%, in revenue from larger regional contracts (greater than $100,000). The volume of contracts greater than $100,000 increased 33.9%, partially offset by a decrease of 9.1% in average contract value of contracts greater than $100,000. The increase in volume of contracts greater than $100,000 was due to the stronger film release schedule and higher sales to agencies responsible for larger regional advertising budgets. Revenue from local contracts under $100,000 increased 4.8% during the year ended December 31, 2015, compared to the year ended January 1, 2015.</w:t>
      </w:r>
    </w:p>
    <w:p>
      <w:pPr>
        <w:spacing w:after="0" w:line="50"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Founding member beverage revenue.</w:t>
      </w:r>
      <w:r>
        <w:rPr>
          <w:rFonts w:ascii="Arial" w:cs="Arial" w:eastAsia="Arial" w:hAnsi="Arial"/>
          <w:sz w:val="17"/>
          <w:szCs w:val="17"/>
          <w:color w:val="auto"/>
        </w:rPr>
        <w:t xml:space="preserve"> The $8.4 million, or 21.9%, decrease in national advertising revenue from the founding members’ beverage concessionaire agreements was due to a 14.4% decrease in beverage revenue CPMs and a decrease of 0.4% in founding member attendance during the year ended December 31, 2015, compared to the year ended January 1, 2015. The 2015 beverage revenue CPM is based on the change in CPM during segment one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from 2013 to 2014, which decreased 14.4%. Founding member beverage revenue also decreased by $2.7 million due to one of the founding members reducing the length of the beverage advertising unit from 60 seconds to 30 seconds beginning July 1, 2015. We have the right to sell the 30 second unit to other clients.</w:t>
      </w:r>
    </w:p>
    <w:p>
      <w:pPr>
        <w:spacing w:after="0" w:line="17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800" w:top="449" w:right="239" w:bottom="1440" w:gutter="0" w:footer="0" w:header="0"/>
        </w:sectPr>
      </w:pPr>
    </w:p>
    <w:bookmarkStart w:id="38" w:name="page39"/>
    <w:bookmarkEnd w:id="38"/>
    <w:p>
      <w:pPr>
        <w:ind w:right="260" w:firstLine="555"/>
        <w:spacing w:after="0" w:line="264"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increased $56.2 million, or 23.2%, from $242.3 million for the year ended January 1, 2015 to $298.5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2015. The following table shows the changes in operating expense for the year ended December 31, 2015 and January 1, 2015 (in millions):</w:t>
      </w:r>
    </w:p>
    <w:p>
      <w:pPr>
        <w:spacing w:after="0" w:line="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Fiscal Year</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72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1"/>
              </w:rPr>
              <w:t>2014 to</w:t>
            </w:r>
          </w:p>
        </w:tc>
        <w:tc>
          <w:tcPr>
            <w:tcW w:w="2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2014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CFF2FA"/>
            </w:tcBorders>
          </w:tcPr>
          <w:p>
            <w:pPr>
              <w:spacing w:after="0"/>
              <w:rPr>
                <w:sz w:val="14"/>
                <w:szCs w:val="14"/>
                <w:color w:val="auto"/>
              </w:rPr>
            </w:pPr>
          </w:p>
        </w:tc>
        <w:tc>
          <w:tcPr>
            <w:tcW w:w="720" w:type="dxa"/>
            <w:vAlign w:val="bottom"/>
            <w:tcBorders>
              <w:bottom w:val="single" w:sz="8" w:color="CFF2FA"/>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FF2FA"/>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2FA"/>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CFF2FA"/>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2FA"/>
          </w:tcPr>
          <w:p>
            <w:pPr>
              <w:spacing w:after="0"/>
              <w:rPr>
                <w:sz w:val="20"/>
                <w:szCs w:val="20"/>
                <w:color w:val="auto"/>
              </w:rPr>
            </w:pPr>
            <w:r>
              <w:rPr>
                <w:rFonts w:ascii="Arial" w:cs="Arial" w:eastAsia="Arial" w:hAnsi="Arial"/>
                <w:sz w:val="18"/>
                <w:szCs w:val="18"/>
                <w:color w:val="auto"/>
              </w:rPr>
              <w:t>Advertising operating costs</w:t>
            </w:r>
          </w:p>
        </w:tc>
        <w:tc>
          <w:tcPr>
            <w:tcW w:w="720" w:type="dxa"/>
            <w:vAlign w:val="bottom"/>
            <w:shd w:val="clear" w:color="auto" w:fill="CFF2FA"/>
          </w:tcPr>
          <w:p>
            <w:pPr>
              <w:spacing w:after="0"/>
              <w:rPr>
                <w:sz w:val="19"/>
                <w:szCs w:val="19"/>
                <w:color w:val="auto"/>
              </w:rPr>
            </w:pPr>
          </w:p>
        </w:tc>
        <w:tc>
          <w:tcPr>
            <w:tcW w:w="700" w:type="dxa"/>
            <w:vAlign w:val="bottom"/>
            <w:shd w:val="clear" w:color="auto" w:fill="CFF2FA"/>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FF2FA"/>
          </w:tcPr>
          <w:p>
            <w:pPr>
              <w:spacing w:after="0"/>
              <w:rPr>
                <w:sz w:val="19"/>
                <w:szCs w:val="19"/>
                <w:color w:val="auto"/>
              </w:rPr>
            </w:pPr>
          </w:p>
        </w:tc>
        <w:tc>
          <w:tcPr>
            <w:tcW w:w="320" w:type="dxa"/>
            <w:vAlign w:val="bottom"/>
            <w:shd w:val="clear" w:color="auto" w:fill="CFF2FA"/>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FF2FA"/>
          </w:tcPr>
          <w:p>
            <w:pPr>
              <w:spacing w:after="0"/>
              <w:rPr>
                <w:sz w:val="19"/>
                <w:szCs w:val="19"/>
                <w:color w:val="auto"/>
              </w:rPr>
            </w:pP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Network costs</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160" w:type="dxa"/>
            <w:vAlign w:val="bottom"/>
            <w:shd w:val="clear" w:color="auto" w:fill="CFF2FA"/>
          </w:tcPr>
          <w:p>
            <w:pPr>
              <w:spacing w:after="0"/>
              <w:rPr>
                <w:sz w:val="20"/>
                <w:szCs w:val="20"/>
                <w:color w:val="auto"/>
              </w:rPr>
            </w:pPr>
            <w:r>
              <w:rPr>
                <w:rFonts w:ascii="Arial" w:cs="Arial" w:eastAsia="Arial" w:hAnsi="Arial"/>
                <w:sz w:val="18"/>
                <w:szCs w:val="18"/>
                <w:color w:val="auto"/>
              </w:rPr>
              <w:t>Theater access fees—founding members</w:t>
            </w:r>
          </w:p>
        </w:tc>
        <w:tc>
          <w:tcPr>
            <w:tcW w:w="720" w:type="dxa"/>
            <w:vAlign w:val="bottom"/>
            <w:shd w:val="clear" w:color="auto" w:fill="CFF2FA"/>
          </w:tcPr>
          <w:p>
            <w:pPr>
              <w:spacing w:after="0"/>
              <w:rPr>
                <w:sz w:val="19"/>
                <w:szCs w:val="19"/>
                <w:color w:val="auto"/>
              </w:rPr>
            </w:pPr>
          </w:p>
        </w:tc>
        <w:tc>
          <w:tcPr>
            <w:tcW w:w="70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70.6</w:t>
            </w:r>
          </w:p>
        </w:tc>
        <w:tc>
          <w:tcPr>
            <w:tcW w:w="2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4160" w:type="dxa"/>
            <w:vAlign w:val="bottom"/>
            <w:shd w:val="clear" w:color="auto" w:fill="CFF2FA"/>
          </w:tcPr>
          <w:p>
            <w:pPr>
              <w:spacing w:after="0"/>
              <w:rPr>
                <w:sz w:val="20"/>
                <w:szCs w:val="20"/>
                <w:color w:val="auto"/>
              </w:rPr>
            </w:pPr>
            <w:r>
              <w:rPr>
                <w:rFonts w:ascii="Arial" w:cs="Arial" w:eastAsia="Arial" w:hAnsi="Arial"/>
                <w:sz w:val="18"/>
                <w:szCs w:val="18"/>
                <w:color w:val="auto"/>
              </w:rPr>
              <w:t>Administrative and other costs</w:t>
            </w:r>
          </w:p>
        </w:tc>
        <w:tc>
          <w:tcPr>
            <w:tcW w:w="720" w:type="dxa"/>
            <w:vAlign w:val="bottom"/>
            <w:shd w:val="clear" w:color="auto" w:fill="CFF2FA"/>
          </w:tcPr>
          <w:p>
            <w:pPr>
              <w:spacing w:after="0"/>
              <w:rPr>
                <w:sz w:val="19"/>
                <w:szCs w:val="19"/>
                <w:color w:val="auto"/>
              </w:rPr>
            </w:pPr>
          </w:p>
        </w:tc>
        <w:tc>
          <w:tcPr>
            <w:tcW w:w="70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4160" w:type="dxa"/>
            <w:vAlign w:val="bottom"/>
            <w:tcBorders>
              <w:top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Total operating expenses before the merger</w:t>
            </w:r>
          </w:p>
        </w:tc>
        <w:tc>
          <w:tcPr>
            <w:tcW w:w="720" w:type="dxa"/>
            <w:vAlign w:val="bottom"/>
            <w:tcBorders>
              <w:top w:val="single" w:sz="8" w:color="CFF2FA"/>
            </w:tcBorders>
            <w:shd w:val="clear" w:color="auto" w:fill="CFF2FA"/>
          </w:tcPr>
          <w:p>
            <w:pPr>
              <w:spacing w:after="0"/>
              <w:rPr>
                <w:sz w:val="18"/>
                <w:szCs w:val="18"/>
                <w:color w:val="auto"/>
              </w:rPr>
            </w:pPr>
          </w:p>
        </w:tc>
        <w:tc>
          <w:tcPr>
            <w:tcW w:w="700" w:type="dxa"/>
            <w:vAlign w:val="bottom"/>
            <w:tcBorders>
              <w:top w:val="single" w:sz="8" w:color="auto"/>
            </w:tcBorders>
            <w:shd w:val="clear" w:color="auto" w:fill="CFF2FA"/>
          </w:tcPr>
          <w:p>
            <w:pPr>
              <w:spacing w:after="0"/>
              <w:rPr>
                <w:sz w:val="18"/>
                <w:szCs w:val="18"/>
                <w:color w:val="auto"/>
              </w:rPr>
            </w:pPr>
          </w:p>
        </w:tc>
        <w:tc>
          <w:tcPr>
            <w:tcW w:w="420" w:type="dxa"/>
            <w:vAlign w:val="bottom"/>
            <w:tcBorders>
              <w:top w:val="single" w:sz="8" w:color="auto"/>
            </w:tcBorders>
            <w:shd w:val="clear" w:color="auto" w:fill="CFF2FA"/>
          </w:tcPr>
          <w:p>
            <w:pPr>
              <w:spacing w:after="0"/>
              <w:rPr>
                <w:sz w:val="18"/>
                <w:szCs w:val="18"/>
                <w:color w:val="auto"/>
              </w:rPr>
            </w:pPr>
          </w:p>
        </w:tc>
        <w:tc>
          <w:tcPr>
            <w:tcW w:w="220" w:type="dxa"/>
            <w:vAlign w:val="bottom"/>
            <w:tcBorders>
              <w:top w:val="single" w:sz="8" w:color="CFF2FA"/>
            </w:tcBorders>
            <w:shd w:val="clear" w:color="auto" w:fill="CFF2FA"/>
          </w:tcPr>
          <w:p>
            <w:pPr>
              <w:spacing w:after="0"/>
              <w:rPr>
                <w:sz w:val="18"/>
                <w:szCs w:val="18"/>
                <w:color w:val="auto"/>
              </w:rPr>
            </w:pPr>
          </w:p>
        </w:tc>
        <w:tc>
          <w:tcPr>
            <w:tcW w:w="320" w:type="dxa"/>
            <w:vAlign w:val="bottom"/>
            <w:tcBorders>
              <w:top w:val="single" w:sz="8" w:color="auto"/>
            </w:tcBorders>
            <w:shd w:val="clear" w:color="auto" w:fill="CFF2FA"/>
          </w:tcPr>
          <w:p>
            <w:pPr>
              <w:spacing w:after="0"/>
              <w:rPr>
                <w:sz w:val="18"/>
                <w:szCs w:val="18"/>
                <w:color w:val="auto"/>
              </w:rPr>
            </w:pPr>
          </w:p>
        </w:tc>
        <w:tc>
          <w:tcPr>
            <w:tcW w:w="820" w:type="dxa"/>
            <w:vAlign w:val="bottom"/>
            <w:tcBorders>
              <w:top w:val="single" w:sz="8" w:color="auto"/>
            </w:tcBorders>
            <w:shd w:val="clear" w:color="auto" w:fill="CFF2FA"/>
          </w:tcPr>
          <w:p>
            <w:pPr>
              <w:spacing w:after="0"/>
              <w:rPr>
                <w:sz w:val="18"/>
                <w:szCs w:val="18"/>
                <w:color w:val="auto"/>
              </w:rPr>
            </w:pPr>
          </w:p>
        </w:tc>
        <w:tc>
          <w:tcPr>
            <w:tcW w:w="220" w:type="dxa"/>
            <w:vAlign w:val="bottom"/>
            <w:tcBorders>
              <w:top w:val="single" w:sz="8" w:color="CFF2FA"/>
            </w:tcBorders>
            <w:shd w:val="clear" w:color="auto" w:fill="CFF2FA"/>
          </w:tcPr>
          <w:p>
            <w:pPr>
              <w:spacing w:after="0"/>
              <w:rPr>
                <w:sz w:val="18"/>
                <w:szCs w:val="18"/>
                <w:color w:val="auto"/>
              </w:rPr>
            </w:pPr>
          </w:p>
        </w:tc>
        <w:tc>
          <w:tcPr>
            <w:tcW w:w="160" w:type="dxa"/>
            <w:vAlign w:val="bottom"/>
            <w:tcBorders>
              <w:top w:val="single" w:sz="8" w:color="auto"/>
            </w:tcBorders>
            <w:shd w:val="clear" w:color="auto" w:fill="CFF2FA"/>
          </w:tcPr>
          <w:p>
            <w:pPr>
              <w:spacing w:after="0"/>
              <w:rPr>
                <w:sz w:val="18"/>
                <w:szCs w:val="18"/>
                <w:color w:val="auto"/>
              </w:rPr>
            </w:pPr>
          </w:p>
        </w:tc>
        <w:tc>
          <w:tcPr>
            <w:tcW w:w="960" w:type="dxa"/>
            <w:vAlign w:val="bottom"/>
            <w:tcBorders>
              <w:top w:val="single" w:sz="8" w:color="auto"/>
            </w:tcBorders>
            <w:shd w:val="clear" w:color="auto" w:fill="CFF2FA"/>
          </w:tcPr>
          <w:p>
            <w:pPr>
              <w:spacing w:after="0"/>
              <w:rPr>
                <w:sz w:val="18"/>
                <w:szCs w:val="18"/>
                <w:color w:val="auto"/>
              </w:rPr>
            </w:pPr>
          </w:p>
        </w:tc>
        <w:tc>
          <w:tcPr>
            <w:tcW w:w="220" w:type="dxa"/>
            <w:vAlign w:val="bottom"/>
            <w:tcBorders>
              <w:top w:val="single" w:sz="8" w:color="CFF2FA"/>
            </w:tcBorders>
            <w:shd w:val="clear" w:color="auto" w:fill="CFF2FA"/>
          </w:tcPr>
          <w:p>
            <w:pPr>
              <w:spacing w:after="0"/>
              <w:rPr>
                <w:sz w:val="18"/>
                <w:szCs w:val="18"/>
                <w:color w:val="auto"/>
              </w:rPr>
            </w:pPr>
          </w:p>
        </w:tc>
        <w:tc>
          <w:tcPr>
            <w:tcW w:w="1120" w:type="dxa"/>
            <w:vAlign w:val="bottom"/>
            <w:tcBorders>
              <w:top w:val="single" w:sz="8" w:color="CFF2FA"/>
            </w:tcBorders>
            <w:shd w:val="clear" w:color="auto" w:fill="CFF2FA"/>
          </w:tcPr>
          <w:p>
            <w:pPr>
              <w:spacing w:after="0"/>
              <w:rPr>
                <w:sz w:val="18"/>
                <w:szCs w:val="18"/>
                <w:color w:val="auto"/>
              </w:rPr>
            </w:pPr>
          </w:p>
        </w:tc>
        <w:tc>
          <w:tcPr>
            <w:tcW w:w="240" w:type="dxa"/>
            <w:vAlign w:val="bottom"/>
            <w:tcBorders>
              <w:top w:val="single" w:sz="8" w:color="CFF2FA"/>
            </w:tcBorders>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2FA"/>
          </w:tcPr>
          <w:p>
            <w:pPr>
              <w:ind w:left="420"/>
              <w:spacing w:after="0"/>
              <w:rPr>
                <w:sz w:val="20"/>
                <w:szCs w:val="20"/>
                <w:color w:val="auto"/>
              </w:rPr>
            </w:pPr>
            <w:r>
              <w:rPr>
                <w:rFonts w:ascii="Arial" w:cs="Arial" w:eastAsia="Arial" w:hAnsi="Arial"/>
                <w:sz w:val="18"/>
                <w:szCs w:val="18"/>
                <w:color w:val="auto"/>
              </w:rPr>
              <w:t>termination fee and related merger costs</w:t>
            </w:r>
          </w:p>
        </w:tc>
        <w:tc>
          <w:tcPr>
            <w:tcW w:w="720" w:type="dxa"/>
            <w:vAlign w:val="bottom"/>
            <w:shd w:val="clear" w:color="auto" w:fill="CFF2FA"/>
          </w:tcPr>
          <w:p>
            <w:pPr>
              <w:spacing w:after="0"/>
              <w:rPr>
                <w:sz w:val="20"/>
                <w:szCs w:val="20"/>
                <w:color w:val="auto"/>
              </w:rPr>
            </w:pPr>
          </w:p>
        </w:tc>
        <w:tc>
          <w:tcPr>
            <w:tcW w:w="700" w:type="dxa"/>
            <w:vAlign w:val="bottom"/>
            <w:shd w:val="clear" w:color="auto" w:fill="CFF2FA"/>
          </w:tcPr>
          <w:p>
            <w:pPr>
              <w:spacing w:after="0"/>
              <w:rPr>
                <w:sz w:val="20"/>
                <w:szCs w:val="20"/>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84"/>
              </w:rPr>
              <w:t>264.2</w:t>
            </w:r>
          </w:p>
        </w:tc>
        <w:tc>
          <w:tcPr>
            <w:tcW w:w="220" w:type="dxa"/>
            <w:vAlign w:val="bottom"/>
            <w:shd w:val="clear" w:color="auto" w:fill="CFF2FA"/>
          </w:tcPr>
          <w:p>
            <w:pPr>
              <w:spacing w:after="0"/>
              <w:rPr>
                <w:sz w:val="20"/>
                <w:szCs w:val="20"/>
                <w:color w:val="auto"/>
              </w:rPr>
            </w:pPr>
          </w:p>
        </w:tc>
        <w:tc>
          <w:tcPr>
            <w:tcW w:w="320" w:type="dxa"/>
            <w:vAlign w:val="bottom"/>
            <w:shd w:val="clear" w:color="auto" w:fill="CFF2FA"/>
          </w:tcPr>
          <w:p>
            <w:pPr>
              <w:spacing w:after="0"/>
              <w:rPr>
                <w:sz w:val="20"/>
                <w:szCs w:val="20"/>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234.8</w:t>
            </w:r>
          </w:p>
        </w:tc>
        <w:tc>
          <w:tcPr>
            <w:tcW w:w="220" w:type="dxa"/>
            <w:vAlign w:val="bottom"/>
            <w:shd w:val="clear" w:color="auto" w:fill="CFF2FA"/>
          </w:tcPr>
          <w:p>
            <w:pPr>
              <w:spacing w:after="0"/>
              <w:rPr>
                <w:sz w:val="20"/>
                <w:szCs w:val="20"/>
                <w:color w:val="auto"/>
              </w:rPr>
            </w:pPr>
          </w:p>
        </w:tc>
        <w:tc>
          <w:tcPr>
            <w:tcW w:w="160" w:type="dxa"/>
            <w:vAlign w:val="bottom"/>
            <w:shd w:val="clear" w:color="auto" w:fill="CFF2FA"/>
          </w:tcPr>
          <w:p>
            <w:pPr>
              <w:spacing w:after="0"/>
              <w:rPr>
                <w:sz w:val="20"/>
                <w:szCs w:val="20"/>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FF2FA"/>
          </w:tcPr>
          <w:p>
            <w:pPr>
              <w:spacing w:after="0"/>
              <w:rPr>
                <w:sz w:val="20"/>
                <w:szCs w:val="20"/>
                <w:color w:val="auto"/>
              </w:rPr>
            </w:pPr>
          </w:p>
        </w:tc>
        <w:tc>
          <w:tcPr>
            <w:tcW w:w="13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Merger termination fee and related merger costs</w:t>
            </w:r>
          </w:p>
        </w:tc>
        <w:tc>
          <w:tcPr>
            <w:tcW w:w="720" w:type="dxa"/>
            <w:vAlign w:val="bottom"/>
            <w:tcBorders>
              <w:bottom w:val="single" w:sz="8" w:color="CFF2FA"/>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FF2F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FF2F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Borders>
              <w:bottom w:val="single" w:sz="8" w:color="CFF2FA"/>
            </w:tcBorders>
          </w:tcPr>
          <w:p>
            <w:pPr>
              <w:spacing w:after="0"/>
              <w:rPr>
                <w:sz w:val="19"/>
                <w:szCs w:val="19"/>
                <w:color w:val="auto"/>
              </w:rPr>
            </w:pPr>
          </w:p>
        </w:tc>
        <w:tc>
          <w:tcPr>
            <w:tcW w:w="1360" w:type="dxa"/>
            <w:vAlign w:val="bottom"/>
            <w:tcBorders>
              <w:bottom w:val="single" w:sz="8" w:color="CFF2FA"/>
            </w:tcBorders>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CFF2FA"/>
            </w:tcBorders>
            <w:shd w:val="clear" w:color="auto" w:fill="CFF2FA"/>
          </w:tcPr>
          <w:p>
            <w:pPr>
              <w:spacing w:after="0"/>
              <w:rPr>
                <w:sz w:val="19"/>
                <w:szCs w:val="19"/>
                <w:color w:val="auto"/>
              </w:rPr>
            </w:pPr>
          </w:p>
        </w:tc>
        <w:tc>
          <w:tcPr>
            <w:tcW w:w="700" w:type="dxa"/>
            <w:vAlign w:val="bottom"/>
            <w:tcBorders>
              <w:bottom w:val="single" w:sz="8" w:color="auto"/>
            </w:tcBorders>
            <w:shd w:val="clear" w:color="auto" w:fill="CFF2FA"/>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84"/>
              </w:rPr>
              <w:t>298.5</w:t>
            </w:r>
          </w:p>
        </w:tc>
        <w:tc>
          <w:tcPr>
            <w:tcW w:w="220" w:type="dxa"/>
            <w:vAlign w:val="bottom"/>
            <w:tcBorders>
              <w:bottom w:val="single" w:sz="8" w:color="CFF2FA"/>
            </w:tcBorders>
            <w:shd w:val="clear" w:color="auto" w:fill="CFF2FA"/>
          </w:tcPr>
          <w:p>
            <w:pPr>
              <w:spacing w:after="0"/>
              <w:rPr>
                <w:sz w:val="19"/>
                <w:szCs w:val="19"/>
                <w:color w:val="auto"/>
              </w:rPr>
            </w:pPr>
          </w:p>
        </w:tc>
        <w:tc>
          <w:tcPr>
            <w:tcW w:w="320" w:type="dxa"/>
            <w:vAlign w:val="bottom"/>
            <w:tcBorders>
              <w:bottom w:val="single" w:sz="8" w:color="auto"/>
            </w:tcBorders>
            <w:shd w:val="clear" w:color="auto" w:fill="CFF2FA"/>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242.3</w:t>
            </w:r>
          </w:p>
        </w:tc>
        <w:tc>
          <w:tcPr>
            <w:tcW w:w="220" w:type="dxa"/>
            <w:vAlign w:val="bottom"/>
            <w:tcBorders>
              <w:bottom w:val="single" w:sz="8" w:color="CFF2FA"/>
            </w:tcBorders>
            <w:shd w:val="clear" w:color="auto" w:fill="CFF2FA"/>
          </w:tcPr>
          <w:p>
            <w:pPr>
              <w:spacing w:after="0"/>
              <w:rPr>
                <w:sz w:val="19"/>
                <w:szCs w:val="19"/>
                <w:color w:val="auto"/>
              </w:rPr>
            </w:pPr>
          </w:p>
        </w:tc>
        <w:tc>
          <w:tcPr>
            <w:tcW w:w="160" w:type="dxa"/>
            <w:vAlign w:val="bottom"/>
            <w:tcBorders>
              <w:bottom w:val="single" w:sz="8" w:color="auto"/>
            </w:tcBorders>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FF2FA"/>
            </w:tcBorders>
            <w:shd w:val="clear" w:color="auto" w:fill="CFF2FA"/>
          </w:tcPr>
          <w:p>
            <w:pPr>
              <w:spacing w:after="0"/>
              <w:rPr>
                <w:sz w:val="19"/>
                <w:szCs w:val="19"/>
                <w:color w:val="auto"/>
              </w:rPr>
            </w:pPr>
          </w:p>
        </w:tc>
        <w:tc>
          <w:tcPr>
            <w:tcW w:w="1360" w:type="dxa"/>
            <w:vAlign w:val="bottom"/>
            <w:tcBorders>
              <w:bottom w:val="single" w:sz="8" w:color="CFF2FA"/>
            </w:tcBorders>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17068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increased $4.4 million, or 16.7%, from $26.4 million for the year ended January 1, 2015 to</w:t>
      </w:r>
    </w:p>
    <w:p>
      <w:pPr>
        <w:spacing w:after="0" w:line="46" w:lineRule="exact"/>
        <w:rPr>
          <w:sz w:val="20"/>
          <w:szCs w:val="20"/>
          <w:color w:val="auto"/>
        </w:rPr>
      </w:pPr>
    </w:p>
    <w:p>
      <w:pPr>
        <w:ind w:left="560" w:right="40"/>
        <w:spacing w:after="0" w:line="255" w:lineRule="auto"/>
        <w:rPr>
          <w:sz w:val="20"/>
          <w:szCs w:val="20"/>
          <w:color w:val="auto"/>
        </w:rPr>
      </w:pPr>
      <w:r>
        <w:rPr>
          <w:rFonts w:ascii="Arial" w:cs="Arial" w:eastAsia="Arial" w:hAnsi="Arial"/>
          <w:sz w:val="18"/>
          <w:szCs w:val="18"/>
          <w:color w:val="auto"/>
        </w:rPr>
        <w:t>$30.8 million for the year ended December 31, 2015. This increase was primarily the result of a $3.6 million increase in affiliate advertising payments which was driven by higher national and local advertising revenue and a 3.5% increase in the number of average affiliate screens for the year ended December 31, 2015, compared to the year ended January 1, 2015.</w:t>
      </w:r>
    </w:p>
    <w:p>
      <w:pPr>
        <w:spacing w:after="0" w:line="82" w:lineRule="exact"/>
        <w:rPr>
          <w:sz w:val="20"/>
          <w:szCs w:val="20"/>
          <w:color w:val="auto"/>
        </w:rPr>
      </w:pPr>
    </w:p>
    <w:p>
      <w:pPr>
        <w:ind w:left="560" w:right="100"/>
        <w:spacing w:after="0" w:line="286"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$0.5 million, or 2.7%, from $18.3 million for the year ended January 1, 2015 to $17.8 million for the year ended December 31, 2015 due primarily to a decrease of $0.5 million in personnel related expenses due primarily to lower salaries due to department realignment, partially offset by higher bonus expense due to improved performance against targets compared to 2014.</w:t>
      </w:r>
    </w:p>
    <w:p>
      <w:pPr>
        <w:spacing w:after="0" w:line="57" w:lineRule="exact"/>
        <w:rPr>
          <w:sz w:val="20"/>
          <w:szCs w:val="20"/>
          <w:color w:val="auto"/>
        </w:rPr>
      </w:pPr>
    </w:p>
    <w:p>
      <w:pPr>
        <w:ind w:left="560" w:right="60"/>
        <w:spacing w:after="0" w:line="255" w:lineRule="auto"/>
        <w:rPr>
          <w:sz w:val="20"/>
          <w:szCs w:val="20"/>
          <w:color w:val="auto"/>
        </w:rPr>
      </w:pPr>
      <w:r>
        <w:rPr>
          <w:rFonts w:ascii="Arial" w:cs="Arial" w:eastAsia="Arial" w:hAnsi="Arial"/>
          <w:sz w:val="18"/>
          <w:szCs w:val="18"/>
          <w:u w:val="single" w:color="auto"/>
          <w:color w:val="auto"/>
        </w:rPr>
        <w:t>Theater access fees—founding members.</w:t>
      </w:r>
      <w:r>
        <w:rPr>
          <w:rFonts w:ascii="Arial" w:cs="Arial" w:eastAsia="Arial" w:hAnsi="Arial"/>
          <w:sz w:val="18"/>
          <w:szCs w:val="18"/>
          <w:color w:val="auto"/>
        </w:rPr>
        <w:t xml:space="preserve"> Theater access fees increased $1.9 million, or 2.7%, from $70.6 million for the year ended January 1, 2015 to $72.5 million for the year ended December 31, 2015. The increase was due to a $2.0 million increase in the fee associated with the number of founding member digital screens that are connected to the DCN, including higher quality digital cinema projectors and related equipment. These fees increased $1.3 million related to an annual 5% rate increase specified in the ESAs and $0.7 million from an increase in the number of founding member screens equipped with the higher quality digital cinema equipment. This increase of $2.0 million was partially offset by a $0.1 million decrease in attendance related fees due to a 0.4% decrease in founding member attendance during the year ended December 31, 2015 compared to the year ended January 1, 2015.</w:t>
      </w:r>
    </w:p>
    <w:p>
      <w:pPr>
        <w:spacing w:after="0" w:line="81" w:lineRule="exact"/>
        <w:rPr>
          <w:sz w:val="20"/>
          <w:szCs w:val="20"/>
          <w:color w:val="auto"/>
        </w:rPr>
      </w:pPr>
    </w:p>
    <w:p>
      <w:pPr>
        <w:jc w:val="both"/>
        <w:ind w:left="560"/>
        <w:spacing w:after="0" w:line="297"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$14.7 million, or 25.5%, from $57.6 million for the year ended January 1, 2015 to $72.3 million for the year ended December 31, 2015. This increase was primarily due to an increase of $8.5 million in personnel related expenses due primarily to higher non-cash share-based compensation expense, higher commission expense and higher bonus expense, all primarily related to better performance against targets and higher revenue compared to 2014. Selling and marketing costs also increased due to an increase of $2.1 million in bad debt expense due to a smaller reserve in 2014 compared to 2015 and an increase of $1.2 million in non-cash barter expense.</w:t>
      </w:r>
    </w:p>
    <w:p>
      <w:pPr>
        <w:spacing w:after="0" w:line="50" w:lineRule="exact"/>
        <w:rPr>
          <w:sz w:val="20"/>
          <w:szCs w:val="20"/>
          <w:color w:val="auto"/>
        </w:rPr>
      </w:pPr>
    </w:p>
    <w:p>
      <w:pPr>
        <w:ind w:left="560" w:right="140"/>
        <w:spacing w:after="0" w:line="255"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$9.1 million, or 30.8%, from $29.5 million for the year ended January 1, 2015 to $38.6 million for the year ended December 31, 2015 due primarily to a $7.7 million increase in personnel related expenses due primarily to higher non-cash share-based compensation expense and higher bonus expense, both primarily related to better performance against targets compared to 2014, as well as, an increase in salaries and related payroll tax and benefit costs. Administrative and other costs also increased due to approximately $0.8 million in higher legal and professional expenses during the year ended December 31, 2015 compared to the year ended January 1, 2015.</w:t>
      </w:r>
    </w:p>
    <w:p>
      <w:pPr>
        <w:spacing w:after="0" w:line="85"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decreased $0.2 million, or 0.6%, from $32.4 million for the year ended January 1, 2015 to $32.2 million for the year ended December 31, 2015 due to lower depreciation expense as assets became fully depreciated, partially offset by an increase in amortization expense of intangible assets related to new affiliate agreements and the founding member common unit adjustments.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left="560"/>
        <w:spacing w:after="0" w:line="308" w:lineRule="auto"/>
        <w:rPr>
          <w:sz w:val="20"/>
          <w:szCs w:val="20"/>
          <w:color w:val="auto"/>
        </w:rPr>
      </w:pPr>
      <w:r>
        <w:rPr>
          <w:rFonts w:ascii="Arial" w:cs="Arial" w:eastAsia="Arial" w:hAnsi="Arial"/>
          <w:sz w:val="17"/>
          <w:szCs w:val="17"/>
          <w:u w:val="single" w:color="auto"/>
          <w:color w:val="auto"/>
        </w:rPr>
        <w:t>Merger termination fee and related merger costs.</w:t>
      </w:r>
      <w:r>
        <w:rPr>
          <w:rFonts w:ascii="Arial" w:cs="Arial" w:eastAsia="Arial" w:hAnsi="Arial"/>
          <w:sz w:val="17"/>
          <w:szCs w:val="17"/>
          <w:color w:val="auto"/>
        </w:rPr>
        <w:t xml:space="preserve"> Merger-related costs increased by $26.8 million from $7.5 million for the year ended January 1, 2015 to $34.4 million for the year ended December 31, 2015 due to the merger termination payment of approximately $26.8 million.</w:t>
      </w:r>
    </w:p>
    <w:p>
      <w:pPr>
        <w:spacing w:after="0" w:line="38" w:lineRule="exact"/>
        <w:rPr>
          <w:sz w:val="20"/>
          <w:szCs w:val="20"/>
          <w:color w:val="auto"/>
        </w:rPr>
      </w:pPr>
    </w:p>
    <w:p>
      <w:pPr>
        <w:jc w:val="both"/>
        <w:ind w:right="300" w:firstLine="555"/>
        <w:spacing w:after="0" w:line="264"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decreased $9.7 million, or 12.7%, from $76.2 million for the year ended January 1,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$66.5 million for the year ended December 31, 2015. The following table shows the changes in non-operating expense for the years ended December 31, 2015 and January 1, 2015 (in millions):</w:t>
      </w:r>
    </w:p>
    <w:p>
      <w:pPr>
        <w:spacing w:after="0" w:line="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Fiscal Year</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1"/>
              </w:rPr>
              <w:t>$ Change</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600" w:type="dxa"/>
            <w:vAlign w:val="bottom"/>
            <w:vMerge w:val="restart"/>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1"/>
              </w:rPr>
              <w:t>2014 to</w:t>
            </w:r>
          </w:p>
        </w:tc>
        <w:tc>
          <w:tcPr>
            <w:tcW w:w="2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2014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60" w:type="dxa"/>
            <w:vAlign w:val="bottom"/>
            <w:tcBorders>
              <w:bottom w:val="single" w:sz="8" w:color="CFF2FA"/>
            </w:tcBorders>
          </w:tcPr>
          <w:p>
            <w:pPr>
              <w:spacing w:after="0"/>
              <w:rPr>
                <w:sz w:val="14"/>
                <w:szCs w:val="14"/>
                <w:color w:val="auto"/>
              </w:rPr>
            </w:pPr>
          </w:p>
        </w:tc>
        <w:tc>
          <w:tcPr>
            <w:tcW w:w="600" w:type="dxa"/>
            <w:vAlign w:val="bottom"/>
            <w:tcBorders>
              <w:bottom w:val="single" w:sz="8" w:color="CFF2FA"/>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CFF2FA"/>
            </w:tcBorders>
          </w:tcPr>
          <w:p>
            <w:pPr>
              <w:spacing w:after="0"/>
              <w:rPr>
                <w:sz w:val="14"/>
                <w:szCs w:val="14"/>
                <w:color w:val="auto"/>
              </w:rPr>
            </w:pPr>
          </w:p>
        </w:tc>
        <w:tc>
          <w:tcPr>
            <w:tcW w:w="80" w:type="dxa"/>
            <w:vAlign w:val="bottom"/>
            <w:tcBorders>
              <w:bottom w:val="single" w:sz="8" w:color="CFF2FA"/>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2FA"/>
            </w:tcBorders>
          </w:tcPr>
          <w:p>
            <w:pPr>
              <w:spacing w:after="0"/>
              <w:rPr>
                <w:sz w:val="14"/>
                <w:szCs w:val="14"/>
                <w:color w:val="auto"/>
              </w:rPr>
            </w:pPr>
          </w:p>
        </w:tc>
        <w:tc>
          <w:tcPr>
            <w:tcW w:w="120" w:type="dxa"/>
            <w:vAlign w:val="bottom"/>
            <w:tcBorders>
              <w:bottom w:val="single" w:sz="8" w:color="CFF2FA"/>
            </w:tcBorders>
          </w:tcPr>
          <w:p>
            <w:pPr>
              <w:spacing w:after="0"/>
              <w:rPr>
                <w:sz w:val="14"/>
                <w:szCs w:val="14"/>
                <w:color w:val="auto"/>
              </w:rPr>
            </w:pPr>
          </w:p>
        </w:tc>
        <w:tc>
          <w:tcPr>
            <w:tcW w:w="20" w:type="dxa"/>
            <w:vAlign w:val="bottom"/>
            <w:tcBorders>
              <w:bottom w:val="single" w:sz="8" w:color="CFF2FA"/>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FF2FA"/>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2FA"/>
          </w:tcPr>
          <w:p>
            <w:pPr>
              <w:spacing w:after="0"/>
              <w:rPr>
                <w:sz w:val="20"/>
                <w:szCs w:val="20"/>
                <w:color w:val="auto"/>
              </w:rPr>
            </w:pPr>
            <w:r>
              <w:rPr>
                <w:rFonts w:ascii="Arial" w:cs="Arial" w:eastAsia="Arial" w:hAnsi="Arial"/>
                <w:sz w:val="18"/>
                <w:szCs w:val="18"/>
                <w:color w:val="auto"/>
              </w:rPr>
              <w:t>Interest on borrowings</w:t>
            </w:r>
          </w:p>
        </w:tc>
        <w:tc>
          <w:tcPr>
            <w:tcW w:w="600" w:type="dxa"/>
            <w:vAlign w:val="bottom"/>
            <w:shd w:val="clear" w:color="auto" w:fill="CFF2FA"/>
          </w:tcPr>
          <w:p>
            <w:pPr>
              <w:spacing w:after="0"/>
              <w:rPr>
                <w:sz w:val="19"/>
                <w:szCs w:val="19"/>
                <w:color w:val="auto"/>
              </w:rPr>
            </w:pPr>
          </w:p>
        </w:tc>
        <w:tc>
          <w:tcPr>
            <w:tcW w:w="720" w:type="dxa"/>
            <w:vAlign w:val="bottom"/>
            <w:shd w:val="clear" w:color="auto" w:fill="CFF2FA"/>
          </w:tcPr>
          <w:p>
            <w:pPr>
              <w:jc w:val="right"/>
              <w:ind w:right="56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w w:val="96"/>
              </w:rPr>
              <w:t>52.2</w:t>
            </w:r>
          </w:p>
        </w:tc>
        <w:tc>
          <w:tcPr>
            <w:tcW w:w="14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320" w:type="dxa"/>
            <w:vAlign w:val="bottom"/>
            <w:shd w:val="clear" w:color="auto" w:fill="CFF2FA"/>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60" w:type="dxa"/>
            <w:vAlign w:val="bottom"/>
            <w:shd w:val="clear" w:color="auto" w:fill="CFF2FA"/>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(0.4)</w:t>
            </w:r>
          </w:p>
        </w:tc>
        <w:tc>
          <w:tcPr>
            <w:tcW w:w="134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5"/>
        </w:trPr>
        <w:tc>
          <w:tcPr>
            <w:tcW w:w="4360" w:type="dxa"/>
            <w:vAlign w:val="bottom"/>
            <w:shd w:val="clear" w:color="auto" w:fill="CFF2FA"/>
          </w:tcPr>
          <w:p>
            <w:pPr>
              <w:spacing w:after="0"/>
              <w:rPr>
                <w:sz w:val="20"/>
                <w:szCs w:val="20"/>
                <w:color w:val="auto"/>
              </w:rPr>
            </w:pPr>
            <w:r>
              <w:rPr>
                <w:rFonts w:ascii="Arial" w:cs="Arial" w:eastAsia="Arial" w:hAnsi="Arial"/>
                <w:sz w:val="18"/>
                <w:szCs w:val="18"/>
                <w:color w:val="auto"/>
              </w:rPr>
              <w:t>Accretion of interest on the discounted payable to</w:t>
            </w:r>
          </w:p>
        </w:tc>
        <w:tc>
          <w:tcPr>
            <w:tcW w:w="600" w:type="dxa"/>
            <w:vAlign w:val="bottom"/>
            <w:shd w:val="clear" w:color="auto" w:fill="CFF2FA"/>
          </w:tcPr>
          <w:p>
            <w:pPr>
              <w:spacing w:after="0"/>
              <w:rPr>
                <w:sz w:val="18"/>
                <w:szCs w:val="18"/>
                <w:color w:val="auto"/>
              </w:rPr>
            </w:pPr>
          </w:p>
        </w:tc>
        <w:tc>
          <w:tcPr>
            <w:tcW w:w="72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80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94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10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2FA"/>
          </w:tcPr>
          <w:p>
            <w:pPr>
              <w:ind w:left="140"/>
              <w:spacing w:after="0"/>
              <w:rPr>
                <w:sz w:val="20"/>
                <w:szCs w:val="20"/>
                <w:color w:val="auto"/>
              </w:rPr>
            </w:pPr>
            <w:r>
              <w:rPr>
                <w:rFonts w:ascii="Arial" w:cs="Arial" w:eastAsia="Arial" w:hAnsi="Arial"/>
                <w:sz w:val="18"/>
                <w:szCs w:val="18"/>
                <w:color w:val="auto"/>
              </w:rPr>
              <w:t>founding members under tax receivable agreement</w:t>
            </w:r>
          </w:p>
        </w:tc>
        <w:tc>
          <w:tcPr>
            <w:tcW w:w="600" w:type="dxa"/>
            <w:vAlign w:val="bottom"/>
            <w:shd w:val="clear" w:color="auto" w:fill="CFF2FA"/>
          </w:tcPr>
          <w:p>
            <w:pPr>
              <w:spacing w:after="0"/>
              <w:rPr>
                <w:sz w:val="20"/>
                <w:szCs w:val="20"/>
                <w:color w:val="auto"/>
              </w:rPr>
            </w:pPr>
          </w:p>
        </w:tc>
        <w:tc>
          <w:tcPr>
            <w:tcW w:w="720" w:type="dxa"/>
            <w:vAlign w:val="bottom"/>
            <w:shd w:val="clear" w:color="auto" w:fill="CFF2FA"/>
          </w:tcPr>
          <w:p>
            <w:pPr>
              <w:spacing w:after="0"/>
              <w:rPr>
                <w:sz w:val="20"/>
                <w:szCs w:val="20"/>
                <w:color w:val="auto"/>
              </w:rPr>
            </w:pP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w w:val="96"/>
              </w:rPr>
              <w:t>14.1</w:t>
            </w:r>
          </w:p>
        </w:tc>
        <w:tc>
          <w:tcPr>
            <w:tcW w:w="140" w:type="dxa"/>
            <w:vAlign w:val="bottom"/>
            <w:shd w:val="clear" w:color="auto" w:fill="CFF2FA"/>
          </w:tcPr>
          <w:p>
            <w:pPr>
              <w:spacing w:after="0"/>
              <w:rPr>
                <w:sz w:val="20"/>
                <w:szCs w:val="20"/>
                <w:color w:val="auto"/>
              </w:rPr>
            </w:pPr>
          </w:p>
        </w:tc>
        <w:tc>
          <w:tcPr>
            <w:tcW w:w="80" w:type="dxa"/>
            <w:vAlign w:val="bottom"/>
            <w:shd w:val="clear" w:color="auto" w:fill="CFF2FA"/>
          </w:tcPr>
          <w:p>
            <w:pPr>
              <w:spacing w:after="0"/>
              <w:rPr>
                <w:sz w:val="20"/>
                <w:szCs w:val="20"/>
                <w:color w:val="auto"/>
              </w:rPr>
            </w:pPr>
          </w:p>
        </w:tc>
        <w:tc>
          <w:tcPr>
            <w:tcW w:w="320" w:type="dxa"/>
            <w:vAlign w:val="bottom"/>
            <w:shd w:val="clear" w:color="auto" w:fill="CFF2FA"/>
          </w:tcPr>
          <w:p>
            <w:pPr>
              <w:spacing w:after="0"/>
              <w:rPr>
                <w:sz w:val="20"/>
                <w:szCs w:val="20"/>
                <w:color w:val="auto"/>
              </w:rPr>
            </w:pPr>
          </w:p>
        </w:tc>
        <w:tc>
          <w:tcPr>
            <w:tcW w:w="8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160" w:type="dxa"/>
            <w:vAlign w:val="bottom"/>
            <w:shd w:val="clear" w:color="auto" w:fill="CFF2FA"/>
          </w:tcPr>
          <w:p>
            <w:pPr>
              <w:spacing w:after="0"/>
              <w:rPr>
                <w:sz w:val="20"/>
                <w:szCs w:val="20"/>
                <w:color w:val="auto"/>
              </w:rPr>
            </w:pPr>
          </w:p>
        </w:tc>
        <w:tc>
          <w:tcPr>
            <w:tcW w:w="114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(0.5)</w:t>
            </w:r>
          </w:p>
        </w:tc>
        <w:tc>
          <w:tcPr>
            <w:tcW w:w="134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Amortization of terminated derivatives</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30"/>
        </w:trPr>
        <w:tc>
          <w:tcPr>
            <w:tcW w:w="4360" w:type="dxa"/>
            <w:vAlign w:val="bottom"/>
            <w:shd w:val="clear" w:color="auto" w:fill="CFF2FA"/>
          </w:tcPr>
          <w:p>
            <w:pPr>
              <w:spacing w:after="0"/>
              <w:rPr>
                <w:sz w:val="20"/>
                <w:szCs w:val="20"/>
                <w:color w:val="auto"/>
              </w:rPr>
            </w:pPr>
            <w:r>
              <w:rPr>
                <w:rFonts w:ascii="Arial" w:cs="Arial" w:eastAsia="Arial" w:hAnsi="Arial"/>
                <w:sz w:val="18"/>
                <w:szCs w:val="18"/>
                <w:color w:val="auto"/>
              </w:rPr>
              <w:t>Other non-operating expense</w:t>
            </w:r>
          </w:p>
        </w:tc>
        <w:tc>
          <w:tcPr>
            <w:tcW w:w="600" w:type="dxa"/>
            <w:vAlign w:val="bottom"/>
            <w:shd w:val="clear" w:color="auto" w:fill="CFF2FA"/>
          </w:tcPr>
          <w:p>
            <w:pPr>
              <w:spacing w:after="0"/>
              <w:rPr>
                <w:sz w:val="19"/>
                <w:szCs w:val="19"/>
                <w:color w:val="auto"/>
              </w:rPr>
            </w:pPr>
          </w:p>
        </w:tc>
        <w:tc>
          <w:tcPr>
            <w:tcW w:w="720" w:type="dxa"/>
            <w:vAlign w:val="bottom"/>
            <w:shd w:val="clear" w:color="auto" w:fill="CFF2FA"/>
          </w:tcPr>
          <w:p>
            <w:pPr>
              <w:spacing w:after="0"/>
              <w:rPr>
                <w:sz w:val="19"/>
                <w:szCs w:val="19"/>
                <w:color w:val="auto"/>
              </w:rPr>
            </w:pP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8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(0.6)</w:t>
            </w:r>
          </w:p>
        </w:tc>
        <w:tc>
          <w:tcPr>
            <w:tcW w:w="134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240"/>
              <w:spacing w:after="0"/>
              <w:rPr>
                <w:sz w:val="20"/>
                <w:szCs w:val="20"/>
                <w:color w:val="auto"/>
              </w:rPr>
            </w:pPr>
            <w:r>
              <w:rPr>
                <w:rFonts w:ascii="Arial" w:cs="Arial" w:eastAsia="Arial" w:hAnsi="Arial"/>
                <w:sz w:val="18"/>
                <w:szCs w:val="18"/>
                <w:color w:val="auto"/>
              </w:rPr>
              <w:t>Total non-operating expenses</w:t>
            </w:r>
          </w:p>
        </w:tc>
        <w:tc>
          <w:tcPr>
            <w:tcW w:w="6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66.5</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decrease in non-operating expense was due primarily to an $8.4 million decrease in the amortization of terminated derivatives as the amortization period ended in February 2015, a decrease of $0.6 million in other non-operating expense and a decrease of $0.5 million in accretion of interest expense under the tax receivable agreement due primarily to changes in tax rates and NCM LLC ownership rates period over period.</w:t>
      </w:r>
    </w:p>
    <w:p>
      <w:pPr>
        <w:spacing w:after="0" w:line="57"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$2.0 million from $13.4 million for the year ended January 1, 2015 to $15.4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2015. The increase in net income was primarily due to a decrease of $9.7 million in non-operating expense, as described above and a $3.9 million decrease in income attributable to noncontrolling interests, partially offset by a decrease in operating income of $3.7 million, as described further above, and an increase in income tax expense of $7.9 million due primarily to a $4.9 million tax reserve for uncertain tax positions and higher net income before taxes in the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121" w:lineRule="exact"/>
        <w:rPr>
          <w:sz w:val="20"/>
          <w:szCs w:val="20"/>
          <w:color w:val="auto"/>
        </w:rPr>
      </w:pPr>
    </w:p>
    <w:p>
      <w:pPr>
        <w:ind w:right="40" w:firstLine="555"/>
        <w:spacing w:after="0" w:line="268" w:lineRule="auto"/>
        <w:rPr>
          <w:sz w:val="20"/>
          <w:szCs w:val="20"/>
          <w:color w:val="auto"/>
        </w:rPr>
      </w:pPr>
      <w:r>
        <w:rPr>
          <w:rFonts w:ascii="Arial" w:cs="Arial" w:eastAsia="Arial" w:hAnsi="Arial"/>
          <w:sz w:val="17"/>
          <w:szCs w:val="17"/>
          <w:color w:val="auto"/>
        </w:rPr>
        <w:t xml:space="preserve">Changes in the current macro-economic environment and changes in the national, regional and local advertising markets, present uncertainties that could impact our results of operations, including the timing and amount of spending from our advertising clients. These changes include increased competition related to the expansion of online and mobile advertising platforms. Further, we could negatively be impacted by factors that could reduce the viewership of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such as the expansion of reserve seating, an increase in the number and length of trailers for upcoming films and lower network attendance, which could result from shortening of release windows, more alternative methods of delivering movies to consumers, lower consumer confidence and disposable income and a decline in the motion picture box office. The impact to our business associated with these issues could be mitigated over time due to factors including the increase in salable advertising impressions, better geographic coverage related to the expansion of our network, diversification and growth of our advertising client base, improvements in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engagement ad upgrades to our inventory management and data management systems. We could also benefit if the effectiveness of cinema advertising improves relative to other advertising mediums. We continue to participate in the Upfronts and believe that over time, a shift toward more upfront commitments, would allow us to bundle several client flights throughout the year in an effort to stabilize month-to-month and quarter-to-quarter volatility. Consistent with the television industry upfront booking practices, a portion of our upfront commitments have cancellation options or options to reduce the amount that advertisers may purchase and we would need to rely on the scatter market to replace those commitments.</w:t>
      </w:r>
    </w:p>
    <w:p>
      <w:pPr>
        <w:spacing w:after="0" w:line="8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The net screens added to our network by the founding members and network affiliates during the year ended December 29, 2016 were as follows.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tbl>
      <w:tblPr>
        <w:tblLayout w:type="fixed"/>
        <w:tblInd w:w="17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Number of screens</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820" w:type="dxa"/>
            <w:vAlign w:val="bottom"/>
          </w:tcPr>
          <w:p>
            <w:pPr>
              <w:jc w:val="right"/>
              <w:ind w:right="40"/>
              <w:spacing w:after="0" w:line="133" w:lineRule="exact"/>
              <w:rPr>
                <w:sz w:val="20"/>
                <w:szCs w:val="20"/>
                <w:color w:val="auto"/>
              </w:rPr>
            </w:pPr>
            <w:r>
              <w:rPr>
                <w:rFonts w:ascii="Arial" w:cs="Arial" w:eastAsia="Arial" w:hAnsi="Arial"/>
                <w:sz w:val="14"/>
                <w:szCs w:val="14"/>
                <w:b w:val="1"/>
                <w:bCs w:val="1"/>
                <w:color w:val="auto"/>
              </w:rPr>
              <w:t>Founding</w:t>
            </w:r>
          </w:p>
        </w:tc>
        <w:tc>
          <w:tcPr>
            <w:tcW w:w="240" w:type="dxa"/>
            <w:vAlign w:val="bottom"/>
          </w:tcPr>
          <w:p>
            <w:pPr>
              <w:spacing w:after="0"/>
              <w:rPr>
                <w:sz w:val="11"/>
                <w:szCs w:val="11"/>
                <w:color w:val="auto"/>
              </w:rPr>
            </w:pPr>
          </w:p>
        </w:tc>
        <w:tc>
          <w:tcPr>
            <w:tcW w:w="10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7"/>
              </w:rPr>
              <w:t>Network</w:t>
            </w:r>
          </w:p>
        </w:tc>
        <w:tc>
          <w:tcPr>
            <w:tcW w:w="8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40" w:type="dxa"/>
            <w:vAlign w:val="bottom"/>
            <w:tcBorders>
              <w:bottom w:val="single" w:sz="8" w:color="CFF2FA"/>
            </w:tcBorders>
          </w:tcPr>
          <w:p>
            <w:pPr>
              <w:spacing w:after="0"/>
              <w:rPr>
                <w:sz w:val="14"/>
                <w:szCs w:val="14"/>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Members</w:t>
            </w:r>
          </w:p>
        </w:tc>
        <w:tc>
          <w:tcPr>
            <w:tcW w:w="240" w:type="dxa"/>
            <w:vAlign w:val="bottom"/>
            <w:tcBorders>
              <w:bottom w:val="single" w:sz="8" w:color="CFF2FA"/>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Affiliates</w:t>
            </w:r>
          </w:p>
        </w:tc>
        <w:tc>
          <w:tcPr>
            <w:tcW w:w="220" w:type="dxa"/>
            <w:vAlign w:val="bottom"/>
            <w:tcBorders>
              <w:bottom w:val="single" w:sz="8" w:color="CFF2FA"/>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2FA"/>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2FA"/>
          </w:tcPr>
          <w:p>
            <w:pPr>
              <w:spacing w:after="0"/>
              <w:rPr>
                <w:sz w:val="20"/>
                <w:szCs w:val="20"/>
                <w:color w:val="auto"/>
              </w:rPr>
            </w:pPr>
            <w:r>
              <w:rPr>
                <w:rFonts w:ascii="Arial" w:cs="Arial" w:eastAsia="Arial" w:hAnsi="Arial"/>
                <w:sz w:val="16"/>
                <w:szCs w:val="16"/>
                <w:color w:val="auto"/>
              </w:rPr>
              <w:t>Balance as of December 31, 2015</w:t>
            </w:r>
          </w:p>
        </w:tc>
        <w:tc>
          <w:tcPr>
            <w:tcW w:w="820" w:type="dxa"/>
            <w:vAlign w:val="bottom"/>
            <w:shd w:val="clear" w:color="auto" w:fill="CFF2FA"/>
          </w:tcPr>
          <w:p>
            <w:pPr>
              <w:jc w:val="right"/>
              <w:spacing w:after="0"/>
              <w:rPr>
                <w:sz w:val="20"/>
                <w:szCs w:val="20"/>
                <w:color w:val="auto"/>
              </w:rPr>
            </w:pPr>
            <w:r>
              <w:rPr>
                <w:rFonts w:ascii="Arial" w:cs="Arial" w:eastAsia="Arial" w:hAnsi="Arial"/>
                <w:sz w:val="16"/>
                <w:szCs w:val="16"/>
                <w:color w:val="auto"/>
              </w:rPr>
              <w:t>16,981</w:t>
            </w:r>
          </w:p>
        </w:tc>
        <w:tc>
          <w:tcPr>
            <w:tcW w:w="1080" w:type="dxa"/>
            <w:vAlign w:val="bottom"/>
            <w:gridSpan w:val="2"/>
            <w:shd w:val="clear" w:color="auto" w:fill="CFF2FA"/>
          </w:tcPr>
          <w:p>
            <w:pPr>
              <w:jc w:val="right"/>
              <w:spacing w:after="0"/>
              <w:rPr>
                <w:sz w:val="20"/>
                <w:szCs w:val="20"/>
                <w:color w:val="auto"/>
              </w:rPr>
            </w:pPr>
            <w:r>
              <w:rPr>
                <w:rFonts w:ascii="Arial" w:cs="Arial" w:eastAsia="Arial" w:hAnsi="Arial"/>
                <w:sz w:val="16"/>
                <w:szCs w:val="16"/>
                <w:color w:val="auto"/>
              </w:rPr>
              <w:t>3,380</w:t>
            </w:r>
          </w:p>
        </w:tc>
        <w:tc>
          <w:tcPr>
            <w:tcW w:w="220" w:type="dxa"/>
            <w:vAlign w:val="bottom"/>
            <w:shd w:val="clear" w:color="auto" w:fill="CFF2FA"/>
          </w:tcPr>
          <w:p>
            <w:pPr>
              <w:spacing w:after="0"/>
              <w:rPr>
                <w:sz w:val="18"/>
                <w:szCs w:val="18"/>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6"/>
                <w:szCs w:val="16"/>
                <w:color w:val="auto"/>
              </w:rPr>
              <w:t>20,361</w:t>
            </w:r>
          </w:p>
        </w:tc>
        <w:tc>
          <w:tcPr>
            <w:tcW w:w="8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40"/>
              <w:spacing w:after="0"/>
              <w:rPr>
                <w:sz w:val="20"/>
                <w:szCs w:val="20"/>
                <w:color w:val="auto"/>
              </w:rPr>
            </w:pPr>
            <w:r>
              <w:rPr>
                <w:rFonts w:ascii="Arial" w:cs="Arial" w:eastAsia="Arial" w:hAnsi="Arial"/>
                <w:sz w:val="16"/>
                <w:szCs w:val="16"/>
                <w:color w:val="auto"/>
              </w:rPr>
              <w:t xml:space="preserve">New affiliates </w:t>
            </w:r>
            <w:r>
              <w:rPr>
                <w:rFonts w:ascii="Arial" w:cs="Arial" w:eastAsia="Arial" w:hAnsi="Arial"/>
                <w:sz w:val="16"/>
                <w:szCs w:val="16"/>
                <w:i w:val="1"/>
                <w:iCs w:val="1"/>
                <w:color w:val="auto"/>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2FA"/>
          </w:tcPr>
          <w:p>
            <w:pPr>
              <w:ind w:left="240"/>
              <w:spacing w:after="0"/>
              <w:rPr>
                <w:sz w:val="20"/>
                <w:szCs w:val="20"/>
                <w:color w:val="auto"/>
              </w:rPr>
            </w:pPr>
            <w:r>
              <w:rPr>
                <w:rFonts w:ascii="Arial" w:cs="Arial" w:eastAsia="Arial" w:hAnsi="Arial"/>
                <w:sz w:val="16"/>
                <w:szCs w:val="16"/>
                <w:color w:val="auto"/>
              </w:rPr>
              <w:t>Openings, net of closures</w:t>
            </w:r>
          </w:p>
        </w:tc>
        <w:tc>
          <w:tcPr>
            <w:tcW w:w="8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6"/>
                <w:szCs w:val="16"/>
                <w:color w:val="auto"/>
              </w:rPr>
              <w:t>41</w:t>
            </w:r>
          </w:p>
        </w:tc>
        <w:tc>
          <w:tcPr>
            <w:tcW w:w="240" w:type="dxa"/>
            <w:vAlign w:val="bottom"/>
            <w:shd w:val="clear" w:color="auto" w:fill="CFF2FA"/>
          </w:tcPr>
          <w:p>
            <w:pPr>
              <w:spacing w:after="0"/>
              <w:rPr>
                <w:sz w:val="18"/>
                <w:szCs w:val="18"/>
                <w:color w:val="auto"/>
              </w:rPr>
            </w:pPr>
          </w:p>
        </w:tc>
        <w:tc>
          <w:tcPr>
            <w:tcW w:w="8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6"/>
                <w:szCs w:val="16"/>
                <w:color w:val="auto"/>
              </w:rPr>
              <w:t>108</w:t>
            </w:r>
          </w:p>
        </w:tc>
        <w:tc>
          <w:tcPr>
            <w:tcW w:w="220" w:type="dxa"/>
            <w:vAlign w:val="bottom"/>
            <w:shd w:val="clear" w:color="auto" w:fill="CFF2FA"/>
          </w:tcPr>
          <w:p>
            <w:pPr>
              <w:spacing w:after="0"/>
              <w:rPr>
                <w:sz w:val="18"/>
                <w:szCs w:val="18"/>
                <w:color w:val="auto"/>
              </w:rPr>
            </w:pPr>
          </w:p>
        </w:tc>
        <w:tc>
          <w:tcPr>
            <w:tcW w:w="8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Pr>
          <w:p>
            <w:pPr>
              <w:spacing w:after="0"/>
              <w:rPr>
                <w:sz w:val="20"/>
                <w:szCs w:val="20"/>
                <w:color w:val="auto"/>
              </w:rPr>
            </w:pPr>
            <w:r>
              <w:rPr>
                <w:rFonts w:ascii="Arial" w:cs="Arial" w:eastAsia="Arial" w:hAnsi="Arial"/>
                <w:sz w:val="16"/>
                <w:szCs w:val="16"/>
                <w:color w:val="auto"/>
              </w:rPr>
              <w:t>Balance as of December 29, 2016</w:t>
            </w:r>
          </w:p>
        </w:tc>
        <w:tc>
          <w:tcPr>
            <w:tcW w:w="820" w:type="dxa"/>
            <w:vAlign w:val="bottom"/>
          </w:tcPr>
          <w:p>
            <w:pPr>
              <w:jc w:val="right"/>
              <w:spacing w:after="0"/>
              <w:rPr>
                <w:sz w:val="20"/>
                <w:szCs w:val="20"/>
                <w:color w:val="auto"/>
              </w:rPr>
            </w:pPr>
            <w:r>
              <w:rPr>
                <w:rFonts w:ascii="Arial" w:cs="Arial" w:eastAsia="Arial" w:hAnsi="Arial"/>
                <w:sz w:val="16"/>
                <w:szCs w:val="16"/>
                <w:color w:val="auto"/>
              </w:rPr>
              <w:t>17,022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3,526</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040" w:right="340" w:hanging="411"/>
        <w:spacing w:after="0" w:line="342" w:lineRule="auto"/>
        <w:tabs>
          <w:tab w:leader="none" w:pos="2040" w:val="left"/>
        </w:tabs>
        <w:numPr>
          <w:ilvl w:val="0"/>
          <w:numId w:val="24"/>
        </w:numPr>
        <w:rPr>
          <w:rFonts w:ascii="Arial" w:cs="Arial" w:eastAsia="Arial" w:hAnsi="Arial"/>
          <w:sz w:val="16"/>
          <w:szCs w:val="16"/>
          <w:i w:val="1"/>
          <w:iCs w:val="1"/>
          <w:color w:val="auto"/>
        </w:rPr>
      </w:pPr>
      <w:r>
        <w:rPr>
          <w:rFonts w:ascii="Arial" w:cs="Arial" w:eastAsia="Arial" w:hAnsi="Arial"/>
          <w:sz w:val="16"/>
          <w:szCs w:val="16"/>
          <w:color w:val="auto"/>
        </w:rPr>
        <w:t>During the year ended December 29, 2016, we added three net new affiliates with 232 screens, partially offset by the loss of a theater circuit that was acquired by a circuit not in our network, resulting in 194 screens being removed from 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-332105</wp:posOffset>
            </wp:positionV>
            <wp:extent cx="10293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ind w:right="100" w:firstLine="555"/>
        <w:spacing w:after="0" w:line="255" w:lineRule="auto"/>
        <w:rPr>
          <w:sz w:val="20"/>
          <w:szCs w:val="20"/>
          <w:color w:val="auto"/>
        </w:rPr>
      </w:pPr>
      <w:r>
        <w:rPr>
          <w:rFonts w:ascii="Arial" w:cs="Arial" w:eastAsia="Arial" w:hAnsi="Arial"/>
          <w:sz w:val="18"/>
          <w:szCs w:val="18"/>
          <w:color w:val="auto"/>
        </w:rPr>
        <w:t>We believe that adding screens and attendees to our network will provide our advertising clients with a better marketing product with increased reach and improved geographic coverage. We have begun to offer our advertising clients better audience targeting capabilities and more robust campaign data analytics that are expected to assist with our strategy to provide a better product offering to advertisers and thus expand our overall national client base. We also believe that the continued growth of our market coverage ubiquity and overall number of impressions will strengthen our selling proposition and competitive positioning against other national, regional and local video advertising platforms, including television, online and mobile video platforms and other out of home video advertising platforms.</w:t>
      </w:r>
    </w:p>
    <w:p>
      <w:pPr>
        <w:spacing w:after="0" w:line="85"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2014, we experienced a decline of 16.4%, in national advertising CPMs (excluding beverage revenue) compared to the prior year due primarily to the increased competition from other national video networks, including online and mobile advertising platforms, television networks and other out-of-home video networks and the implementation of more aggressive seasonal and volume pricing strategies that contributed to the expansion of our inventory utilization related to the addition of new client categories that traditionally buy their television advertising at lower CPMs. After adjusting our pricing through 2014 to be more attractive to a broader number of potential clients, to compete more effectively with various forms of premium video advertising and reflect seasonal marketplace supply and demand characteristics, during 2015 and 2016, we experienced an increase of 6.7% and 9.6%, respectively, in national advertising CPMs (excluding beverage revenue). We experience even more substantial volatility quarter-to-quarter. This volatility in utilization can be driven by the loss or addition of one or more significant national contracts, whereby the timing and amount of these national contracts can be based upon the advertising budgets of our customers, product launches, the financial performance of our customers or other industry or macro-economic factors. We expect our CPMs and utilization to continue to be impacted period to period based upon the factors described above.</w:t>
      </w:r>
    </w:p>
    <w:p>
      <w:pPr>
        <w:spacing w:after="0" w:line="70" w:lineRule="exact"/>
        <w:rPr>
          <w:sz w:val="20"/>
          <w:szCs w:val="20"/>
          <w:color w:val="auto"/>
        </w:rPr>
      </w:pPr>
    </w:p>
    <w:p>
      <w:pPr>
        <w:ind w:right="80" w:firstLine="555"/>
        <w:spacing w:after="0" w:line="270" w:lineRule="auto"/>
        <w:rPr>
          <w:sz w:val="20"/>
          <w:szCs w:val="20"/>
          <w:color w:val="auto"/>
        </w:rPr>
      </w:pPr>
      <w:r>
        <w:rPr>
          <w:rFonts w:ascii="Arial" w:cs="Arial" w:eastAsia="Arial" w:hAnsi="Arial"/>
          <w:sz w:val="17"/>
          <w:szCs w:val="17"/>
          <w:color w:val="auto"/>
        </w:rPr>
        <w:t xml:space="preserve">Under the ESAs, up to 90 seconds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program can be sold to NCM LLC’s founding members to satisfy their on-screen advertising commitments under their beverage concessionaire agreements. During the first six months of 2015, we sold 60 seconds to NCM LLC’s founding members. Beginning July 1, 2015, one of our founding members reduced their beverage advertising from 60 seconds to 30 seconds. We have the right to sell the 30 second unit to other clients. The other founding members’ current long-term contracts with their beverage suppliers require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to unaffiliated third parties during segment one (closest to show time)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limited to the highest advertising CPM being then-charged by NCM LLC, which in 2016 increased 10.2%. Thus, the CPM on our beverage concessionaire revenue in 2017 will increase by 10.2%, compared to 2016.</w:t>
      </w:r>
    </w:p>
    <w:p>
      <w:pPr>
        <w:spacing w:after="0" w:line="74"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In consideration for NCM LLC’s access to NCM LLC’s founding members’ theater attendees for on-screen advertising and use of lobbies and other space within NCM LLC’s founding members’ theaters for the LEN and lobby promotions, NCM LLC’s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taking effect for fiscal year 2017, and the payment per digital screen increases annually by 5%. The theater access fee paid in the aggregate to all founding members cannot be less than 12% of NCM LLC’s aggregate advertising revenue (as defined in the ESA), or it will be adjusted upward to reach this minimum payment. Pursuant to ESAs, the theater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December 29, 2016, 90% of our founding member network screens were showing advertising on digital cinema projectors.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121"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During the past several years, we amended our senior secured credit facility to extend the maturity, expand the revolver availability and reduce the interest rate spreads. In August 2016, we completed a private placement of $250.0 million in aggregate principal amount of 5.750% Senior Unsecured Notes due in 2026. A portion of the proceeds were used to redeem our $200.0 million 7.875% Senior Unsecured Notes due 2021. The remaining proceeds, after the payment of fees and the redemption premium were used to pay down the balance on our revolving credit facility. As a result of these financing transactions on our revolving credit facility and senior notes, we extended the average maturities of our debt and as of December 29, 2016, the average remaining maturity of our debt is 5.7 years. As of December 29, 2016, approximately 70% of our outstanding borrowings bear interest at fixed rates. The remaining 30% of our outstanding borrowings bear interest at variable rates and as such, our net income and earnings per share could fluctuate with interest rate fluctuations related to our borrowings. Refer to Note 9 to the audited Consolidated Financial Statements included elsewhere in this document.</w:t>
      </w:r>
    </w:p>
    <w:p>
      <w:pPr>
        <w:spacing w:after="0" w:line="58"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At times our cash flow available for the payment of dividends (NCM LLC’s Adjusted OIBDA, less capital expenditures, interest expense, distributions to NCM LLC’s founding members, income taxes, tax receivable agreement payments to NCM LLC’s founding members and plus certain cash items) has been less than our regular dividend payment. Any deficit has been funded by NCM, Inc.’s cash and marketable securities balances. As of December 29, 2016, these cash and marketable securities balances totaled $58.0 million (excluding NCM LLC). We intend to pay a regular quarterly dividend for the foreseeable future at the discretion of the Board of Directors consistent with our intention to distribute over time a substantial portion of our free cash flow.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w:t>
      </w:r>
    </w:p>
    <w:p>
      <w:pPr>
        <w:spacing w:after="0" w:line="71"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Our effective tax rate for the years ended December 29, 2016, December 31, 2015 and January 1, 2015 was 26.6%, 53.6% and 43.3%, respectively. Our tax rate is affected by recurring items and the relative amount of income that NCM, Inc. earns in various state and local jurisdictions. Our tax rate is also impacted by discrete items that may occur in any year. The decrease in the tax rate for the year ended December 29, 2016 was due to a reversal of a reserve for uncertain tax positions because the statute of limitations expired during the period. The increase in the tax rate of 10.3% between January 1, 2015 and December 31, 2015 is primarily the result of the establishment of a reserve for uncertain tax positions of $4.9 million. Due to the expiration of the statute of limitations, $2.9 million of that amount was reversed in 2016, contributing to a decrease in the rate of 27.0% during the period. As of December 29, 2016, we have federal and state net operating loss carryforwards of approximately $27.6 million and $47.5 million, respectively, which we expect to be able to utilize prior to their expiration. Refer to Note 6 to the audited Consolidated Financial Statements included elsewhere in this document.</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 in NCM LLC</w:t>
      </w:r>
    </w:p>
    <w:p>
      <w:pPr>
        <w:spacing w:after="0" w:line="121" w:lineRule="exact"/>
        <w:rPr>
          <w:sz w:val="20"/>
          <w:szCs w:val="20"/>
          <w:color w:val="auto"/>
        </w:rPr>
      </w:pPr>
    </w:p>
    <w:p>
      <w:pPr>
        <w:ind w:right="180" w:firstLine="555"/>
        <w:spacing w:after="0" w:line="276" w:lineRule="auto"/>
        <w:rPr>
          <w:sz w:val="20"/>
          <w:szCs w:val="20"/>
          <w:color w:val="auto"/>
        </w:rPr>
      </w:pPr>
      <w:r>
        <w:rPr>
          <w:rFonts w:ascii="Arial" w:cs="Arial" w:eastAsia="Arial" w:hAnsi="Arial"/>
          <w:sz w:val="17"/>
          <w:szCs w:val="17"/>
          <w:color w:val="auto"/>
        </w:rPr>
        <w:t>In accordance with NCM LLC’s Common Unit Adjustment Agreement with its founding members, on an annual basis NCM LLC determines the amount of common membership units to be issued to or returned by the founding members based on theater additions or dispositions during the previous year. During the first quarter of 2016, NCM LLC issued 1,416,515 common membership units to its founding members for the rights to exclusive access to the theater screens and attendees added, net of dispositions by the founding members to NCM LLC’s network during 2015. NCM LLC recorded a net intangible asset of $21.1 million during the first quarter of 2016 as a result of the Common Unit Adjustment.</w:t>
      </w:r>
    </w:p>
    <w:p>
      <w:pPr>
        <w:spacing w:after="0" w:line="64" w:lineRule="exact"/>
        <w:rPr>
          <w:sz w:val="20"/>
          <w:szCs w:val="20"/>
          <w:color w:val="auto"/>
        </w:rPr>
      </w:pPr>
    </w:p>
    <w:p>
      <w:pPr>
        <w:jc w:val="both"/>
        <w:ind w:right="340" w:firstLine="555"/>
        <w:spacing w:after="0" w:line="312" w:lineRule="auto"/>
        <w:rPr>
          <w:sz w:val="20"/>
          <w:szCs w:val="20"/>
          <w:color w:val="auto"/>
        </w:rPr>
      </w:pPr>
      <w:r>
        <w:rPr>
          <w:rFonts w:ascii="Arial" w:cs="Arial" w:eastAsia="Arial" w:hAnsi="Arial"/>
          <w:sz w:val="16"/>
          <w:szCs w:val="16"/>
          <w:color w:val="auto"/>
        </w:rPr>
        <w:t>Overall, NCM Inc.’s ownership in NCM LLC decreased to 43.7% as of December 29, 2016 compared to 43.8% at December 31, 2015 due to the common unit adjustments described above, partially offset by the issuance of NCM, Inc. common stock upon the vesting of restricted stock or exercise of stock options, which has proportionally increased net income attributable to noncontrolling interests and decreased net income attributable to NCM, Inc.</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2" w:name="page43"/>
    <w:bookmarkEnd w:id="42"/>
    <w:p>
      <w:pPr>
        <w:ind w:right="40" w:firstLine="555"/>
        <w:spacing w:after="0" w:line="286" w:lineRule="auto"/>
        <w:rPr>
          <w:sz w:val="20"/>
          <w:szCs w:val="20"/>
          <w:color w:val="auto"/>
        </w:rPr>
      </w:pPr>
      <w:r>
        <w:rPr>
          <w:rFonts w:ascii="Arial" w:cs="Arial" w:eastAsia="Arial" w:hAnsi="Arial"/>
          <w:sz w:val="16"/>
          <w:szCs w:val="16"/>
          <w:color w:val="auto"/>
        </w:rPr>
        <w:t>In December 2016, AMC completed its acquisition of a large motion picture exhibitor, Carmike Cinemas, Inc. (“Carmike”). Following the acquisition, AMC retained Carmike’s ownership in another cinema advertising provider (Screenvision) and the long-term agreement with that provider to provide cinema advertising remains in effect. In connection with the acquisition, AMC and the DOJ entered into a settlement regarding certain actions that AMC must take in order to complete the acquisition. Among those, AMC is required to divest the majority of its equity interests in NCM LLC, so that by June 20, 2019 it owns no more than 4.99% of NCM LLC’s outstanding membership units. AMC must complete the divestiture per the following schedule: (i) on or before December 20, 2017, AMC must own no more than 15% of NCM LLC’s outstanding membership units, (ii) on or before December 20, 2018, AMC must own no more than 7.5% of NCM LLC’s outstanding membership units and (iii) on or before June 20, 2019, AMC must own no more than 4.99% of NCM LLC’s outstanding membership units. As required by the DOJ settlement, AMC also relinquished its governance rights in NCM LLC, including its seats on the NCM, Inc. Board of Directors as well as its rights to nominate any person to serve on the NCM, Inc. Board of Directors. As of December 29, 2016, AMC’s non-independent designee to the Board of Directors had resigned. Further, AMC is required to change the pre-show advertising provider for 24 identified theaters comprising 384 screens from NCM LLC to Screenvision or sell those theaters to a non-NCM network buyer. Seven of those 24 theaters either did not have a cinema advertising provider, they were already being sold by AMC or it was an encumbered theater that we were receiving integration payments for, such that 17 of the 24 theaters currently need to be transferred or sold. AMC is also required to divest 15 AMC or Carmike theaters covering 15 local markets. As of the date of this filing, we are not aware which of those 15 theaters will be in our network or if they would be sold to another founding member or network affiliate. These theater transfers or sales represent approximately 2% of our total network of theaters as of December 29, 2016.</w:t>
      </w:r>
    </w:p>
    <w:p>
      <w:pPr>
        <w:spacing w:after="0" w:line="61"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Pursuant to NCM, Inc.’s Amended and Restated Certificate of Incorporation and NCM LLC’s Third Amended and Restated Limited Liability Company Operating Agreement, as amended, members of NCM LLC, other than NCM, Inc., may choose to have common membership units redeemed, and NCM, Inc. may elect to redeem through either a cash payment or the issuance of shares of its common stock on a one-for-one basis. If AMC redeems its common membership units for NCM, Inc. common stock, NCM, Inc.’s ownership will increase proportionally and the number of shares outstanding of NCM, Inc. common stock will increase. Further, the sale of AMC theaters or transfer of advertising on those theaters, may require AMC to transfer and surrender, and NCM LLC to cancel, common membership units related to the theater dispositions.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the founding members, interest or principal payments on our term loan and the Notes due 2022 and Notes due 2026, income tax payments, tax receivable agreement payments to the founding members and amount of quarterly dividends to NCM, Inc.’s common stockholders.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Years Ended</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 Change</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97"/>
              <w:spacing w:after="0" w:line="133" w:lineRule="exact"/>
              <w:rPr>
                <w:sz w:val="20"/>
                <w:szCs w:val="20"/>
                <w:color w:val="auto"/>
              </w:rPr>
            </w:pPr>
            <w:r>
              <w:rPr>
                <w:rFonts w:ascii="Arial" w:cs="Arial" w:eastAsia="Arial" w:hAnsi="Arial"/>
                <w:sz w:val="14"/>
                <w:szCs w:val="14"/>
                <w:b w:val="1"/>
                <w:bCs w:val="1"/>
                <w:color w:val="auto"/>
                <w:w w:val="94"/>
              </w:rPr>
              <w:t>December 29,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1"/>
                <w:szCs w:val="11"/>
                <w:color w:val="auto"/>
              </w:rPr>
            </w:pPr>
          </w:p>
        </w:tc>
        <w:tc>
          <w:tcPr>
            <w:tcW w:w="1020" w:type="dxa"/>
            <w:vAlign w:val="bottom"/>
          </w:tcPr>
          <w:p>
            <w:pPr>
              <w:jc w:val="right"/>
              <w:ind w:right="197"/>
              <w:spacing w:after="0" w:line="133"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2015 to</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ind w:right="317"/>
              <w:spacing w:after="0" w:line="133" w:lineRule="exact"/>
              <w:rPr>
                <w:sz w:val="20"/>
                <w:szCs w:val="20"/>
                <w:color w:val="auto"/>
              </w:rPr>
            </w:pPr>
            <w:r>
              <w:rPr>
                <w:rFonts w:ascii="Arial" w:cs="Arial" w:eastAsia="Arial" w:hAnsi="Arial"/>
                <w:sz w:val="14"/>
                <w:szCs w:val="14"/>
                <w:b w:val="1"/>
                <w:bCs w:val="1"/>
                <w:color w:val="auto"/>
              </w:rPr>
              <w:t>2014 to</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marketable</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18"/>
                <w:szCs w:val="18"/>
                <w:i w:val="1"/>
                <w:iCs w:val="1"/>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(16.7)</w:t>
            </w: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(2)</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Total liquidity</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2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60" w:right="280" w:hanging="552"/>
        <w:spacing w:after="0" w:line="256" w:lineRule="auto"/>
        <w:tabs>
          <w:tab w:leader="none" w:pos="56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Included in cash and cash equivalents as of December 29, 2016, December 31, 2015 and January 1, 2015 there was $10.7 million, $3.0 million and $10.2 million, respectively, of cash held by NCM LLC which is not available to satisfy NCM, Inc.'s dividend payments and other NCM, Inc. obligations.</w:t>
      </w:r>
    </w:p>
    <w:p>
      <w:pPr>
        <w:ind w:left="560" w:right="20" w:hanging="552"/>
        <w:spacing w:after="0" w:line="254" w:lineRule="auto"/>
        <w:tabs>
          <w:tab w:leader="none" w:pos="56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as of December 29, 2016 and $135.0 million as of December 31, 2015 and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-975995</wp:posOffset>
            </wp:positionV>
            <wp:extent cx="20669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ind w:left="5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42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w:t>
            </w:r>
          </w:p>
        </w:tc>
        <w:tc>
          <w:tcPr>
            <w:tcW w:w="2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133.5</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Investing cash flow</w:t>
            </w:r>
          </w:p>
        </w:tc>
        <w:tc>
          <w:tcPr>
            <w:tcW w:w="2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(4.3)</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w:t>
            </w:r>
          </w:p>
        </w:tc>
        <w:tc>
          <w:tcPr>
            <w:tcW w:w="2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(137.9)</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(88.4)</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(155.7)</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 – Fiscal Years 2016 and 2015</w:t>
      </w:r>
    </w:p>
    <w:p>
      <w:pPr>
        <w:spacing w:after="0" w:line="117" w:lineRule="exact"/>
        <w:rPr>
          <w:sz w:val="20"/>
          <w:szCs w:val="20"/>
          <w:color w:val="auto"/>
        </w:rPr>
      </w:pPr>
    </w:p>
    <w:p>
      <w:pPr>
        <w:jc w:val="both"/>
        <w:ind w:right="20" w:firstLine="555"/>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$28.2 million increase in cash provided by operating activities for the year ended December 29, 2016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was due primarily to a $23.3 million increase in consolidated net income, as described further above, and an increase in the change in accounts receivable of $22.0 million related to higher collections, partially offset by a $11.9 million decrease in the change in accounts payable and accrued expenses due primarily to lower accrued bonus expense.</w:t>
      </w:r>
    </w:p>
    <w:p>
      <w:pPr>
        <w:spacing w:after="0" w:line="79" w:lineRule="exact"/>
        <w:rPr>
          <w:sz w:val="20"/>
          <w:szCs w:val="20"/>
          <w:color w:val="auto"/>
        </w:rPr>
      </w:pPr>
    </w:p>
    <w:p>
      <w:pPr>
        <w:jc w:val="both"/>
        <w:ind w:right="200" w:firstLine="555"/>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$5.7 million decrease in cash provided by investing activities for the year ended December 29, 2016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was due primarily to lower proceeds from the sale and maturity of marketable securities, net of purchases, of approximately $4.4 million and $1.4 million lower proceeds from notes receivable due to timing of the payments.</w:t>
      </w:r>
    </w:p>
    <w:p>
      <w:pPr>
        <w:spacing w:after="0" w:line="73" w:lineRule="exact"/>
        <w:rPr>
          <w:sz w:val="20"/>
          <w:szCs w:val="20"/>
          <w:color w:val="auto"/>
        </w:rPr>
      </w:pPr>
    </w:p>
    <w:p>
      <w:pPr>
        <w:ind w:right="180" w:firstLine="555"/>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$49.5 million increase in cash used in financing activities during the year ended December 29, 2016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2015 was due primarily to higher repayments, net of proceeds, under our revolving credit facility of $95.0 million, partially offset by $42.1 million of proceeds from the issuance of the Notes due 2026, net of the redemption of the Notes due 2021.</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 – Fiscal Years 2015 and 2014</w:t>
      </w:r>
    </w:p>
    <w:p>
      <w:pPr>
        <w:spacing w:after="0" w:line="117"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$12.7 million decrease in cash provided by operating activities for the year ended December 31, 2015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January 1, 2015 was due primarily to a decrease in the change in accounts receivable primarily due to higher revenue and timing of collections in the period. The decrease was partially offset by an increase in the change in accounts payable and accrued expenses due primarily to higher accrued bonus expense.</w:t>
      </w:r>
    </w:p>
    <w:p>
      <w:pPr>
        <w:spacing w:after="0" w:line="79" w:lineRule="exact"/>
        <w:rPr>
          <w:sz w:val="20"/>
          <w:szCs w:val="20"/>
          <w:color w:val="auto"/>
        </w:rPr>
      </w:pPr>
    </w:p>
    <w:p>
      <w:pPr>
        <w:ind w:right="280" w:firstLine="555"/>
        <w:spacing w:after="0" w:line="286"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The $4.9 million increase in cash provided by investing activities for the year ended December 31, 2015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January 1, 2015 was due primarily to higher proceeds from the sale and maturity of marketable securities, net of purchases, of approximately $8.5 million, partially offset by $3.9 million of higher purchases of property, plant and equipment during 2015.</w:t>
      </w:r>
    </w:p>
    <w:p>
      <w:pPr>
        <w:spacing w:after="0" w:line="57"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$67.4 million decrease in cash used in financing activities during the year ended December 31, 2015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January 1, 2015 was due primarily to $42.0 million greater proceeds from borrowings, net of repayments, due to higher borrowings on the revolving credit facility to pay the merger termination fee and related merger costs, as described above, and a decrease of approximately $28.7 million in cash dividends paid due primarily to the payment of an special cash dividend in 2014 that did not occur in 2015. These decreases to cash used in financing activities were partially offset by a $5.2 million decrease in distributions to the founding members.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NCM, Inc.’s primary source of liquidity and capital resources is the quarterly available cash distributions from NCM LLC as well as its existing cash balances and marketable securities, which as of December 29, 2016 were $58.0 million (excluding NCM LLC). NCM LLC’s primary sources of liquidity and capital resources are its cash provided by operating activities, availability under its revolving credit facility and cash on hand. Refer to Note 9 to the audited Consolidated Financial Statements included elsewhere in this document and “Financings” below for a detailed discussion of the debt transactions in 2015 and 2016.</w:t>
      </w:r>
    </w:p>
    <w:p>
      <w:pPr>
        <w:spacing w:after="0" w:line="80"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twelve months. Cash flows generated by NCM LLC’s distributions to NCM, Inc. and the founding members can be impacted by the seasonality of advertising sales, stock option exercises, interest on borrowings under our revolving credit agreement and to a lesser extent theater attendance. NCM LLC is required pursuant to the terms of the NCM LLC Operating Agreement to distribute its available cash, as defined in the operating agreement, quarterly to its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spacing w:after="0" w:line="289" w:lineRule="auto"/>
        <w:rPr>
          <w:sz w:val="20"/>
          <w:szCs w:val="20"/>
          <w:color w:val="auto"/>
        </w:rPr>
      </w:pPr>
      <w:r>
        <w:rPr>
          <w:rFonts w:ascii="Arial" w:cs="Arial" w:eastAsia="Arial" w:hAnsi="Arial"/>
          <w:sz w:val="16"/>
          <w:szCs w:val="16"/>
          <w:color w:val="auto"/>
        </w:rPr>
        <w:t>members (the founding members and NCM, Inc.). The available cash distribution to the members of NCM LLC for the year ended December 29, 2016, net of the negative available cash generated in the first quarter of 2015 and netted against the second quarter of 2016 distribution, was approximately $132.6 million, of which approximately $57.5 million was distributed to NCM, Inc. NCM, Inc. expects to use cash received from future available cash distributions and its cash balances to fund payments associated with the tax receivable agreement with the founding members and current and future dividends as declared by the Board of Directors, including a dividend declared on January 19, 2017 of $0.22 per share (approximately $13.3 million) on each share of the Company’s common stock (not including outstanding restricted stock) to stockholders of record on March 9, 2017 to be paid on March 23, 2017. Distributions from NCM LLC and NCM, Inc. cash balances should be sufficient to fund payments associated with the tax receivable agreement with the founding members, income taxes and its regular dividend for the foreseeable future at the discretion of the Board of Directors dependent on anticipated cash needs, overall financial condition, future prospects for earnings, available cash and cash flows, as well as other relevant factors.</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Capital expenditures of NCM LLC have typically been capitalized software development or upgrades for our DCS and advertising proposal and inventory management and audience targeting and data management systems being developed primarily by our programmers and outside consultants, equipment required for our NOC and content production and post-production facilities, office leasehold improvements, desktop equipment for use by our employees, and in certain cases, the costs necessary to digitize all or a portion of a network affiliate’s theaters when they are added to our network. Capital expenditures for the year ended December 29, 2016 were $13.3 million (including $1.1 million associated with network affiliate additions) compared to $13.0 million (including $1.1 million associated with network affiliate additions) for the 2015 period. The capital expenditures have typically been satisfied through cash flow from operations. All capital expenditures related to the DCN within the founding members’ theaters have been made by the founding members under the ESAs. We expect they will continue to be made by the founding members in accordance with the ESAs.</w:t>
      </w:r>
    </w:p>
    <w:p>
      <w:pPr>
        <w:spacing w:after="0" w:line="71"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color w:val="auto"/>
        </w:rPr>
        <w:t>We expect to make approximately $15.0 million to $16.0 million of capital expenditures in fiscal 2017, primarily for upgrades to our DCS distribution and content management software and our other internal management systems, including our proposal, inventory and audience targeting and data management systems, reporting systems, network equipment related to currently contracted network affiliate theaters, server and storage upgrades and software licensing. We expect these upgrades and improvements to our management reporting systems, which are intended to provide additional advertising scheduling and placement flexibility for our clients, should enhance our operating efficiencies, including allowing us to better manage our advertising inventory, create more targeted buys and provide more robust campaign data for our advertising clients to help drive future growth. Our capital expenditures will increase as we add additional network affiliates to our network. We expect that additional expenditures, if any, would be funded in part by additional cash flows associated with those new network affiliates. The commitments associated with our operating lease requirements are included in “Contractual and Other Obligations” below.</w:t>
      </w:r>
    </w:p>
    <w:p>
      <w:pPr>
        <w:spacing w:after="0" w:line="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Financings</w:t>
      </w:r>
    </w:p>
    <w:p>
      <w:pPr>
        <w:spacing w:after="0" w:line="117"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As of December 29, 2016, NCM LLC’s senior secured credit facility consisted of a $175.0 million revolving credit facility and a $270.0 million term loan. On May 26, 2016, NCM LLC entered into an incremental amendment of its senior secured credit facility whereby the revolving credit facility was increased by $40.0 million to $175.0 million. On June 18, 2014, NCM LLC entered into an incremental amendment of its senior secured credit facility whereby the revolving credit facility was increased by $25.0 million to $135.0 million. In addition, on July 2, 2014, NCM LLC entered into an amendment of its senior secured credit facility whereby the maturity date was extended by two years to November 26, 2019, which corresponds to the maturity date of the $270 million term loans.</w:t>
      </w:r>
    </w:p>
    <w:p>
      <w:pPr>
        <w:spacing w:after="0" w:line="85"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On August 19, 2016, NCM LLC completed a private placement of $250.0 million in aggregate principal amount of 5.750% Senior Unsecured Notes. On September 19, 2016, NCM LLC redeemed its $200.0 million 7.875% Senior Unsecured Notes at a redemption price of 103.938% of the principal amount plus accrued and unpaid interest. On April 27, 2012, NCM LLC completed a private placement of $400.0 million in aggregate principal amount of 6.00% Senior Secured Notes for which the registered exchange offering was completed on November 26, 2012. For further information, refer to Note 9 to the audited Consolidated Financial Statements located elsewhere in this document.</w:t>
      </w:r>
    </w:p>
    <w:p>
      <w:pPr>
        <w:spacing w:after="0" w:line="80"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NCM LLC was in compliance at December 29, 2016, including a consolidated net senior secured leverage ratio as of December 29, 2016 of 3.0 versus a covenant of 6.5 times for each quarterly period. NCM LLC is permitted to make quarterly dividend payments and other payments based on leverage ratios for NCM LLC and its subsidiary so long as no default or event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ind w:right="80"/>
        <w:spacing w:after="0" w:line="277" w:lineRule="auto"/>
        <w:rPr>
          <w:sz w:val="20"/>
          <w:szCs w:val="20"/>
          <w:color w:val="auto"/>
        </w:rPr>
      </w:pPr>
      <w:r>
        <w:rPr>
          <w:rFonts w:ascii="Arial" w:cs="Arial" w:eastAsia="Arial" w:hAnsi="Arial"/>
          <w:sz w:val="18"/>
          <w:szCs w:val="18"/>
          <w:color w:val="auto"/>
        </w:rPr>
        <w:t>default has occurred and continues to occur. The quarterly dividend payments and other distributions are made if the consolidated net senior secured leverage ratio is less than or equal to 6.5 times.</w:t>
      </w:r>
    </w:p>
    <w:p>
      <w:pPr>
        <w:spacing w:after="0" w:line="62" w:lineRule="exact"/>
        <w:rPr>
          <w:sz w:val="20"/>
          <w:szCs w:val="20"/>
          <w:color w:val="auto"/>
        </w:rPr>
      </w:pPr>
    </w:p>
    <w:p>
      <w:pPr>
        <w:ind w:right="100" w:firstLine="555"/>
        <w:spacing w:after="0" w:line="293" w:lineRule="auto"/>
        <w:rPr>
          <w:sz w:val="20"/>
          <w:szCs w:val="20"/>
          <w:color w:val="auto"/>
        </w:rPr>
      </w:pPr>
      <w:r>
        <w:rPr>
          <w:rFonts w:ascii="Arial" w:cs="Arial" w:eastAsia="Arial" w:hAnsi="Arial"/>
          <w:sz w:val="16"/>
          <w:szCs w:val="16"/>
          <w:color w:val="auto"/>
        </w:rPr>
        <w:t>There are no borrower distribution restrictions as long as NCM LLC’s consolidated net senior secured leverage ratio is below 6.5 times and NCM LLC is in compliance with its debt covenants. If there are limitations on the restricted payments, NCM LLC may not declare or pay any dividends, make any payments on account of NCM LLC, set aside assets for the retirement or other acquisition of capital stock of the borrower or any subsidiary, or make any other distribution for obligations of NCM LLC. When these restrictions are effective, NCM LLC may still pay the services fee and reimbursable costs pursuant to terms of the management agreement. NCM LLC can also make payments pursuant to the tax receivable agreement in the amount, and at the time necessary to satisfy the contractual obligations with respect to the actual cash tax benefits payable to NCM LLC’s founding members.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80" w:firstLine="555"/>
        <w:spacing w:after="0" w:line="293" w:lineRule="auto"/>
        <w:rPr>
          <w:sz w:val="20"/>
          <w:szCs w:val="20"/>
          <w:color w:val="auto"/>
        </w:rPr>
      </w:pPr>
      <w:r>
        <w:rPr>
          <w:rFonts w:ascii="Arial" w:cs="Arial" w:eastAsia="Arial" w:hAnsi="Arial"/>
          <w:sz w:val="16"/>
          <w:szCs w:val="16"/>
          <w:color w:val="auto"/>
        </w:rPr>
        <w:t>The significant accounting policies of the Company are described in Note 1 to the audited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firstLine="555"/>
        <w:spacing w:after="0" w:line="291" w:lineRule="auto"/>
        <w:rPr>
          <w:sz w:val="20"/>
          <w:szCs w:val="20"/>
          <w:color w:val="auto"/>
        </w:rPr>
      </w:pPr>
      <w:r>
        <w:rPr>
          <w:rFonts w:ascii="Arial" w:cs="Arial" w:eastAsia="Arial" w:hAnsi="Arial"/>
          <w:sz w:val="16"/>
          <w:szCs w:val="16"/>
          <w:i w:val="1"/>
          <w:iCs w:val="1"/>
          <w:color w:val="auto"/>
        </w:rPr>
        <w:t xml:space="preserve">Nature of Estimates Required. </w:t>
      </w:r>
      <w:r>
        <w:rPr>
          <w:rFonts w:ascii="Arial" w:cs="Arial" w:eastAsia="Arial" w:hAnsi="Arial"/>
          <w:sz w:val="16"/>
          <w:szCs w:val="16"/>
          <w:color w:val="auto"/>
        </w:rPr>
        <w:t>The allowance for doubtful accounts represents management’s estimate of probable credit losses inherent in its trade</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59" w:lineRule="exact"/>
        <w:rPr>
          <w:sz w:val="20"/>
          <w:szCs w:val="20"/>
          <w:color w:val="auto"/>
        </w:rPr>
      </w:pPr>
    </w:p>
    <w:p>
      <w:pPr>
        <w:ind w:right="360" w:firstLine="555"/>
        <w:spacing w:after="0" w:line="264" w:lineRule="auto"/>
        <w:rPr>
          <w:sz w:val="20"/>
          <w:szCs w:val="20"/>
          <w:color w:val="auto"/>
        </w:rPr>
      </w:pPr>
      <w:r>
        <w:rPr>
          <w:rFonts w:ascii="Arial" w:cs="Arial" w:eastAsia="Arial" w:hAnsi="Arial"/>
          <w:sz w:val="18"/>
          <w:szCs w:val="18"/>
          <w:i w:val="1"/>
          <w:iCs w:val="1"/>
          <w:color w:val="auto"/>
        </w:rPr>
        <w:t xml:space="preserve">Sensitivity Analysis. </w:t>
      </w:r>
      <w:r>
        <w:rPr>
          <w:rFonts w:ascii="Arial" w:cs="Arial" w:eastAsia="Arial" w:hAnsi="Arial"/>
          <w:sz w:val="18"/>
          <w:szCs w:val="18"/>
          <w:color w:val="auto"/>
        </w:rPr>
        <w:t>As of December 29, 2016, our allowance for doubtful accounts was $6.3 million, or 3.8% of the gross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A 10% difference in the allowance for doubtful accounts as of December 29, 2016 would have affected net income attributable to NCM, Inc. by approximately $0.2 million.</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i w:val="1"/>
          <w:iCs w:val="1"/>
          <w:color w:val="auto"/>
        </w:rPr>
        <w:t xml:space="preserve">Nature of Estimates Required. </w:t>
      </w:r>
      <w:r>
        <w:rPr>
          <w:rFonts w:ascii="Arial" w:cs="Arial" w:eastAsia="Arial" w:hAnsi="Arial"/>
          <w:sz w:val="16"/>
          <w:szCs w:val="16"/>
          <w:color w:val="auto"/>
        </w:rPr>
        <w:t>NCM, Inc.’s 2016 Equity Incentive Plan and its 2007 Equity Incentive Plan, as amended (the “Equity Incentive Plans”)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treated as equity plans under the provisions of Accounting Standards Codification ASC 718 –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and the determination of fair value of options, restricted stock and restricted stock units for accounting purposes requires that management make estimates and judgments. When stock options were granted prior to 2013, we used the Black-Scholes option pricing model to estimate the fair value of stock option grants, which was affected by our stock price and a number of assumptions, including expected volatility, expected life, risk-free interest rate and expected dividends.</w:t>
      </w:r>
    </w:p>
    <w:p>
      <w:pPr>
        <w:spacing w:after="0" w:line="50" w:lineRule="exact"/>
        <w:rPr>
          <w:sz w:val="20"/>
          <w:szCs w:val="20"/>
          <w:color w:val="auto"/>
        </w:rPr>
      </w:pPr>
    </w:p>
    <w:p>
      <w:pPr>
        <w:ind w:right="880" w:firstLine="555"/>
        <w:spacing w:after="0" w:line="291" w:lineRule="auto"/>
        <w:rPr>
          <w:sz w:val="20"/>
          <w:szCs w:val="20"/>
          <w:color w:val="auto"/>
        </w:rPr>
      </w:pPr>
      <w:r>
        <w:rPr>
          <w:rFonts w:ascii="Arial" w:cs="Arial" w:eastAsia="Arial" w:hAnsi="Arial"/>
          <w:sz w:val="16"/>
          <w:szCs w:val="16"/>
          <w:color w:val="auto"/>
        </w:rPr>
        <w:t>The fair value of restricted stock and restricted stock units is based on the closing market price of our common stock on the date of grant. Compensation expense equal to the fair value of each restricted stock award or restricted stock unit is recognized ratably over the requisite service</w:t>
      </w:r>
    </w:p>
    <w:p>
      <w:pPr>
        <w:ind w:right="20"/>
        <w:spacing w:after="0" w:line="252" w:lineRule="auto"/>
        <w:rPr>
          <w:sz w:val="20"/>
          <w:szCs w:val="20"/>
          <w:color w:val="auto"/>
        </w:rPr>
      </w:pPr>
      <w:r>
        <w:rPr>
          <w:rFonts w:ascii="Arial" w:cs="Arial" w:eastAsia="Arial" w:hAnsi="Arial"/>
          <w:sz w:val="18"/>
          <w:szCs w:val="18"/>
          <w:color w:val="auto"/>
        </w:rPr>
        <w:t>period. Certain of the restricted stock awards include performance vesting conditions, which permit vesting to the extent that the Company achieves specified non-GAAP targets at the end of the measurement period. Compensation expense is based on management’s projections and the probability of achievement of those expectations, which requires considerable judgment. We record a cumulative adjustment to share-based compensation expense in periods that we change our estimate of the number of shares expected to vest. Additionally, we ultimately adjust the expense recognized to reflect the actual vested shares following the resolution of the performance conditions. Further, for both stock options and restricted stock we estimate a forfeiture rate to reflect the potential separation of employees.</w:t>
      </w:r>
    </w:p>
    <w:p>
      <w:pPr>
        <w:spacing w:after="0" w:line="86"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i w:val="1"/>
          <w:iCs w:val="1"/>
          <w:color w:val="auto"/>
        </w:rPr>
        <w:t xml:space="preserve">Assumptions and Approach Used. </w:t>
      </w:r>
      <w:r>
        <w:rPr>
          <w:rFonts w:ascii="Arial" w:cs="Arial" w:eastAsia="Arial" w:hAnsi="Arial"/>
          <w:sz w:val="18"/>
          <w:szCs w:val="18"/>
          <w:color w:val="auto"/>
        </w:rPr>
        <w:t>In determining the value of stock options, we estimated an expected dividend yield based upon our expectation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dividend that would be paid out on the underlying shares during the expected term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ind w:right="20"/>
        <w:spacing w:after="0" w:line="264" w:lineRule="auto"/>
        <w:rPr>
          <w:sz w:val="20"/>
          <w:szCs w:val="20"/>
          <w:color w:val="auto"/>
        </w:rPr>
      </w:pPr>
      <w:r>
        <w:rPr>
          <w:rFonts w:ascii="Arial" w:cs="Arial" w:eastAsia="Arial" w:hAnsi="Arial"/>
          <w:sz w:val="18"/>
          <w:szCs w:val="18"/>
          <w:color w:val="auto"/>
        </w:rPr>
        <w:t>option. Expected volatility is based on our historical stock prices using a mathematical formula to measure the standard deviation of the change in the natural logarithm of our underlying stock price over a period of time commensurate with the expected term. The risk-free interest rate is derived from the zero coupon rate on U.S. Treasury instruments with a term commensurate with the award’s expected term.</w:t>
      </w:r>
    </w:p>
    <w:p>
      <w:pPr>
        <w:spacing w:after="0" w:line="73" w:lineRule="exact"/>
        <w:rPr>
          <w:sz w:val="20"/>
          <w:szCs w:val="20"/>
          <w:color w:val="auto"/>
        </w:rPr>
      </w:pPr>
    </w:p>
    <w:p>
      <w:pPr>
        <w:ind w:right="60" w:firstLine="555"/>
        <w:spacing w:after="0" w:line="253" w:lineRule="auto"/>
        <w:rPr>
          <w:sz w:val="20"/>
          <w:szCs w:val="20"/>
          <w:color w:val="auto"/>
        </w:rPr>
      </w:pPr>
      <w:r>
        <w:rPr>
          <w:rFonts w:ascii="Arial" w:cs="Arial" w:eastAsia="Arial" w:hAnsi="Arial"/>
          <w:sz w:val="18"/>
          <w:szCs w:val="18"/>
          <w:color w:val="auto"/>
        </w:rPr>
        <w:t>For restricted stock with vesting contingent on the achievement of Company performance conditions, the amount of compensation expense is estimated based on the expected achievement of the performance condition. This requires us to make estimates of the likelihood of the achievement of Company performance conditions, which is highly judgmental. We base our judgments as to the expected achievement of Company performance conditions based on the financial projections of the Company that are used by management for business purposes, which represent our best estimate of expected Company performance. We evaluate the assumptions used to value stock-based awards on a quarterly basis. If factors change and we employ different assumptions, stock-based compensation expense may differ significantly from what we have recorded in the past. If there are any modifications or cancellations of stock-based awards, we may be required to accelerate, increase or decrease any remaining, unrecognized stock-based compensation expense. To the extent that we grant additional stock-based awards, compensation expense will increase in relation to the fair value of the additional grants. Compensation expense may be significantly impacted in the future to the extent our estimates differ from actual results. Further, we estimate a forfeiture rate of restricted stock based upon historical forfeitures. If future forfeitures differ significantly from our past experience our compensation expense may be significantly impacted.</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07"/>
        <w:spacing w:after="0" w:line="285" w:lineRule="auto"/>
        <w:rPr>
          <w:sz w:val="20"/>
          <w:szCs w:val="20"/>
          <w:color w:val="auto"/>
        </w:rPr>
      </w:pPr>
      <w:r>
        <w:rPr>
          <w:rFonts w:ascii="Arial" w:cs="Arial" w:eastAsia="Arial" w:hAnsi="Arial"/>
          <w:sz w:val="16"/>
          <w:szCs w:val="16"/>
          <w:i w:val="1"/>
          <w:iCs w:val="1"/>
          <w:color w:val="auto"/>
        </w:rPr>
        <w:t xml:space="preserve">Nature of Estimates Required. </w:t>
      </w:r>
      <w:r>
        <w:rPr>
          <w:rFonts w:ascii="Arial" w:cs="Arial" w:eastAsia="Arial" w:hAnsi="Arial"/>
          <w:sz w:val="16"/>
          <w:szCs w:val="16"/>
          <w:color w:val="auto"/>
        </w:rPr>
        <w:t>We account for income taxes in accordance with ASC 740 –</w:t>
      </w:r>
      <w:r>
        <w:rPr>
          <w:rFonts w:ascii="Arial" w:cs="Arial" w:eastAsia="Arial" w:hAnsi="Arial"/>
          <w:sz w:val="16"/>
          <w:szCs w:val="16"/>
          <w:i w:val="1"/>
          <w:iCs w:val="1"/>
          <w:color w:val="auto"/>
        </w:rPr>
        <w:t xml:space="preserve"> Income Taxes, </w:t>
      </w:r>
      <w:r>
        <w:rPr>
          <w:rFonts w:ascii="Arial" w:cs="Arial" w:eastAsia="Arial" w:hAnsi="Arial"/>
          <w:sz w:val="16"/>
          <w:szCs w:val="16"/>
          <w:color w:val="auto"/>
        </w:rPr>
        <w:t>which requires an asset and liability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to financial accounting and reporting for income taxes. Accordingly, deferred tax assets and liabilities arise from the differences between the tax basis of an asset or liability and its reported amount in the audited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We have incurred taxable losses in recent years due primarily to amortization of intangible assets recorded on our tax returns resulting from an election by NCM LLC made under Internal Revenue Code §754 of the Internal Revenue Code to step-up the Company’s outside basis in its share of NCM LLC’s inside basis of assets under IRC §743(b). We currently have no valuation allowance against certain of our deferred tax assets as we expect future taxable income (as amortization of these items will cease) and we expect to be able to utilize our net operating loss carryforwards prior to their expiration. Further, we have and continue to expect to generate pre-tax book income. In addition, due to the basis differences resulting from our IPO-related transactions (including the tax receivable agreement with the founding members) and subsequent adjustments pursuant to the common unit adjustment agreement, we are required to make cash payments under the tax receivable agreement to the founding members in amounts equal to 90% of our actual tax benefit realized from the tax amortization of the basis difference for certain deferred assets noted above. The requirements of the tax receivable agreement, as amended, are highly technical and complex and involve management’s judgment, including judgments to determine hypothetical tax outcomes exclusive of the IPO date transaction and agreements. If we were to fail to meet certain of the requirements of the tax receivable agreement, we could be subject to additional payments to taxing authorities or to the founding members. 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w:t>
      </w:r>
    </w:p>
    <w:p>
      <w:pPr>
        <w:spacing w:after="0" w:line="65"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We have established a reserve for material, known tax exposures. As of December 29, 2016, the total amount of the tax reserve was $2.0 million, including accrued interest and penalties, net of related items. Our reserve reflects management’s judgment as to the resolution of the issues involved if subject to judicial review or other settlement. While we believe our reserve is adequate to cover reasonably expected tax risks, there can be no assurance that, in all instances, an issue raised by a tax authority will be resolved at a financial cost that does not exceed its related reserve. With respect to the reserve, our income tax expense would include (i) any changes in tax reserves arising from material changes during the period in the facts and circumstances (i.e., new information) surrounding a tax issue and (ii) any difference from our tax position as recorded in the financial statements and the final resolution of a tax issue during the period. Such resolution could materially increase or decrease income tax expense in the Consolidated Financial Statements in future periods and could impact operating cash flows. While we believe that our reserves are adequate to cover reasonably expected tax risks, in the event that the ultimate resolution of our uncertain tax positions differs from our estimates, we may be exposed to material increases in income tax expense, which could materially impact our financial condition, results of operations and cash flows. Refer to Note 6 to the audited Consolidated Financial Statements included elsewhere in this document.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right="40" w:firstLine="555"/>
        <w:spacing w:after="0" w:line="257" w:lineRule="auto"/>
        <w:rPr>
          <w:sz w:val="20"/>
          <w:szCs w:val="20"/>
          <w:color w:val="auto"/>
        </w:rPr>
      </w:pPr>
      <w:r>
        <w:rPr>
          <w:rFonts w:ascii="Arial" w:cs="Arial" w:eastAsia="Arial" w:hAnsi="Arial"/>
          <w:sz w:val="18"/>
          <w:szCs w:val="18"/>
          <w:i w:val="1"/>
          <w:iCs w:val="1"/>
          <w:color w:val="auto"/>
        </w:rPr>
        <w:t xml:space="preserve">Sensitivity Analysis. </w:t>
      </w:r>
      <w:r>
        <w:rPr>
          <w:rFonts w:ascii="Arial" w:cs="Arial" w:eastAsia="Arial" w:hAnsi="Arial"/>
          <w:sz w:val="18"/>
          <w:szCs w:val="18"/>
          <w:color w:val="auto"/>
        </w:rPr>
        <w:t>For fiscal 2016, our provision for income taxes was $9.2 million. Changes in management’s estimates and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enacted tax rate applied to deferred tax assets and liabilities, the ability to realize the value of deferred tax assets, or the timing of the reversal of tax basis differences and judgments used to determine hypothetical tax outcomes exclusive of the IPO date transaction and agreements could impact the provision for income taxes and change the effective tax rate. A one percent change in the effective tax rate from 26.6% to 27.6% would have increased the current year income tax provision by approximately $0.3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For a discussion of the recent accounting pronouncements relevant to our business operations, refer to the information provided under Note 1 to the audited Consolidated Financial Statements included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For a discussion of the related-party transactions, refer to the information provided under Note 8 to the audited Consolidated Financial Statements included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Refer to “—Contractual and Other Obligations” for further detail. We do not believe these arrangements are material to our current or future financial condition, results of operations, liquidity, capital resources or capital expenditures.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contractual obligations as of December 29, 2016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7"/>
          </w:tcPr>
          <w:p>
            <w:pPr>
              <w:jc w:val="center"/>
              <w:ind w:right="52"/>
              <w:spacing w:after="0"/>
              <w:rPr>
                <w:sz w:val="20"/>
                <w:szCs w:val="20"/>
                <w:color w:val="auto"/>
              </w:rPr>
            </w:pPr>
            <w:r>
              <w:rPr>
                <w:rFonts w:ascii="Arial" w:cs="Arial" w:eastAsia="Arial" w:hAnsi="Arial"/>
                <w:sz w:val="14"/>
                <w:szCs w:val="14"/>
                <w:b w:val="1"/>
                <w:bCs w:val="1"/>
                <w:color w:val="auto"/>
                <w:w w:val="92"/>
              </w:rPr>
              <w:t>Payments Due by Period (in millions)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Within</w:t>
            </w:r>
          </w:p>
        </w:tc>
        <w:tc>
          <w:tcPr>
            <w:tcW w:w="140" w:type="dxa"/>
            <w:vAlign w:val="bottom"/>
          </w:tcPr>
          <w:p>
            <w:pPr>
              <w:spacing w:after="0"/>
              <w:rPr>
                <w:sz w:val="11"/>
                <w:szCs w:val="11"/>
                <w:color w:val="auto"/>
              </w:rPr>
            </w:pPr>
          </w:p>
        </w:tc>
        <w:tc>
          <w:tcPr>
            <w:tcW w:w="900" w:type="dxa"/>
            <w:vAlign w:val="bottom"/>
          </w:tcPr>
          <w:p>
            <w:pPr>
              <w:jc w:val="right"/>
              <w:ind w:right="355"/>
              <w:spacing w:after="0" w:line="133" w:lineRule="exact"/>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88"/>
              </w:rPr>
              <w:t>3-5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Thereafter</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1 fiscal year</w:t>
            </w:r>
          </w:p>
        </w:tc>
        <w:tc>
          <w:tcPr>
            <w:tcW w:w="140" w:type="dxa"/>
            <w:vAlign w:val="bottom"/>
          </w:tcPr>
          <w:p>
            <w:pPr>
              <w:spacing w:after="0"/>
              <w:rPr>
                <w:sz w:val="14"/>
                <w:szCs w:val="14"/>
                <w:color w:val="auto"/>
              </w:rPr>
            </w:pPr>
          </w:p>
        </w:tc>
        <w:tc>
          <w:tcPr>
            <w:tcW w:w="900" w:type="dxa"/>
            <w:vAlign w:val="bottom"/>
          </w:tcPr>
          <w:p>
            <w:pPr>
              <w:jc w:val="right"/>
              <w:ind w:right="95"/>
              <w:spacing w:after="0"/>
              <w:rPr>
                <w:sz w:val="20"/>
                <w:szCs w:val="20"/>
                <w:color w:val="auto"/>
              </w:rPr>
            </w:pPr>
            <w:r>
              <w:rPr>
                <w:rFonts w:ascii="Arial" w:cs="Arial" w:eastAsia="Arial" w:hAnsi="Arial"/>
                <w:sz w:val="14"/>
                <w:szCs w:val="14"/>
                <w:b w:val="1"/>
                <w:bCs w:val="1"/>
                <w:color w:val="auto"/>
                <w:w w:val="91"/>
              </w:rPr>
              <w:t>fiscal years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fiscal years</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8"/>
                <w:szCs w:val="18"/>
                <w:i w:val="1"/>
                <w:iCs w:val="1"/>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 xml:space="preserve">Cash interest on borrowings </w:t>
            </w:r>
            <w:r>
              <w:rPr>
                <w:rFonts w:ascii="Arial" w:cs="Arial" w:eastAsia="Arial" w:hAnsi="Arial"/>
                <w:sz w:val="18"/>
                <w:szCs w:val="18"/>
                <w:i w:val="1"/>
                <w:iCs w:val="1"/>
                <w:color w:val="auto"/>
              </w:rPr>
              <w:t>(2)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 leases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 xml:space="preserve">Network affiliate agreements </w:t>
            </w:r>
            <w:r>
              <w:rPr>
                <w:rFonts w:ascii="Arial" w:cs="Arial" w:eastAsia="Arial" w:hAnsi="Arial"/>
                <w:sz w:val="18"/>
                <w:szCs w:val="18"/>
                <w:i w:val="1"/>
                <w:iCs w:val="1"/>
                <w:color w:val="auto"/>
              </w:rPr>
              <w:t>(3)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Payable to founding members under tax receivable</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i w:val="1"/>
                <w:iCs w:val="1"/>
                <w:color w:val="auto"/>
              </w:rPr>
              <w:t>(4)</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00" w:type="dxa"/>
            <w:vAlign w:val="bottom"/>
            <w:gridSpan w:val="2"/>
          </w:tcPr>
          <w:p>
            <w:pPr>
              <w:spacing w:after="0"/>
              <w:rPr>
                <w:sz w:val="20"/>
                <w:szCs w:val="20"/>
                <w:color w:val="auto"/>
              </w:rPr>
            </w:pPr>
            <w:r>
              <w:rPr>
                <w:rFonts w:ascii="Arial" w:cs="Arial" w:eastAsia="Arial" w:hAnsi="Arial"/>
                <w:sz w:val="18"/>
                <w:szCs w:val="18"/>
                <w:color w:val="auto"/>
              </w:rPr>
              <w:t>Interest on payable to founding members under tax</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 xml:space="preserve">receivable agreement </w:t>
            </w:r>
            <w:r>
              <w:rPr>
                <w:rFonts w:ascii="Arial" w:cs="Arial" w:eastAsia="Arial" w:hAnsi="Arial"/>
                <w:sz w:val="18"/>
                <w:szCs w:val="18"/>
                <w:i w:val="1"/>
                <w:iCs w:val="1"/>
                <w:color w:val="auto"/>
              </w:rPr>
              <w:t>(5)</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contractual cash obligations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478.2</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60" w:type="dxa"/>
            <w:vAlign w:val="bottom"/>
            <w:tcBorders>
              <w:bottom w:val="single" w:sz="8" w:color="auto"/>
            </w:tcBorders>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right="200" w:hanging="552"/>
        <w:spacing w:after="0" w:line="254" w:lineRule="auto"/>
        <w:tabs>
          <w:tab w:leader="none" w:pos="56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We have a $175.0 million variable rate revolving credit facility of which $160.0 million was outstanding as of December 29, 2016.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spacing w:after="0" w:line="2" w:lineRule="exact"/>
        <w:rPr>
          <w:rFonts w:ascii="Arial" w:cs="Arial" w:eastAsia="Arial" w:hAnsi="Arial"/>
          <w:sz w:val="18"/>
          <w:szCs w:val="18"/>
          <w:i w:val="1"/>
          <w:iCs w:val="1"/>
          <w:color w:val="auto"/>
        </w:rPr>
      </w:pPr>
    </w:p>
    <w:p>
      <w:pPr>
        <w:ind w:left="560" w:hanging="552"/>
        <w:spacing w:after="0" w:line="265" w:lineRule="auto"/>
        <w:tabs>
          <w:tab w:leader="none" w:pos="560" w:val="left"/>
        </w:tabs>
        <w:numPr>
          <w:ilvl w:val="0"/>
          <w:numId w:val="26"/>
        </w:numPr>
        <w:rPr>
          <w:rFonts w:ascii="Arial" w:cs="Arial" w:eastAsia="Arial" w:hAnsi="Arial"/>
          <w:sz w:val="17"/>
          <w:szCs w:val="17"/>
          <w:i w:val="1"/>
          <w:iCs w:val="1"/>
          <w:color w:val="auto"/>
        </w:rPr>
      </w:pPr>
      <w:r>
        <w:rPr>
          <w:rFonts w:ascii="Arial" w:cs="Arial" w:eastAsia="Arial" w:hAnsi="Arial"/>
          <w:sz w:val="17"/>
          <w:szCs w:val="17"/>
          <w:color w:val="auto"/>
        </w:rPr>
        <w:t>The amounts of future cash interest payments in the table above are based on the amount outstanding on the Senior Secured Notes, Senior Unsecured Notes, term loans and revolving credit facility, as well as, estimated rates of interest over the term of the variable rate revolving credit facility and term loan. The Senior Secured Notes due in 2022 are at a fixed rate of 6.00%. The Senior Unsecured Notes due in 2026 are at a fixed rate of 5.750%. In addition, we have variable rate term loans and a revolving credit facility.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spacing w:after="0" w:line="1" w:lineRule="exact"/>
        <w:rPr>
          <w:rFonts w:ascii="Arial" w:cs="Arial" w:eastAsia="Arial" w:hAnsi="Arial"/>
          <w:sz w:val="17"/>
          <w:szCs w:val="17"/>
          <w:i w:val="1"/>
          <w:iCs w:val="1"/>
          <w:color w:val="auto"/>
        </w:rPr>
      </w:pPr>
    </w:p>
    <w:p>
      <w:pPr>
        <w:ind w:left="560" w:right="240" w:hanging="552"/>
        <w:spacing w:after="0" w:line="250" w:lineRule="auto"/>
        <w:tabs>
          <w:tab w:leader="none" w:pos="56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The value in this table represents the maximum potential payout under the revenue guarantees made by NCM LLC to its network affiliates. During 2016, NCM LLC paid $0.1 million under these agreements and no liabilities were recorded as of December 29, 2016 for these obligations. For additional details refer to the information provided under Note 12 to the audited Consolidated Financial Statements included elsewhere in this document.</w:t>
      </w:r>
    </w:p>
    <w:p>
      <w:pPr>
        <w:spacing w:after="0" w:line="1" w:lineRule="exact"/>
        <w:rPr>
          <w:rFonts w:ascii="Arial" w:cs="Arial" w:eastAsia="Arial" w:hAnsi="Arial"/>
          <w:sz w:val="18"/>
          <w:szCs w:val="18"/>
          <w:i w:val="1"/>
          <w:iCs w:val="1"/>
          <w:color w:val="auto"/>
        </w:rPr>
      </w:pPr>
    </w:p>
    <w:p>
      <w:pPr>
        <w:ind w:left="560" w:right="40" w:hanging="552"/>
        <w:spacing w:after="0" w:line="254" w:lineRule="auto"/>
        <w:tabs>
          <w:tab w:leader="none" w:pos="56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The tax receivable agreement entered into at the completion of our IPO provides for the payment by us to the founding members of 90% of the amount of cash savings, if any, in U.S. federal, state and local income tax or franchise tax that we actually realize as a result of certain increases in our proportionate share of tax basis in NCM LLC’s tangible and intangible assets. The payments to NCM LLC’s founding members are based, in part, on actual annual income and as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left="560" w:right="60"/>
        <w:spacing w:after="0" w:line="258" w:lineRule="auto"/>
        <w:rPr>
          <w:sz w:val="20"/>
          <w:szCs w:val="20"/>
          <w:color w:val="auto"/>
        </w:rPr>
      </w:pPr>
      <w:r>
        <w:rPr>
          <w:rFonts w:ascii="Arial" w:cs="Arial" w:eastAsia="Arial" w:hAnsi="Arial"/>
          <w:sz w:val="18"/>
          <w:szCs w:val="18"/>
          <w:color w:val="auto"/>
        </w:rPr>
        <w:t>such, will vary based on our operating results. The value in the table represents the estimated amounts payable under the tax receivable agreement as of December 29, 2016.</w:t>
      </w:r>
    </w:p>
    <w:p>
      <w:pPr>
        <w:spacing w:after="0" w:line="1" w:lineRule="exact"/>
        <w:rPr>
          <w:sz w:val="20"/>
          <w:szCs w:val="20"/>
          <w:color w:val="auto"/>
        </w:rPr>
      </w:pPr>
    </w:p>
    <w:p>
      <w:pPr>
        <w:ind w:left="560" w:right="480" w:hanging="552"/>
        <w:spacing w:after="0" w:line="261" w:lineRule="auto"/>
        <w:tabs>
          <w:tab w:leader="none" w:pos="56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The tax receivable agreement described in footnote 4 above was discounted and recorded at present value. The value in the table represents the estimated accretion of interest that would be due on the discounted payable as of December 29, 2016.</w:t>
      </w:r>
    </w:p>
    <w:p>
      <w:pPr>
        <w:spacing w:after="0" w:line="76"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The ESAs require payments based on a combination of founding member attendance, the number of digital screens of each founding member and the number of higher quality digital cinema systems of each NCM LLC founding member. The amount relating to the attendance factor will vary from quarter to quarter and year to year as theater attendance varies, while the amount relating to the digital screens and digital cinema systems will also vary quarter to quarter and year to year as screens are converted to digital screens, other screens are added or removed through acquisition, divestiture or closure activities of the founding members and founding members convert to the higher quality digital cinema systems. The payments made to the founding members also will vary due to the escalation of the rates paid for each factor pursuant to the amended and restated ESAs. The rate per attendee increases 8% every five years, with the next such increase taking effect for fiscal year 2017, while the rate per digital screen and digital cinema system screen increase 5% annually. The table above does not include amounts payable under the ESAs as they are based on variable factors, which are not capable of precise estimation.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60" w:firstLine="555"/>
        <w:spacing w:after="0" w:line="272"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theater industry attendance levels. Accordingly, there can be no assurances that seasonal variations will not materially affect our results of operations in the future.</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2014, 2015 and 2016:</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First</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Second</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Third</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52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CFF0FC"/>
            </w:tcBorders>
          </w:tcPr>
          <w:p>
            <w:pPr>
              <w:spacing w:after="0"/>
              <w:rPr>
                <w:sz w:val="14"/>
                <w:szCs w:val="14"/>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FY 2014</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17.8%</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25.4%</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25.6%</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31.2%</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FY 2015</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27.2%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FY 2016</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17.0%</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25.8%</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25.4%</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31.8%</w:t>
            </w:r>
          </w:p>
        </w:tc>
      </w:tr>
    </w:tbl>
    <w:p>
      <w:pPr>
        <w:spacing w:after="0" w:line="30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121"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The primary market risk to which we are exposed is interest rate risk. The Notes due 2026 and the Notes due 2022 bear interest at fixed rates, and therefore are not subject to market risk. As of December 29, 2016, the interest rate risk that we are exposed to is related to our $175.0 million revolving credit facility and our $270.0 million term loan. A 100 basis point fluctuation in market interest rates underlying our term loan and revolving credit facility would have the effect of increasing or decreasing our cash interest expense by approximately $2.9 million for an annual period on the $15.0 million and $270.0 million outstanding as of December 29, 2016 on our revolving credit facility and term loan, respectively.</w:t>
      </w:r>
    </w:p>
    <w:p>
      <w:pPr>
        <w:spacing w:after="0" w:line="6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Index to Financial Statements and Supplemental Information on page F-1.</w:t>
      </w:r>
    </w:p>
    <w:p>
      <w:pPr>
        <w:spacing w:after="0" w:line="11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u w:val="single" w:color="auto"/>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121"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i w:val="1"/>
          <w:iCs w:val="1"/>
          <w:color w:val="auto"/>
        </w:rPr>
        <w:t xml:space="preserve">Effectiveness of Disclosure Controls and Procedures. </w:t>
      </w:r>
      <w:r>
        <w:rPr>
          <w:rFonts w:ascii="Arial" w:cs="Arial" w:eastAsia="Arial" w:hAnsi="Arial"/>
          <w:sz w:val="18"/>
          <w:szCs w:val="18"/>
          <w:color w:val="auto"/>
        </w:rPr>
        <w:t>We maintain disclosure controls and procedures that are designed to ensure that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disclosed by us in the reports that we file or submit to the SEC under the Exchange Act, as amended, is recorded, processed, summarized and reported within the time periods specified by the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9" w:name="page50"/>
    <w:bookmarkEnd w:id="49"/>
    <w:p>
      <w:pPr>
        <w:ind w:right="120"/>
        <w:spacing w:after="0" w:line="276" w:lineRule="auto"/>
        <w:rPr>
          <w:sz w:val="20"/>
          <w:szCs w:val="20"/>
          <w:color w:val="auto"/>
        </w:rPr>
      </w:pPr>
      <w:r>
        <w:rPr>
          <w:rFonts w:ascii="Arial" w:cs="Arial" w:eastAsia="Arial" w:hAnsi="Arial"/>
          <w:sz w:val="17"/>
          <w:szCs w:val="17"/>
          <w:color w:val="auto"/>
        </w:rPr>
        <w:t>Commission’s rules and forms, and that information is accumulated and communicated to our management, including the Chief Executive Officer (principal executive officer) and Chief Financial Officer (principal financial officer) as appropriate to allow timely decisions regarding required disclosure. As of December 29, 2016,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December 29, 2016 were effective.</w:t>
      </w:r>
    </w:p>
    <w:p>
      <w:pPr>
        <w:spacing w:after="0" w:line="64"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Management is responsible for establishing and maintaining,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and maintains, adequate internal control over financial reporting, as such term is defined in Exchange Act Rules 13a-15(f) and 15d-15(f). As of December 29, 2016, our management evaluated, with the participation of the Chief Executive Officer (principal executive officer) and Chief Financial Officer (principal financial officer), the effectiveness of the Company’s internal control over financial reporting based on the framework in Internal Control— Integrated Framework (2013) issued by the Committee of Sponsoring Organizations of the Treadway Commission. Based on that evaluation, the Company’s management concluded that the Company’s internal control over financial reporting as of December 29, 2016 was effective.</w:t>
      </w:r>
    </w:p>
    <w:p>
      <w:pPr>
        <w:spacing w:after="0" w:line="70"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right="60" w:firstLine="555"/>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29, 2016 has been attested by the Company’s registered independent public accounting firm, Deloitte &amp; Touche LLP, as stated in its report, which appears herein.</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quarter ended December 29, 2016, that have materially affected, or are reasonably likely to materially affect, the Company’s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0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internal control over financial reporting of National CineMedia, Inc. and subsidiary (the "Company") as of December 29, 2016, based on criteria established in Internal Control — Integrated Framework (2013)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50"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6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29, 2016, based on the criteria established in Internal Control — Integrated Framework (2013) issued by the Committee of Sponsoring Organizations of the Treadway Commission.</w:t>
      </w:r>
    </w:p>
    <w:p>
      <w:pPr>
        <w:spacing w:after="0" w:line="1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29, 2016 of the Company and our report dated February 23, 2017 expressed an unqualified opinion on those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51" w:name="page52"/>
    <w:bookmarkEnd w:id="51"/>
    <w:p>
      <w:pPr>
        <w:spacing w:after="0"/>
        <w:tabs>
          <w:tab w:leader="none" w:pos="11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u w:val="single" w:color="auto"/>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Directors, Executive Officers and Corporate Governance</w:t>
      </w:r>
    </w:p>
    <w:p>
      <w:pPr>
        <w:spacing w:after="0" w:line="121"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The information required by this item with respect to our directors is incorporated herein by reference from the Proxy Statement under the heading “Proposal 1- Election of Directors.”</w:t>
      </w:r>
    </w:p>
    <w:p>
      <w:pPr>
        <w:spacing w:after="0" w:line="62"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The information required by this item regarding our executive officers is set forth in Part I of this Annual Report on Form 10-K under the heading “Executive Officers of the Registrant and is incorporated herein by this reference.”</w:t>
      </w:r>
    </w:p>
    <w:p>
      <w:pPr>
        <w:spacing w:after="0" w:line="62" w:lineRule="exact"/>
        <w:rPr>
          <w:sz w:val="20"/>
          <w:szCs w:val="20"/>
          <w:color w:val="auto"/>
        </w:rPr>
      </w:pPr>
    </w:p>
    <w:p>
      <w:pPr>
        <w:ind w:right="420" w:firstLine="555"/>
        <w:spacing w:after="0" w:line="264" w:lineRule="auto"/>
        <w:rPr>
          <w:sz w:val="20"/>
          <w:szCs w:val="20"/>
          <w:color w:val="auto"/>
        </w:rPr>
      </w:pPr>
      <w:r>
        <w:rPr>
          <w:rFonts w:ascii="Arial" w:cs="Arial" w:eastAsia="Arial" w:hAnsi="Arial"/>
          <w:sz w:val="18"/>
          <w:szCs w:val="18"/>
          <w:color w:val="auto"/>
        </w:rPr>
        <w:t>Information regarding compliance with Section 16(a) of the Exchange Act by our directors and executive officers and holders of ten percent of a registered class of our equity securities is incorporated in this item by reference from the Proxy Statement under the heading “Section 16(a) Beneficial Ownership Reporting Compliance.”</w:t>
      </w:r>
    </w:p>
    <w:p>
      <w:pPr>
        <w:spacing w:after="0" w:line="73"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 xml:space="preserve">Our Board adopted a Code of Business Conduct and Ethics that applies to all of our employees, including our Board of Directors, Chief Executive Officer and principal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6"/>
          <w:szCs w:val="16"/>
          <w:i w:val="1"/>
          <w:iCs w:val="1"/>
          <w:color w:val="auto"/>
        </w:rPr>
        <w:t>ncm.com</w:t>
      </w:r>
      <w:r>
        <w:rPr>
          <w:rFonts w:ascii="Arial" w:cs="Arial" w:eastAsia="Arial" w:hAnsi="Arial"/>
          <w:sz w:val="16"/>
          <w:szCs w:val="16"/>
          <w:color w:val="auto"/>
        </w:rPr>
        <w:t xml:space="preserve"> under the tab “Investor Relations– Corporate Governance.” We intend to post on our website any amendments to, or waivers from our Code of Business Conduct and Ethics applicable to senior financial executives.</w:t>
      </w:r>
    </w:p>
    <w:p>
      <w:pPr>
        <w:spacing w:after="0" w:line="4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u w:val="single" w:color="auto"/>
          <w:color w:val="auto"/>
        </w:rPr>
        <w:t>Executive Compensation</w:t>
      </w:r>
    </w:p>
    <w:p>
      <w:pPr>
        <w:spacing w:after="0" w:line="121"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The information required by this item regarding compensation of executive officers and directors is incorporated herein by reference from the Proxy Statement under the headings “Compensation of Executive Officers,” “Compensation Committee Report” and “Compensation Committee Interlocks and Insider Participation”.</w:t>
      </w:r>
    </w:p>
    <w:p>
      <w:pPr>
        <w:spacing w:after="0" w:line="6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u w:val="single" w:color="auto"/>
          <w:color w:val="auto"/>
        </w:rPr>
        <w:t>Security Ownership of Certain Beneficial Owners and Management and Related Stockholder Matters</w:t>
      </w:r>
    </w:p>
    <w:p>
      <w:pPr>
        <w:spacing w:after="0" w:line="121" w:lineRule="exact"/>
        <w:rPr>
          <w:sz w:val="20"/>
          <w:szCs w:val="20"/>
          <w:color w:val="auto"/>
        </w:rPr>
      </w:pPr>
    </w:p>
    <w:p>
      <w:pPr>
        <w:ind w:right="80" w:firstLine="555"/>
        <w:spacing w:after="0" w:line="308" w:lineRule="auto"/>
        <w:rPr>
          <w:sz w:val="20"/>
          <w:szCs w:val="20"/>
          <w:color w:val="auto"/>
        </w:rPr>
      </w:pPr>
      <w:r>
        <w:rPr>
          <w:rFonts w:ascii="Arial" w:cs="Arial" w:eastAsia="Arial" w:hAnsi="Arial"/>
          <w:sz w:val="17"/>
          <w:szCs w:val="17"/>
          <w:color w:val="auto"/>
        </w:rPr>
        <w:t>For information with respect to the security ownership of directors, executive officers and holders of more than 5% of a class of our voting securities, refer to the Proxy Statement under the heading “Beneficial Ownership,” which information is incorporated herein by reference.</w:t>
      </w:r>
    </w:p>
    <w:p>
      <w:pPr>
        <w:spacing w:after="0" w:line="38" w:lineRule="exact"/>
        <w:rPr>
          <w:sz w:val="20"/>
          <w:szCs w:val="20"/>
          <w:color w:val="auto"/>
        </w:rPr>
      </w:pPr>
    </w:p>
    <w:p>
      <w:pPr>
        <w:ind w:right="900" w:firstLine="555"/>
        <w:spacing w:after="0" w:line="277" w:lineRule="auto"/>
        <w:rPr>
          <w:sz w:val="20"/>
          <w:szCs w:val="20"/>
          <w:color w:val="auto"/>
        </w:rPr>
      </w:pPr>
      <w:r>
        <w:rPr>
          <w:rFonts w:ascii="Arial" w:cs="Arial" w:eastAsia="Arial" w:hAnsi="Arial"/>
          <w:sz w:val="18"/>
          <w:szCs w:val="18"/>
          <w:color w:val="auto"/>
        </w:rPr>
        <w:t>For Equity Incentive Plan information, refer to the Proxy Statement under the heading “Equity Compensation Plan”, which information is incorporated herein by reference.</w:t>
      </w:r>
    </w:p>
    <w:p>
      <w:pPr>
        <w:spacing w:after="0" w:line="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u w:val="single" w:color="auto"/>
          <w:color w:val="auto"/>
        </w:rPr>
        <w:t>Certain Relationships and Related Transactions, and Director Independence</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For information with respect to certain relationships and related transactions, refer to the Proxy Statement under the heading “Certain Relationships and Related Party Transactions,” which information is incorporated herein by reference.</w:t>
      </w:r>
    </w:p>
    <w:p>
      <w:pPr>
        <w:spacing w:after="0" w:line="62"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For information with respect to director independence, refer to the Proxy Statement under the heading “Proposal 1- Election of Directors,” which information is incorporated herein by reference.</w:t>
      </w:r>
    </w:p>
    <w:p>
      <w:pPr>
        <w:spacing w:after="0" w:line="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u w:val="single" w:color="auto"/>
          <w:color w:val="auto"/>
        </w:rPr>
        <w:t>Principal Accounting Fees and Services</w:t>
      </w:r>
    </w:p>
    <w:p>
      <w:pPr>
        <w:spacing w:after="0" w:line="121" w:lineRule="exact"/>
        <w:rPr>
          <w:sz w:val="20"/>
          <w:szCs w:val="20"/>
          <w:color w:val="auto"/>
        </w:rPr>
      </w:pPr>
    </w:p>
    <w:p>
      <w:pPr>
        <w:ind w:right="540" w:firstLine="555"/>
        <w:spacing w:after="0" w:line="277" w:lineRule="auto"/>
        <w:rPr>
          <w:sz w:val="20"/>
          <w:szCs w:val="20"/>
          <w:color w:val="auto"/>
        </w:rPr>
      </w:pPr>
      <w:r>
        <w:rPr>
          <w:rFonts w:ascii="Arial" w:cs="Arial" w:eastAsia="Arial" w:hAnsi="Arial"/>
          <w:sz w:val="18"/>
          <w:szCs w:val="18"/>
          <w:color w:val="auto"/>
        </w:rPr>
        <w:t>The information required by this item with respect to principal accounting fees and services is incorporated herein by reference from the Proxy Statement under the heading “Fees Paid to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u w:val="single" w:color="auto"/>
          <w:color w:val="auto"/>
        </w:rPr>
        <w:t>Exhibits, Financial Statement Schedules</w:t>
      </w:r>
    </w:p>
    <w:p>
      <w:pPr>
        <w:spacing w:after="0" w:line="121" w:lineRule="exact"/>
        <w:rPr>
          <w:sz w:val="20"/>
          <w:szCs w:val="20"/>
          <w:color w:val="auto"/>
        </w:rPr>
      </w:pPr>
    </w:p>
    <w:p>
      <w:pPr>
        <w:ind w:left="1100" w:right="5580" w:hanging="537"/>
        <w:spacing w:after="0" w:line="397" w:lineRule="auto"/>
        <w:tabs>
          <w:tab w:leader="none" w:pos="862" w:val="left"/>
        </w:tabs>
        <w:numPr>
          <w:ilvl w:val="0"/>
          <w:numId w:val="28"/>
        </w:numPr>
        <w:rPr>
          <w:rFonts w:ascii="Arial" w:cs="Arial" w:eastAsia="Arial" w:hAnsi="Arial"/>
          <w:sz w:val="17"/>
          <w:szCs w:val="17"/>
          <w:color w:val="auto"/>
        </w:rPr>
      </w:pPr>
      <w:r>
        <w:rPr>
          <w:rFonts w:ascii="Arial" w:cs="Arial" w:eastAsia="Arial" w:hAnsi="Arial"/>
          <w:sz w:val="17"/>
          <w:szCs w:val="17"/>
          <w:color w:val="auto"/>
        </w:rPr>
        <w:t>(1) and (a) (2) Financial statements and financial statement schedules Refer to Index to Financial Statements on page F-1.</w:t>
      </w:r>
    </w:p>
    <w:p>
      <w:pPr>
        <w:spacing w:after="0" w:line="1" w:lineRule="exact"/>
        <w:rPr>
          <w:rFonts w:ascii="Arial" w:cs="Arial" w:eastAsia="Arial" w:hAnsi="Arial"/>
          <w:sz w:val="17"/>
          <w:szCs w:val="17"/>
          <w:color w:val="auto"/>
        </w:rPr>
      </w:pPr>
    </w:p>
    <w:p>
      <w:pPr>
        <w:ind w:left="860" w:hanging="297"/>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Refer to Exhibit Index, beginning on page 56.</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 Financial Statement Schedules</w:t>
      </w:r>
    </w:p>
    <w:p>
      <w:pPr>
        <w:spacing w:after="0" w:line="117" w:lineRule="exact"/>
        <w:rPr>
          <w:sz w:val="20"/>
          <w:szCs w:val="20"/>
          <w:color w:val="auto"/>
        </w:rPr>
      </w:pPr>
    </w:p>
    <w:p>
      <w:pPr>
        <w:ind w:left="1120"/>
        <w:spacing w:after="0" w:line="277" w:lineRule="auto"/>
        <w:rPr>
          <w:sz w:val="20"/>
          <w:szCs w:val="20"/>
          <w:color w:val="auto"/>
        </w:rPr>
      </w:pPr>
      <w:r>
        <w:rPr>
          <w:rFonts w:ascii="Arial" w:cs="Arial" w:eastAsia="Arial" w:hAnsi="Arial"/>
          <w:sz w:val="18"/>
          <w:szCs w:val="18"/>
          <w:color w:val="auto"/>
        </w:rPr>
        <w:t>Financial Statement Schedules not included herein have been omitted because they are either not required, not applicable, or the information is otherwise included herein.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NATIONAL CINEMEDIA, INC.</w:t>
            </w:r>
          </w:p>
        </w:tc>
      </w:tr>
      <w:tr>
        <w:trPr>
          <w:trHeight w:val="230"/>
        </w:trPr>
        <w:tc>
          <w:tcPr>
            <w:tcW w:w="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(Registrant)</w:t>
            </w: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Dated:</w:t>
            </w:r>
          </w:p>
        </w:tc>
        <w:tc>
          <w:tcPr>
            <w:tcW w:w="6380" w:type="dxa"/>
            <w:vAlign w:val="bottom"/>
            <w:gridSpan w:val="2"/>
          </w:tcPr>
          <w:p>
            <w:pPr>
              <w:spacing w:after="0"/>
              <w:rPr>
                <w:sz w:val="20"/>
                <w:szCs w:val="20"/>
                <w:color w:val="auto"/>
              </w:rPr>
            </w:pPr>
            <w:r>
              <w:rPr>
                <w:rFonts w:ascii="Arial" w:cs="Arial" w:eastAsia="Arial" w:hAnsi="Arial"/>
                <w:sz w:val="18"/>
                <w:szCs w:val="18"/>
                <w:color w:val="auto"/>
              </w:rPr>
              <w:t>February 24, 2017</w:t>
            </w:r>
          </w:p>
        </w:tc>
        <w:tc>
          <w:tcPr>
            <w:tcW w:w="4220" w:type="dxa"/>
            <w:vAlign w:val="bottom"/>
          </w:tcPr>
          <w:p>
            <w:pPr>
              <w:spacing w:after="0"/>
              <w:rPr>
                <w:sz w:val="20"/>
                <w:szCs w:val="20"/>
                <w:color w:val="auto"/>
              </w:rPr>
            </w:pPr>
            <w:r>
              <w:rPr>
                <w:rFonts w:ascii="Arial" w:cs="Arial" w:eastAsia="Arial" w:hAnsi="Arial"/>
                <w:sz w:val="18"/>
                <w:szCs w:val="18"/>
                <w:color w:val="auto"/>
              </w:rPr>
              <w:t>/s/ Andrew J. England</w:t>
            </w:r>
          </w:p>
        </w:tc>
      </w:tr>
      <w:tr>
        <w:trPr>
          <w:trHeight w:val="195"/>
        </w:trPr>
        <w:tc>
          <w:tcPr>
            <w:tcW w:w="820" w:type="dxa"/>
            <w:vAlign w:val="bottom"/>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40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Andrew J. England</w:t>
            </w:r>
          </w:p>
        </w:tc>
      </w:tr>
      <w:tr>
        <w:trPr>
          <w:trHeight w:val="216"/>
        </w:trPr>
        <w:tc>
          <w:tcPr>
            <w:tcW w:w="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Dated:</w:t>
            </w:r>
          </w:p>
        </w:tc>
        <w:tc>
          <w:tcPr>
            <w:tcW w:w="6380" w:type="dxa"/>
            <w:vAlign w:val="bottom"/>
            <w:gridSpan w:val="2"/>
          </w:tcPr>
          <w:p>
            <w:pPr>
              <w:spacing w:after="0"/>
              <w:rPr>
                <w:sz w:val="20"/>
                <w:szCs w:val="20"/>
                <w:color w:val="auto"/>
              </w:rPr>
            </w:pPr>
            <w:r>
              <w:rPr>
                <w:rFonts w:ascii="Arial" w:cs="Arial" w:eastAsia="Arial" w:hAnsi="Arial"/>
                <w:sz w:val="18"/>
                <w:szCs w:val="18"/>
                <w:color w:val="auto"/>
              </w:rPr>
              <w:t>February 24, 2017</w:t>
            </w:r>
          </w:p>
        </w:tc>
        <w:tc>
          <w:tcPr>
            <w:tcW w:w="4220" w:type="dxa"/>
            <w:vAlign w:val="bottom"/>
          </w:tcPr>
          <w:p>
            <w:pPr>
              <w:spacing w:after="0"/>
              <w:rPr>
                <w:sz w:val="20"/>
                <w:szCs w:val="20"/>
                <w:color w:val="auto"/>
              </w:rPr>
            </w:pPr>
            <w:r>
              <w:rPr>
                <w:rFonts w:ascii="Arial" w:cs="Arial" w:eastAsia="Arial" w:hAnsi="Arial"/>
                <w:sz w:val="18"/>
                <w:szCs w:val="18"/>
                <w:color w:val="auto"/>
              </w:rPr>
              <w:t>/s/ Katherine L. Scherping</w:t>
            </w:r>
          </w:p>
        </w:tc>
      </w:tr>
      <w:tr>
        <w:trPr>
          <w:trHeight w:val="195"/>
        </w:trPr>
        <w:tc>
          <w:tcPr>
            <w:tcW w:w="820" w:type="dxa"/>
            <w:vAlign w:val="bottom"/>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40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Katherine L. Scherping</w:t>
            </w:r>
          </w:p>
        </w:tc>
      </w:tr>
      <w:tr>
        <w:trPr>
          <w:trHeight w:val="216"/>
        </w:trPr>
        <w:tc>
          <w:tcPr>
            <w:tcW w:w="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ind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00"/>
          </w:cols>
          <w:pgMar w:left="240" w:top="557" w:right="659" w:bottom="1440" w:gutter="0" w:footer="0" w:header="0"/>
        </w:sectPr>
      </w:pPr>
    </w:p>
    <w:p>
      <w:pPr>
        <w:spacing w:after="0" w:line="166"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473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Katherine L. Scherping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Scott N. Schneider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N.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Peter B. Brandow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B. Brandow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Lawrence A. Goodman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A.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David R. Haas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R.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Stephen L. Lanning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L. 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Thomas F. Lesinski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Paula Williams Madison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Paula Williams Madison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Lee Roy Mitchell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 Roy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9927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Executive Chairman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12433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2017</w:t>
      </w:r>
    </w:p>
    <w:p>
      <w:pPr>
        <w:spacing w:after="0" w:line="345" w:lineRule="exact"/>
        <w:rPr>
          <w:sz w:val="20"/>
          <w:szCs w:val="20"/>
          <w:color w:val="auto"/>
        </w:rPr>
      </w:pPr>
    </w:p>
    <w:p>
      <w:pPr>
        <w:sectPr>
          <w:pgSz w:w="11900" w:h="16838" w:orient="portrait"/>
          <w:cols w:equalWidth="0" w:num="3">
            <w:col w:w="3900" w:space="720"/>
            <w:col w:w="4120" w:space="720"/>
            <w:col w:w="1540"/>
          </w:cols>
          <w:pgMar w:left="240" w:top="557"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557" w:right="6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260" w:type="dxa"/>
            <w:vAlign w:val="bottom"/>
          </w:tcPr>
          <w:p>
            <w:pPr>
              <w:spacing w:after="0"/>
              <w:rPr>
                <w:sz w:val="15"/>
                <w:szCs w:val="15"/>
                <w:color w:val="auto"/>
              </w:rPr>
            </w:pPr>
          </w:p>
        </w:tc>
        <w:tc>
          <w:tcPr>
            <w:tcW w:w="6000" w:type="dxa"/>
            <w:vAlign w:val="bottom"/>
            <w:gridSpan w:val="5"/>
          </w:tcPr>
          <w:p>
            <w:pPr>
              <w:ind w:left="160"/>
              <w:spacing w:after="0"/>
              <w:rPr>
                <w:sz w:val="20"/>
                <w:szCs w:val="20"/>
                <w:color w:val="auto"/>
              </w:rPr>
            </w:pPr>
            <w:r>
              <w:rPr>
                <w:rFonts w:ascii="Arial" w:cs="Arial" w:eastAsia="Arial" w:hAnsi="Arial"/>
                <w:sz w:val="14"/>
                <w:szCs w:val="14"/>
                <w:b w:val="1"/>
                <w:bCs w:val="1"/>
                <w:color w:val="auto"/>
              </w:rPr>
              <w:t>Ref.  Description</w:t>
            </w:r>
          </w:p>
        </w:tc>
      </w:tr>
      <w:tr>
        <w:trPr>
          <w:trHeight w:val="27"/>
        </w:trPr>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740" w:type="dxa"/>
            <w:vAlign w:val="bottom"/>
          </w:tcPr>
          <w:p>
            <w:pPr>
              <w:spacing w:after="0"/>
              <w:rPr>
                <w:sz w:val="2"/>
                <w:szCs w:val="2"/>
                <w:color w:val="auto"/>
              </w:rPr>
            </w:pPr>
          </w:p>
        </w:tc>
      </w:tr>
      <w:tr>
        <w:trPr>
          <w:trHeight w:val="338"/>
        </w:trPr>
        <w:tc>
          <w:tcPr>
            <w:tcW w:w="460" w:type="dxa"/>
            <w:vAlign w:val="bottom"/>
          </w:tcPr>
          <w:p>
            <w:pPr>
              <w:ind w:left="14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Amended and Restated Certificate of Incorporation.</w:t>
            </w:r>
          </w:p>
        </w:tc>
      </w:tr>
      <w:tr>
        <w:trPr>
          <w:trHeight w:val="513"/>
        </w:trPr>
        <w:tc>
          <w:tcPr>
            <w:tcW w:w="460" w:type="dxa"/>
            <w:vAlign w:val="bottom"/>
          </w:tcPr>
          <w:p>
            <w:pPr>
              <w:ind w:left="14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w:t>
            </w:r>
          </w:p>
        </w:tc>
      </w:tr>
      <w:tr>
        <w:trPr>
          <w:trHeight w:val="323"/>
        </w:trPr>
        <w:tc>
          <w:tcPr>
            <w:tcW w:w="460" w:type="dxa"/>
            <w:vAlign w:val="bottom"/>
          </w:tcPr>
          <w:p>
            <w:pPr>
              <w:ind w:left="14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3"/>
              </w:rPr>
              <w:t>Indenture, dated as of July 5, 2011, by and between National CineMedia,</w:t>
            </w:r>
          </w:p>
        </w:tc>
      </w:tr>
      <w:tr>
        <w:trPr>
          <w:trHeight w:val="230"/>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LLC and Wells Fargo Bank, National Association, as trustee.</w:t>
            </w:r>
          </w:p>
        </w:tc>
      </w:tr>
      <w:tr>
        <w:trPr>
          <w:trHeight w:val="338"/>
        </w:trPr>
        <w:tc>
          <w:tcPr>
            <w:tcW w:w="460" w:type="dxa"/>
            <w:vAlign w:val="bottom"/>
          </w:tcPr>
          <w:p>
            <w:pPr>
              <w:ind w:left="14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Form of 7.875% Senior Notes due 2021 (included in Exhibit 4.1).</w:t>
            </w:r>
          </w:p>
        </w:tc>
      </w:tr>
      <w:tr>
        <w:trPr>
          <w:trHeight w:val="323"/>
        </w:trPr>
        <w:tc>
          <w:tcPr>
            <w:tcW w:w="460" w:type="dxa"/>
            <w:vAlign w:val="bottom"/>
          </w:tcPr>
          <w:p>
            <w:pPr>
              <w:ind w:left="14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2"/>
              </w:rPr>
              <w:t>Registration Rights Agreement, dated as of July 5, 2011, by and between</w:t>
            </w:r>
          </w:p>
        </w:tc>
      </w:tr>
      <w:tr>
        <w:trPr>
          <w:trHeight w:val="216"/>
        </w:trPr>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National CineMedia, LLC and J.P. Morgan Securities LLC, as a</w:t>
            </w:r>
          </w:p>
        </w:tc>
      </w:tr>
      <w:tr>
        <w:trPr>
          <w:trHeight w:val="230"/>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representative of the Initial Purchasers named therein.</w:t>
            </w:r>
          </w:p>
        </w:tc>
      </w:tr>
      <w:tr>
        <w:trPr>
          <w:trHeight w:val="323"/>
        </w:trPr>
        <w:tc>
          <w:tcPr>
            <w:tcW w:w="460" w:type="dxa"/>
            <w:vAlign w:val="bottom"/>
          </w:tcPr>
          <w:p>
            <w:pPr>
              <w:ind w:left="14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1"/>
              </w:rPr>
              <w:t>Indenture, dated as of April 27, 2012, by and between National CineMedia,</w:t>
            </w:r>
          </w:p>
        </w:tc>
      </w:tr>
      <w:tr>
        <w:trPr>
          <w:trHeight w:val="230"/>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LLC and Wells Fargo Bank, National Association, as trustee.</w:t>
            </w:r>
          </w:p>
        </w:tc>
      </w:tr>
      <w:tr>
        <w:trPr>
          <w:trHeight w:val="338"/>
        </w:trPr>
        <w:tc>
          <w:tcPr>
            <w:tcW w:w="460" w:type="dxa"/>
            <w:vAlign w:val="bottom"/>
          </w:tcPr>
          <w:p>
            <w:pPr>
              <w:ind w:left="14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2"/>
              </w:rPr>
              <w:t>Form of 6.000% Senior Secured Notes due 2022 (included in Exhibit 4.4).</w:t>
            </w:r>
          </w:p>
        </w:tc>
      </w:tr>
      <w:tr>
        <w:trPr>
          <w:trHeight w:val="323"/>
        </w:trPr>
        <w:tc>
          <w:tcPr>
            <w:tcW w:w="460" w:type="dxa"/>
            <w:vAlign w:val="bottom"/>
          </w:tcPr>
          <w:p>
            <w:pPr>
              <w:ind w:left="14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0"/>
              </w:rPr>
              <w:t>Registration Rights Agreement, dated as of April 27, 2012, by and between</w:t>
            </w:r>
          </w:p>
        </w:tc>
      </w:tr>
      <w:tr>
        <w:trPr>
          <w:trHeight w:val="216"/>
        </w:trPr>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4"/>
              </w:rPr>
              <w:t>National CineMedia, LLC and Barclays Capital Inc., as representative of</w:t>
            </w:r>
          </w:p>
        </w:tc>
      </w:tr>
      <w:tr>
        <w:trPr>
          <w:trHeight w:val="230"/>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the Initial Purchasers named therein.</w:t>
            </w:r>
          </w:p>
        </w:tc>
      </w:tr>
      <w:tr>
        <w:trPr>
          <w:trHeight w:val="323"/>
        </w:trPr>
        <w:tc>
          <w:tcPr>
            <w:tcW w:w="460" w:type="dxa"/>
            <w:vAlign w:val="bottom"/>
          </w:tcPr>
          <w:p>
            <w:pPr>
              <w:ind w:left="14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Indenture, dated as of August 19, 2016, by and between National</w:t>
            </w:r>
          </w:p>
        </w:tc>
      </w:tr>
      <w:tr>
        <w:trPr>
          <w:trHeight w:val="230"/>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3"/>
              </w:rPr>
              <w:t>CineMedia, LLC and Wells Fargo Bank, National Association, as trustee.</w:t>
            </w:r>
          </w:p>
        </w:tc>
      </w:tr>
      <w:tr>
        <w:trPr>
          <w:trHeight w:val="338"/>
        </w:trPr>
        <w:tc>
          <w:tcPr>
            <w:tcW w:w="460" w:type="dxa"/>
            <w:vAlign w:val="bottom"/>
          </w:tcPr>
          <w:p>
            <w:pPr>
              <w:ind w:left="14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2"/>
              </w:rPr>
              <w:t>Form of 5.750% Senior Secured Notes due 2026 (included in Exhibit 4.1).</w:t>
            </w:r>
          </w:p>
        </w:tc>
      </w:tr>
      <w:tr>
        <w:trPr>
          <w:trHeight w:val="323"/>
        </w:trPr>
        <w:tc>
          <w:tcPr>
            <w:tcW w:w="460" w:type="dxa"/>
            <w:vAlign w:val="bottom"/>
          </w:tcPr>
          <w:p>
            <w:pPr>
              <w:ind w:left="14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9"/>
              </w:rPr>
              <w:t>Registration Rights Agreement, dated as of August 19, 2016, by and</w:t>
            </w:r>
          </w:p>
        </w:tc>
      </w:tr>
      <w:tr>
        <w:trPr>
          <w:trHeight w:val="216"/>
        </w:trPr>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6"/>
              </w:rPr>
              <w:t>between National CineMedia, LLC and J.P. Morgan Securities LLC, as</w:t>
            </w:r>
          </w:p>
        </w:tc>
      </w:tr>
      <w:tr>
        <w:trPr>
          <w:trHeight w:val="230"/>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representative of the Initial Purchasers named therein.</w:t>
            </w:r>
          </w:p>
        </w:tc>
      </w:tr>
      <w:tr>
        <w:trPr>
          <w:trHeight w:val="323"/>
        </w:trPr>
        <w:tc>
          <w:tcPr>
            <w:tcW w:w="460" w:type="dxa"/>
            <w:vAlign w:val="bottom"/>
          </w:tcPr>
          <w:p>
            <w:pPr>
              <w:ind w:left="140"/>
              <w:spacing w:after="0"/>
              <w:rPr>
                <w:sz w:val="20"/>
                <w:szCs w:val="20"/>
                <w:color w:val="auto"/>
              </w:rPr>
            </w:pPr>
            <w:r>
              <w:rPr>
                <w:rFonts w:ascii="Arial" w:cs="Arial" w:eastAsia="Arial" w:hAnsi="Arial"/>
                <w:sz w:val="18"/>
                <w:szCs w:val="18"/>
                <w:color w:val="auto"/>
                <w:w w:val="85"/>
              </w:rPr>
              <w:t>10.1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5"/>
              </w:rPr>
              <w:t>National CineMedia, LLC Third Amended and Restated Limited Liability</w:t>
            </w:r>
          </w:p>
        </w:tc>
      </w:tr>
      <w:tr>
        <w:trPr>
          <w:trHeight w:val="216"/>
        </w:trPr>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6"/>
              </w:rPr>
              <w:t>Company Operating Agreement dated as of February 13, 2007, by and</w:t>
            </w:r>
          </w:p>
        </w:tc>
      </w:tr>
      <w:tr>
        <w:trPr>
          <w:trHeight w:val="216"/>
        </w:trPr>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among American Multi-Cinema, Inc., Cinemark Media, Inc., Regal</w:t>
            </w:r>
          </w:p>
        </w:tc>
      </w:tr>
      <w:tr>
        <w:trPr>
          <w:trHeight w:val="230"/>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CineMedia Holdings, LLC and National CineMedia, Inc.</w:t>
            </w:r>
          </w:p>
        </w:tc>
      </w:tr>
      <w:tr>
        <w:trPr>
          <w:trHeight w:val="323"/>
        </w:trPr>
        <w:tc>
          <w:tcPr>
            <w:tcW w:w="72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First Amendment to Third Amended and Restated Limited Liability</w:t>
            </w:r>
          </w:p>
        </w:tc>
      </w:tr>
      <w:tr>
        <w:trPr>
          <w:trHeight w:val="230"/>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4"/>
              </w:rPr>
              <w:t>Company Operating Agreement of National CineMedia, LLC dated as of</w:t>
            </w:r>
          </w:p>
        </w:tc>
      </w:tr>
    </w:tbl>
    <w:p>
      <w:pPr>
        <w:ind w:left="1320"/>
        <w:spacing w:after="0" w:line="323" w:lineRule="auto"/>
        <w:rPr>
          <w:sz w:val="20"/>
          <w:szCs w:val="20"/>
          <w:color w:val="auto"/>
        </w:rPr>
      </w:pPr>
      <w:r>
        <w:rPr>
          <w:rFonts w:ascii="Arial" w:cs="Arial" w:eastAsia="Arial" w:hAnsi="Arial"/>
          <w:sz w:val="16"/>
          <w:szCs w:val="16"/>
          <w:color w:val="auto"/>
        </w:rPr>
        <w:t>March 16, 2009, by and among American Multi-Cinema, Inc., Cinemark Media, Inc., Regal CineMedia Holdings, LLC and National CineMedia, Inc.</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Form</w:t>
            </w:r>
          </w:p>
        </w:tc>
        <w:tc>
          <w:tcPr>
            <w:tcW w:w="13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840" w:type="dxa"/>
            <w:vAlign w:val="bottom"/>
            <w:tcBorders>
              <w:top w:val="single" w:sz="8" w:color="auto"/>
            </w:tcBorders>
            <w:gridSpan w:val="2"/>
            <w:vMerge w:val="continue"/>
          </w:tcPr>
          <w:p>
            <w:pPr>
              <w:spacing w:after="0"/>
              <w:rPr>
                <w:sz w:val="11"/>
                <w:szCs w:val="11"/>
                <w:color w:val="auto"/>
              </w:rPr>
            </w:pPr>
          </w:p>
        </w:tc>
        <w:tc>
          <w:tcPr>
            <w:tcW w:w="1300" w:type="dxa"/>
            <w:vAlign w:val="bottom"/>
            <w:tcBorders>
              <w:top w:val="single" w:sz="8" w:color="auto"/>
            </w:tcBorders>
            <w:gridSpan w:val="2"/>
            <w:vMerge w:val="continue"/>
          </w:tcPr>
          <w:p>
            <w:pPr>
              <w:spacing w:after="0"/>
              <w:rPr>
                <w:sz w:val="11"/>
                <w:szCs w:val="11"/>
                <w:color w:val="auto"/>
              </w:rPr>
            </w:pPr>
          </w:p>
        </w:tc>
        <w:tc>
          <w:tcPr>
            <w:tcW w:w="760" w:type="dxa"/>
            <w:vAlign w:val="bottom"/>
            <w:tcBorders>
              <w:top w:val="single" w:sz="8" w:color="auto"/>
            </w:tcBorders>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5/6/2011</w:t>
            </w:r>
          </w:p>
        </w:tc>
        <w:tc>
          <w:tcPr>
            <w:tcW w:w="0" w:type="dxa"/>
            <w:vAlign w:val="bottom"/>
          </w:tcPr>
          <w:p>
            <w:pPr>
              <w:spacing w:after="0"/>
              <w:rPr>
                <w:sz w:val="1"/>
                <w:szCs w:val="1"/>
                <w:color w:val="auto"/>
              </w:rPr>
            </w:pPr>
          </w:p>
        </w:tc>
      </w:tr>
      <w:tr>
        <w:trPr>
          <w:trHeight w:val="513"/>
        </w:trPr>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7/7/2011</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7/7/2011</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7/7/2011</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4/30/2012</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4/30/2012</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4/30/2012</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8/19/2016</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8/19/2016</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8/19/2016</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986"/>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10.1.1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8/7/2009</w:t>
            </w:r>
          </w:p>
        </w:tc>
        <w:tc>
          <w:tcPr>
            <w:tcW w:w="0" w:type="dxa"/>
            <w:vAlign w:val="bottom"/>
          </w:tcPr>
          <w:p>
            <w:pPr>
              <w:spacing w:after="0"/>
              <w:rPr>
                <w:sz w:val="1"/>
                <w:szCs w:val="1"/>
                <w:color w:val="auto"/>
              </w:rPr>
            </w:pPr>
          </w:p>
        </w:tc>
      </w:tr>
    </w:tbl>
    <w:p>
      <w:pPr>
        <w:sectPr>
          <w:pgSz w:w="11900" w:h="16838" w:orient="portrait"/>
          <w:cols w:equalWidth="0" w:num="2">
            <w:col w:w="6820" w:space="0"/>
            <w:col w:w="4580"/>
          </w:cols>
          <w:pgMar w:left="240" w:top="337" w:right="259" w:bottom="1440" w:gutter="0" w:footer="0" w:header="0"/>
        </w:sectPr>
      </w:pPr>
    </w:p>
    <w:bookmarkStart w:id="56" w:name="page57"/>
    <w:bookmarkEnd w:id="56"/>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6080" w:type="dxa"/>
            <w:vAlign w:val="bottom"/>
            <w:gridSpan w:val="5"/>
          </w:tcPr>
          <w:p>
            <w:pPr>
              <w:jc w:val="right"/>
              <w:ind w:right="4710"/>
              <w:spacing w:after="0"/>
              <w:rPr>
                <w:sz w:val="20"/>
                <w:szCs w:val="20"/>
                <w:color w:val="auto"/>
              </w:rPr>
            </w:pPr>
            <w:r>
              <w:rPr>
                <w:rFonts w:ascii="Arial" w:cs="Arial" w:eastAsia="Arial" w:hAnsi="Arial"/>
                <w:sz w:val="14"/>
                <w:szCs w:val="14"/>
                <w:b w:val="1"/>
                <w:bCs w:val="1"/>
                <w:color w:val="auto"/>
              </w:rPr>
              <w:t>Ref.  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tcBorders>
              <w:top w:val="single" w:sz="8" w:color="auto"/>
            </w:tcBorders>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0" w:type="dxa"/>
            <w:vAlign w:val="bottom"/>
            <w:vMerge w:val="restart"/>
          </w:tcPr>
          <w:p>
            <w:pPr>
              <w:jc w:val="right"/>
              <w:ind w:right="330"/>
              <w:spacing w:after="0"/>
              <w:rPr>
                <w:sz w:val="20"/>
                <w:szCs w:val="20"/>
                <w:color w:val="auto"/>
              </w:rPr>
            </w:pPr>
            <w:r>
              <w:rPr>
                <w:rFonts w:ascii="Arial" w:cs="Arial" w:eastAsia="Arial" w:hAnsi="Arial"/>
                <w:sz w:val="18"/>
                <w:szCs w:val="18"/>
                <w:color w:val="auto"/>
                <w:w w:val="89"/>
              </w:rPr>
              <w:t>Amendment to Third Amended and Restated Limited Liability</w:t>
            </w: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8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10.1.2</w:t>
            </w:r>
          </w:p>
        </w:tc>
        <w:tc>
          <w:tcPr>
            <w:tcW w:w="1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tcPr>
          <w:p>
            <w:pPr>
              <w:spacing w:after="0" w:line="189" w:lineRule="exact"/>
              <w:rPr>
                <w:sz w:val="20"/>
                <w:szCs w:val="20"/>
                <w:color w:val="auto"/>
              </w:rPr>
            </w:pPr>
            <w:r>
              <w:rPr>
                <w:rFonts w:ascii="Arial" w:cs="Arial" w:eastAsia="Arial" w:hAnsi="Arial"/>
                <w:sz w:val="18"/>
                <w:szCs w:val="18"/>
                <w:color w:val="auto"/>
              </w:rPr>
              <w:t>Second</w:t>
            </w:r>
          </w:p>
        </w:tc>
        <w:tc>
          <w:tcPr>
            <w:tcW w:w="4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5"/>
              </w:rPr>
              <w:t>Company Operating Agreement of National CineMedia, LLC dated 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7"/>
              </w:rPr>
              <w:t>August 6, 2010, by and among American Multi-Cinema, Inc., Cinemark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2"/>
              </w:rPr>
              <w:t>Media, Inc., Regal CineMedia Holdings, LLC and National CineMedia, Inc.</w:t>
            </w:r>
          </w:p>
        </w:tc>
        <w:tc>
          <w:tcPr>
            <w:tcW w:w="0" w:type="dxa"/>
            <w:vAlign w:val="bottom"/>
          </w:tcPr>
          <w:p>
            <w:pPr>
              <w:spacing w:after="0"/>
              <w:rPr>
                <w:sz w:val="1"/>
                <w:szCs w:val="1"/>
                <w:color w:val="auto"/>
              </w:rPr>
            </w:pPr>
          </w:p>
        </w:tc>
      </w:tr>
      <w:tr>
        <w:trPr>
          <w:trHeight w:val="323"/>
        </w:trPr>
        <w:tc>
          <w:tcPr>
            <w:tcW w:w="700" w:type="dxa"/>
            <w:vAlign w:val="bottom"/>
            <w:gridSpan w:val="3"/>
          </w:tcPr>
          <w:p>
            <w:pPr>
              <w:ind w:left="80"/>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7"/>
              </w:rPr>
              <w:t>Third Amendment to the Third Amended and Restated Limited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Company Operating Agreement of National CineMedia, LLC 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8"/>
              </w:rPr>
              <w:t>September 3, 2013, by and among American Multi-Cinema, Inc., AMC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ShowPlace Theatres, Inc., Cinemark Media, Inc., Regal CineMedia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Holdings, LLC, Regal Cinemas, Inc. and National CineMedia, Inc.</w:t>
            </w:r>
          </w:p>
        </w:tc>
        <w:tc>
          <w:tcPr>
            <w:tcW w:w="0" w:type="dxa"/>
            <w:vAlign w:val="bottom"/>
          </w:tcPr>
          <w:p>
            <w:pPr>
              <w:spacing w:after="0"/>
              <w:rPr>
                <w:sz w:val="1"/>
                <w:szCs w:val="1"/>
                <w:color w:val="auto"/>
              </w:rPr>
            </w:pPr>
          </w:p>
        </w:tc>
      </w:tr>
      <w:tr>
        <w:trPr>
          <w:trHeight w:val="323"/>
        </w:trPr>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10.2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89"/>
              </w:rPr>
              <w:t>Amended and Restated Exhibitor Services Agreement dated as of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4"/>
              </w:rPr>
              <w:t>26, 2013, by and between National CineMedia, LLC and American Multi-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Cinema, Inc. (Portions omitted pursuant to request for confidential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treatment and filed separately with the Commission.)</w:t>
            </w:r>
          </w:p>
        </w:tc>
        <w:tc>
          <w:tcPr>
            <w:tcW w:w="0" w:type="dxa"/>
            <w:vAlign w:val="bottom"/>
          </w:tcPr>
          <w:p>
            <w:pPr>
              <w:spacing w:after="0"/>
              <w:rPr>
                <w:sz w:val="1"/>
                <w:szCs w:val="1"/>
                <w:color w:val="auto"/>
              </w:rPr>
            </w:pP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89"/>
              </w:rPr>
              <w:t>Amended and Restated Exhibitor Services Agreement dated as of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5"/>
              </w:rPr>
              <w:t>26, 2013, by and between National CineMedia, LLC and Cinemark USA,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6"/>
              </w:rPr>
              <w:t>Inc. (Portions omitted pursuant to request for confidential treatment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filed separately with the Commission.)</w:t>
            </w:r>
          </w:p>
        </w:tc>
        <w:tc>
          <w:tcPr>
            <w:tcW w:w="0" w:type="dxa"/>
            <w:vAlign w:val="bottom"/>
          </w:tcPr>
          <w:p>
            <w:pPr>
              <w:spacing w:after="0"/>
              <w:rPr>
                <w:sz w:val="1"/>
                <w:szCs w:val="1"/>
                <w:color w:val="auto"/>
              </w:rPr>
            </w:pP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89"/>
              </w:rPr>
              <w:t>Amended and Restated Exhibitor Services Agreement dated as of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4"/>
              </w:rPr>
              <w:t>26, 2013, by and between National CineMedia, LLC and Regal Cinemas,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6"/>
              </w:rPr>
              <w:t>Inc. (Portions omitted pursuant to request for confidential treatment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filed separately with the Commission.)</w:t>
            </w:r>
          </w:p>
        </w:tc>
        <w:tc>
          <w:tcPr>
            <w:tcW w:w="0" w:type="dxa"/>
            <w:vAlign w:val="bottom"/>
          </w:tcPr>
          <w:p>
            <w:pPr>
              <w:spacing w:after="0"/>
              <w:rPr>
                <w:sz w:val="1"/>
                <w:szCs w:val="1"/>
                <w:color w:val="auto"/>
              </w:rPr>
            </w:pP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5"/>
              </w:rPr>
              <w:t>Common Unit Adjustment Agreement dated as of February 13, 2007,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8"/>
              </w:rPr>
              <w:t>and among National CineMedia, Inc., National CineMedia, LLC, Regal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CineMedia Holdings, LLC, American Multi-Cinema, Inc., Cinemark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7"/>
              </w:rPr>
              <w:t>Media, Inc., Regal Cinemas, Inc. and Cinemark USA, Inc. (Confidential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4"/>
              </w:rPr>
              <w:t>treatment granted as to certain portions, which portions were omitted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filed separately with the Commission.)</w:t>
            </w:r>
          </w:p>
        </w:tc>
        <w:tc>
          <w:tcPr>
            <w:tcW w:w="0" w:type="dxa"/>
            <w:vAlign w:val="bottom"/>
          </w:tcPr>
          <w:p>
            <w:pPr>
              <w:spacing w:after="0"/>
              <w:rPr>
                <w:sz w:val="1"/>
                <w:szCs w:val="1"/>
                <w:color w:val="auto"/>
              </w:rPr>
            </w:pP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3"/>
              </w:rPr>
              <w:t>Tax Receivable Agreement dated as of February 13, 2007, by and among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8"/>
              </w:rPr>
              <w:t>National CineMedia, Inc., National CineMedia, LLC, Regal CineMedia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9"/>
              </w:rPr>
              <w:t>Holdings, LLC, Cinemark Media, Inc., Regal Cinemas, Inc., American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Multi-Cinema, Inc. and Cinemark USA, Inc.</w:t>
            </w:r>
          </w:p>
        </w:tc>
        <w:tc>
          <w:tcPr>
            <w:tcW w:w="0" w:type="dxa"/>
            <w:vAlign w:val="bottom"/>
          </w:tcPr>
          <w:p>
            <w:pPr>
              <w:spacing w:after="0"/>
              <w:rPr>
                <w:sz w:val="1"/>
                <w:szCs w:val="1"/>
                <w:color w:val="auto"/>
              </w:rPr>
            </w:pPr>
          </w:p>
        </w:tc>
      </w:tr>
      <w:tr>
        <w:trPr>
          <w:trHeight w:val="323"/>
        </w:trPr>
        <w:tc>
          <w:tcPr>
            <w:tcW w:w="700" w:type="dxa"/>
            <w:vAlign w:val="bottom"/>
            <w:gridSpan w:val="3"/>
          </w:tcPr>
          <w:p>
            <w:pPr>
              <w:ind w:left="80"/>
              <w:spacing w:after="0"/>
              <w:rPr>
                <w:sz w:val="20"/>
                <w:szCs w:val="20"/>
                <w:color w:val="auto"/>
              </w:rPr>
            </w:pPr>
            <w:r>
              <w:rPr>
                <w:rFonts w:ascii="Arial" w:cs="Arial" w:eastAsia="Arial" w:hAnsi="Arial"/>
                <w:sz w:val="18"/>
                <w:szCs w:val="18"/>
                <w:color w:val="auto"/>
              </w:rPr>
              <w:t>10.6.1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2"/>
              </w:rPr>
              <w:t>Second Amendment to Tax Receivable Agreement effective as of April 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3"/>
              </w:rPr>
              <w:t>2008, by and by and among NCM, Inc. and National CineMedia, LLC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1"/>
              </w:rPr>
              <w:t>the Founding Members and the ESA Parties, amending the Tax Receivable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1"/>
              </w:rPr>
              <w:t>Agreement dated as of February 13, 2007 and as first amended by the First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6"/>
              </w:rPr>
              <w:t>Amendment to the Tax Receivable Agreement effective as of August 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4"/>
          </w:tcPr>
          <w:p>
            <w:pPr>
              <w:ind w:left="580"/>
              <w:spacing w:after="0"/>
              <w:rPr>
                <w:sz w:val="20"/>
                <w:szCs w:val="20"/>
                <w:color w:val="auto"/>
              </w:rPr>
            </w:pPr>
            <w:r>
              <w:rPr>
                <w:rFonts w:ascii="Arial" w:cs="Arial" w:eastAsia="Arial" w:hAnsi="Arial"/>
                <w:sz w:val="18"/>
                <w:szCs w:val="18"/>
                <w:color w:val="auto"/>
              </w:rPr>
              <w:t>2007.</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80" w:type="dxa"/>
            <w:vAlign w:val="bottom"/>
            <w:gridSpan w:val="5"/>
          </w:tcPr>
          <w:p>
            <w:pPr>
              <w:jc w:val="right"/>
              <w:ind w:right="9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 w:type="dxa"/>
            <w:vAlign w:val="bottom"/>
            <w:tcBorders>
              <w:top w:val="single" w:sz="8" w:color="auto"/>
            </w:tcBorders>
            <w:vMerge w:val="restart"/>
          </w:tcPr>
          <w:p>
            <w:pPr>
              <w:spacing w:after="0"/>
              <w:rPr>
                <w:sz w:val="11"/>
                <w:szCs w:val="11"/>
                <w:color w:val="auto"/>
              </w:rPr>
            </w:pPr>
          </w:p>
        </w:tc>
        <w:tc>
          <w:tcPr>
            <w:tcW w:w="8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Form</w:t>
            </w:r>
          </w:p>
        </w:tc>
        <w:tc>
          <w:tcPr>
            <w:tcW w:w="13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340" w:type="dxa"/>
            <w:vAlign w:val="bottom"/>
            <w:tcBorders>
              <w:top w:val="single" w:sz="8" w:color="auto"/>
            </w:tcBorders>
            <w:vMerge w:val="continue"/>
          </w:tcPr>
          <w:p>
            <w:pPr>
              <w:spacing w:after="0"/>
              <w:rPr>
                <w:sz w:val="11"/>
                <w:szCs w:val="11"/>
                <w:color w:val="auto"/>
              </w:rPr>
            </w:pPr>
          </w:p>
        </w:tc>
        <w:tc>
          <w:tcPr>
            <w:tcW w:w="840" w:type="dxa"/>
            <w:vAlign w:val="bottom"/>
            <w:tcBorders>
              <w:top w:val="single" w:sz="8" w:color="auto"/>
            </w:tcBorders>
            <w:gridSpan w:val="2"/>
            <w:vMerge w:val="continue"/>
          </w:tcPr>
          <w:p>
            <w:pPr>
              <w:spacing w:after="0"/>
              <w:rPr>
                <w:sz w:val="11"/>
                <w:szCs w:val="11"/>
                <w:color w:val="auto"/>
              </w:rPr>
            </w:pPr>
          </w:p>
        </w:tc>
        <w:tc>
          <w:tcPr>
            <w:tcW w:w="1300" w:type="dxa"/>
            <w:vAlign w:val="bottom"/>
            <w:tcBorders>
              <w:top w:val="single" w:sz="8" w:color="auto"/>
            </w:tcBorders>
            <w:gridSpan w:val="2"/>
            <w:vMerge w:val="continue"/>
          </w:tcPr>
          <w:p>
            <w:pPr>
              <w:spacing w:after="0"/>
              <w:rPr>
                <w:sz w:val="11"/>
                <w:szCs w:val="11"/>
                <w:color w:val="auto"/>
              </w:rPr>
            </w:pPr>
          </w:p>
        </w:tc>
        <w:tc>
          <w:tcPr>
            <w:tcW w:w="760" w:type="dxa"/>
            <w:vAlign w:val="bottom"/>
            <w:tcBorders>
              <w:top w:val="single" w:sz="8" w:color="auto"/>
            </w:tcBorders>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500" w:type="dxa"/>
            <w:vAlign w:val="bottom"/>
            <w:vMerge w:val="continue"/>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vMerge w:val="continue"/>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00" w:type="dxa"/>
            <w:vAlign w:val="bottom"/>
            <w:vMerge w:val="continue"/>
          </w:tcPr>
          <w:p>
            <w:pPr>
              <w:spacing w:after="0"/>
              <w:rPr>
                <w:sz w:val="19"/>
                <w:szCs w:val="19"/>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8/10/2010</w:t>
            </w:r>
          </w:p>
        </w:tc>
        <w:tc>
          <w:tcPr>
            <w:tcW w:w="0" w:type="dxa"/>
            <w:vAlign w:val="bottom"/>
          </w:tcPr>
          <w:p>
            <w:pPr>
              <w:spacing w:after="0"/>
              <w:rPr>
                <w:sz w:val="1"/>
                <w:szCs w:val="1"/>
                <w:color w:val="auto"/>
              </w:rPr>
            </w:pPr>
          </w:p>
        </w:tc>
      </w:tr>
      <w:tr>
        <w:trPr>
          <w:trHeight w:val="972"/>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10.1.3</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9/9/2013</w:t>
            </w:r>
          </w:p>
        </w:tc>
        <w:tc>
          <w:tcPr>
            <w:tcW w:w="0" w:type="dxa"/>
            <w:vAlign w:val="bottom"/>
          </w:tcPr>
          <w:p>
            <w:pPr>
              <w:spacing w:after="0"/>
              <w:rPr>
                <w:sz w:val="1"/>
                <w:szCs w:val="1"/>
                <w:color w:val="auto"/>
              </w:rPr>
            </w:pPr>
          </w:p>
        </w:tc>
      </w:tr>
      <w:tr>
        <w:trPr>
          <w:trHeight w:val="1202"/>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10.2.4</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2/21/2014</w:t>
            </w:r>
          </w:p>
        </w:tc>
        <w:tc>
          <w:tcPr>
            <w:tcW w:w="0" w:type="dxa"/>
            <w:vAlign w:val="bottom"/>
          </w:tcPr>
          <w:p>
            <w:pPr>
              <w:spacing w:after="0"/>
              <w:rPr>
                <w:sz w:val="1"/>
                <w:szCs w:val="1"/>
                <w:color w:val="auto"/>
              </w:rPr>
            </w:pPr>
          </w:p>
        </w:tc>
      </w:tr>
      <w:tr>
        <w:trPr>
          <w:trHeight w:val="986"/>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10.3.4</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2/21/2014</w:t>
            </w:r>
          </w:p>
        </w:tc>
        <w:tc>
          <w:tcPr>
            <w:tcW w:w="0" w:type="dxa"/>
            <w:vAlign w:val="bottom"/>
          </w:tcPr>
          <w:p>
            <w:pPr>
              <w:spacing w:after="0"/>
              <w:rPr>
                <w:sz w:val="1"/>
                <w:szCs w:val="1"/>
                <w:color w:val="auto"/>
              </w:rPr>
            </w:pPr>
          </w:p>
        </w:tc>
      </w:tr>
      <w:tr>
        <w:trPr>
          <w:trHeight w:val="986"/>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10.4.4</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2/21/2014</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1418"/>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5/5/2008</w:t>
            </w:r>
          </w:p>
        </w:tc>
        <w:tc>
          <w:tcPr>
            <w:tcW w:w="0" w:type="dxa"/>
            <w:vAlign w:val="bottom"/>
          </w:tcPr>
          <w:p>
            <w:pPr>
              <w:spacing w:after="0"/>
              <w:rPr>
                <w:sz w:val="1"/>
                <w:szCs w:val="1"/>
                <w:color w:val="auto"/>
              </w:rPr>
            </w:pPr>
          </w:p>
        </w:tc>
      </w:tr>
    </w:tbl>
    <w:p>
      <w:pPr>
        <w:sectPr>
          <w:pgSz w:w="11900" w:h="16838" w:orient="portrait"/>
          <w:cols w:equalWidth="0" w:num="2">
            <w:col w:w="6780" w:space="0"/>
            <w:col w:w="4580"/>
          </w:cols>
          <w:pgMar w:left="280" w:top="333" w:right="259" w:bottom="1440" w:gutter="0" w:footer="0" w:header="0"/>
        </w:sectPr>
      </w:pPr>
    </w:p>
    <w:bookmarkStart w:id="57" w:name="page58"/>
    <w:bookmarkEnd w:id="57"/>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6020" w:type="dxa"/>
            <w:vAlign w:val="bottom"/>
            <w:gridSpan w:val="5"/>
          </w:tcPr>
          <w:p>
            <w:pPr>
              <w:jc w:val="right"/>
              <w:ind w:right="4780"/>
              <w:spacing w:after="0"/>
              <w:rPr>
                <w:sz w:val="20"/>
                <w:szCs w:val="20"/>
                <w:color w:val="auto"/>
              </w:rPr>
            </w:pPr>
            <w:r>
              <w:rPr>
                <w:rFonts w:ascii="Arial" w:cs="Arial" w:eastAsia="Arial" w:hAnsi="Arial"/>
                <w:sz w:val="14"/>
                <w:szCs w:val="14"/>
                <w:b w:val="1"/>
                <w:bCs w:val="1"/>
                <w:color w:val="auto"/>
              </w:rPr>
              <w:t>Ref.  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tcBorders>
              <w:top w:val="single" w:sz="8" w:color="auto"/>
            </w:tcBorders>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0" w:type="dxa"/>
            <w:vAlign w:val="bottom"/>
          </w:tcPr>
          <w:p>
            <w:pPr>
              <w:ind w:left="60"/>
              <w:spacing w:after="0" w:line="189" w:lineRule="exact"/>
              <w:rPr>
                <w:sz w:val="20"/>
                <w:szCs w:val="20"/>
                <w:color w:val="auto"/>
              </w:rPr>
            </w:pPr>
            <w:r>
              <w:rPr>
                <w:rFonts w:ascii="Arial" w:cs="Arial" w:eastAsia="Arial" w:hAnsi="Arial"/>
                <w:sz w:val="18"/>
                <w:szCs w:val="18"/>
                <w:color w:val="auto"/>
              </w:rPr>
              <w:t>10.7</w:t>
            </w:r>
          </w:p>
        </w:tc>
        <w:tc>
          <w:tcPr>
            <w:tcW w:w="2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480" w:type="dxa"/>
            <w:vAlign w:val="bottom"/>
            <w:gridSpan w:val="2"/>
          </w:tcPr>
          <w:p>
            <w:pPr>
              <w:spacing w:after="0" w:line="189" w:lineRule="exact"/>
              <w:rPr>
                <w:sz w:val="20"/>
                <w:szCs w:val="20"/>
                <w:color w:val="auto"/>
              </w:rPr>
            </w:pPr>
            <w:r>
              <w:rPr>
                <w:rFonts w:ascii="Arial" w:cs="Arial" w:eastAsia="Arial" w:hAnsi="Arial"/>
                <w:sz w:val="18"/>
                <w:szCs w:val="18"/>
                <w:color w:val="auto"/>
                <w:w w:val="92"/>
              </w:rPr>
              <w:t>First Amended and Restated Loews Screen Integration Agreement by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between National CineMedia, LLC and American Multi-Cinema,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4"/>
              </w:rPr>
              <w:t>Inc. (Confidential treatment granted as to certain portions, which portions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were omitted and filed separately with the Commission.)</w:t>
            </w:r>
          </w:p>
        </w:tc>
        <w:tc>
          <w:tcPr>
            <w:tcW w:w="0" w:type="dxa"/>
            <w:vAlign w:val="bottom"/>
          </w:tcPr>
          <w:p>
            <w:pPr>
              <w:spacing w:after="0"/>
              <w:rPr>
                <w:sz w:val="1"/>
                <w:szCs w:val="1"/>
                <w:color w:val="auto"/>
              </w:rPr>
            </w:pP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3"/>
              </w:rPr>
              <w:t>Second Amended and Restated Software License Agreement dated 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7"/>
              </w:rPr>
              <w:t>February 13, 2007, by and among American Multi-Cinema, Inc., Regal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CineMedia Corporation, Cinemark USA, Inc., Digital Cinema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Implementation Partners, LLC and National CineMedia, LLC.</w:t>
            </w:r>
          </w:p>
        </w:tc>
        <w:tc>
          <w:tcPr>
            <w:tcW w:w="0" w:type="dxa"/>
            <w:vAlign w:val="bottom"/>
          </w:tcPr>
          <w:p>
            <w:pPr>
              <w:spacing w:after="0"/>
              <w:rPr>
                <w:sz w:val="1"/>
                <w:szCs w:val="1"/>
                <w:color w:val="auto"/>
              </w:rPr>
            </w:pP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6"/>
              </w:rPr>
              <w:t>Director Designation Agreement dated as of February 13, 2007, by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4"/>
              </w:rPr>
              <w:t>among National CineMedia, Inc., American Multi-Cinema, Inc., Cinemark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Media, Inc. and Regal CineMedia Holdings, LLC.</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8"/>
              </w:rPr>
              <w:t>Registration Rights Agreement dated as of February 13, 2007, by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9"/>
              </w:rPr>
              <w:t>among National CineMedia, Inc., American Multi-Cinema, Inc., Regal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CineMedia Holdings, LLC and Cinemark Media, Inc.</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3"/>
              </w:rPr>
              <w:t>Management Services Agreement dated as of February 13, 2007, by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among National CineMedia, Inc. and National CineMedia, LLC.</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0"/>
              </w:rPr>
              <w:t>Amended and Restated Credit Agreement among National CineMedia, LLC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0"/>
              </w:rPr>
              <w:t>and Barclays Bank PLC, as Lead Arranger dated as of November 26, 2012.</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2"/>
              </w:rPr>
              <w:t>Amendment No. 4 to the Credit Agreement dated as of February 13,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89"/>
              </w:rPr>
              <w:t>as amended, restated, modified or otherwise supplemented, among 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2"/>
              </w:rPr>
              <w:t>CineMedia LLC and Barclays Bank PLC, as administrative agent dated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of November 26, 2012.</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10.12.2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2"/>
              </w:rPr>
              <w:t>Amendment No. 5 to the Credit Agreement dated as of February 13,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89"/>
              </w:rPr>
              <w:t>as amended, restated, modified or otherwise supplemented, among 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3"/>
              </w:rPr>
              <w:t>CineMedia LLC, certain lenders party thereto and Barclays Bank PLC,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administrative agent dated as of May 2, 2013.</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10.12.3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2"/>
              </w:rPr>
              <w:t>Amendment No. 6 to the Credit Agreement dated as of February 13,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89"/>
              </w:rPr>
              <w:t>as amended, restated, modified or otherwise supplemented, among 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3"/>
              </w:rPr>
              <w:t>CineMedia LLC, certain lenders party thereto and Barclays Bank PLC,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administrative agent dated as of July 2, 2014.</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6"/>
              </w:rPr>
              <w:t>Employment Agreement dated as of February 13, 2007, by and among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7"/>
              </w:rPr>
              <w:t>National CineMedia, Inc., National CineMedia, LLC and Kurt C. Hall. +</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7"/>
              </w:rPr>
              <w:t>First Amendment to Employment Agreement effective as of January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4"/>
              </w:rPr>
              <w:t>2009, by and among National CineMedia, Inc., National CineMedia, LLC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and Kurt C. Hall. +</w:t>
            </w: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20" w:type="dxa"/>
            <w:vAlign w:val="bottom"/>
            <w:gridSpan w:val="5"/>
          </w:tcPr>
          <w:p>
            <w:pPr>
              <w:jc w:val="right"/>
              <w:ind w:right="10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 w:type="dxa"/>
            <w:vAlign w:val="bottom"/>
            <w:tcBorders>
              <w:top w:val="single" w:sz="8" w:color="auto"/>
            </w:tcBorders>
            <w:vMerge w:val="restart"/>
          </w:tcPr>
          <w:p>
            <w:pPr>
              <w:spacing w:after="0"/>
              <w:rPr>
                <w:sz w:val="11"/>
                <w:szCs w:val="11"/>
                <w:color w:val="auto"/>
              </w:rPr>
            </w:pPr>
          </w:p>
        </w:tc>
        <w:tc>
          <w:tcPr>
            <w:tcW w:w="8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Form</w:t>
            </w:r>
          </w:p>
        </w:tc>
        <w:tc>
          <w:tcPr>
            <w:tcW w:w="10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340" w:type="dxa"/>
            <w:vAlign w:val="bottom"/>
            <w:tcBorders>
              <w:top w:val="single" w:sz="8" w:color="auto"/>
            </w:tcBorders>
            <w:vMerge w:val="continue"/>
          </w:tcPr>
          <w:p>
            <w:pPr>
              <w:spacing w:after="0"/>
              <w:rPr>
                <w:sz w:val="11"/>
                <w:szCs w:val="11"/>
                <w:color w:val="auto"/>
              </w:rPr>
            </w:pPr>
          </w:p>
        </w:tc>
        <w:tc>
          <w:tcPr>
            <w:tcW w:w="840" w:type="dxa"/>
            <w:vAlign w:val="bottom"/>
            <w:tcBorders>
              <w:top w:val="single" w:sz="8" w:color="auto"/>
            </w:tcBorders>
            <w:gridSpan w:val="2"/>
            <w:vMerge w:val="continue"/>
          </w:tcPr>
          <w:p>
            <w:pPr>
              <w:spacing w:after="0"/>
              <w:rPr>
                <w:sz w:val="11"/>
                <w:szCs w:val="11"/>
                <w:color w:val="auto"/>
              </w:rPr>
            </w:pPr>
          </w:p>
        </w:tc>
        <w:tc>
          <w:tcPr>
            <w:tcW w:w="1020" w:type="dxa"/>
            <w:vAlign w:val="bottom"/>
            <w:tcBorders>
              <w:top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top w:val="single" w:sz="8" w:color="auto"/>
            </w:tcBorders>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500" w:type="dxa"/>
            <w:vAlign w:val="bottom"/>
            <w:vMerge w:val="continue"/>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300" w:type="dxa"/>
            <w:vAlign w:val="bottom"/>
            <w:vMerge w:val="continue"/>
          </w:tcPr>
          <w:p>
            <w:pPr>
              <w:spacing w:after="0"/>
              <w:rPr>
                <w:sz w:val="19"/>
                <w:szCs w:val="19"/>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972"/>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10.9</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10.10</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10.11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10.12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8"/>
              </w:rPr>
              <w:t>11/28/2012</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8"/>
              </w:rPr>
              <w:t>11/28/2012</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5/7/2013</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7/3/2014</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10.14</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554"/>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10.14.1</w:t>
            </w: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3/6/2009</w:t>
            </w:r>
          </w:p>
        </w:tc>
        <w:tc>
          <w:tcPr>
            <w:tcW w:w="0" w:type="dxa"/>
            <w:vAlign w:val="bottom"/>
          </w:tcPr>
          <w:p>
            <w:pPr>
              <w:spacing w:after="0"/>
              <w:rPr>
                <w:sz w:val="1"/>
                <w:szCs w:val="1"/>
                <w:color w:val="auto"/>
              </w:rPr>
            </w:pPr>
          </w:p>
        </w:tc>
      </w:tr>
    </w:tbl>
    <w:p>
      <w:pPr>
        <w:sectPr>
          <w:pgSz w:w="11900" w:h="16838" w:orient="portrait"/>
          <w:cols w:equalWidth="0" w:num="2">
            <w:col w:w="6760" w:space="20"/>
            <w:col w:w="4580"/>
          </w:cols>
          <w:pgMar w:left="280" w:top="333" w:right="259" w:bottom="1440" w:gutter="0" w:footer="0" w:header="0"/>
        </w:sectPr>
      </w:pPr>
    </w:p>
    <w:bookmarkStart w:id="58" w:name="page59"/>
    <w:bookmarkEnd w:id="58"/>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Exhibit</w:t>
            </w:r>
          </w:p>
        </w:tc>
        <w:tc>
          <w:tcPr>
            <w:tcW w:w="6000" w:type="dxa"/>
            <w:vAlign w:val="bottom"/>
            <w:gridSpan w:val="5"/>
          </w:tcPr>
          <w:p>
            <w:pPr>
              <w:jc w:val="right"/>
              <w:ind w:right="4670"/>
              <w:spacing w:after="0"/>
              <w:rPr>
                <w:sz w:val="20"/>
                <w:szCs w:val="20"/>
                <w:color w:val="auto"/>
              </w:rPr>
            </w:pPr>
            <w:r>
              <w:rPr>
                <w:rFonts w:ascii="Arial" w:cs="Arial" w:eastAsia="Arial" w:hAnsi="Arial"/>
                <w:sz w:val="14"/>
                <w:szCs w:val="14"/>
                <w:b w:val="1"/>
                <w:bCs w:val="1"/>
                <w:color w:val="auto"/>
              </w:rPr>
              <w:t>Ref.  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tcBorders>
              <w:top w:val="single" w:sz="8" w:color="auto"/>
            </w:tcBorders>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60" w:type="dxa"/>
            <w:vAlign w:val="bottom"/>
            <w:vMerge w:val="restart"/>
          </w:tcPr>
          <w:p>
            <w:pPr>
              <w:jc w:val="right"/>
              <w:ind w:right="410"/>
              <w:spacing w:after="0"/>
              <w:rPr>
                <w:sz w:val="20"/>
                <w:szCs w:val="20"/>
                <w:color w:val="auto"/>
              </w:rPr>
            </w:pPr>
            <w:r>
              <w:rPr>
                <w:rFonts w:ascii="Arial" w:cs="Arial" w:eastAsia="Arial" w:hAnsi="Arial"/>
                <w:sz w:val="18"/>
                <w:szCs w:val="18"/>
                <w:color w:val="auto"/>
                <w:w w:val="91"/>
              </w:rPr>
              <w:t>Agreement dated as of October 18, 2015, by and between</w:t>
            </w: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10.13.2</w:t>
            </w:r>
          </w:p>
        </w:tc>
        <w:tc>
          <w:tcPr>
            <w:tcW w:w="1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tcPr>
          <w:p>
            <w:pPr>
              <w:spacing w:after="0" w:line="189" w:lineRule="exact"/>
              <w:rPr>
                <w:sz w:val="20"/>
                <w:szCs w:val="20"/>
                <w:color w:val="auto"/>
              </w:rPr>
            </w:pPr>
            <w:r>
              <w:rPr>
                <w:rFonts w:ascii="Arial" w:cs="Arial" w:eastAsia="Arial" w:hAnsi="Arial"/>
                <w:sz w:val="18"/>
                <w:szCs w:val="18"/>
                <w:color w:val="auto"/>
                <w:w w:val="78"/>
              </w:rPr>
              <w:t>Separation</w:t>
            </w:r>
          </w:p>
        </w:tc>
        <w:tc>
          <w:tcPr>
            <w:tcW w:w="4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National CineMedia, Inc. and Kurt C. Hall. +</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10.13.3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8"/>
              </w:rPr>
              <w:t>Consulting Agreement dated as of October 18, 2015, by and between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National CineMedia, Inc. and Kurt C. Hall. +</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2"/>
              </w:rPr>
              <w:t>Employment Agreement dated as of December 31, 2015, by and between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National CineMedia, Inc. and Andrew J. England. +</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2"/>
              </w:rPr>
              <w:t>Employment Agreement dated as of May 8, 2015, by and among 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CineMedia, Inc., National CineMedia LLC and Clifford E. Marks. +</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6"/>
              </w:rPr>
              <w:t>Employment Agreement dated as of February 13, 2007, by and among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2"/>
              </w:rPr>
              <w:t>National CineMedia, Inc., National CineMedia, LLC and Ralph E. Hardy. +</w:t>
            </w:r>
          </w:p>
        </w:tc>
        <w:tc>
          <w:tcPr>
            <w:tcW w:w="0" w:type="dxa"/>
            <w:vAlign w:val="bottom"/>
          </w:tcPr>
          <w:p>
            <w:pPr>
              <w:spacing w:after="0"/>
              <w:rPr>
                <w:sz w:val="1"/>
                <w:szCs w:val="1"/>
                <w:color w:val="auto"/>
              </w:rPr>
            </w:pPr>
          </w:p>
        </w:tc>
      </w:tr>
      <w:tr>
        <w:trPr>
          <w:trHeight w:val="323"/>
        </w:trPr>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10.16.1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7"/>
              </w:rPr>
              <w:t>First Amendment to Employment Agreement effective as of January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4"/>
              </w:rPr>
              <w:t>2009, by and among National CineMedia, Inc., National CineMedia, LLC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and Ralph E. Hardy. +</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7"/>
              </w:rPr>
              <w:t>Employment Agreement dated as of January 15, 2014, by and among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National CineMedia, Inc., National CineMedia, LLC and Alfonso 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Rosabal, Jr. +</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89"/>
              </w:rPr>
              <w:t>Retention Bonus Agreement dated January 29, 2016, between the Company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and David J. Oddo.</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0"/>
              </w:rPr>
              <w:t>Employment Agreement dated August 11, 2016, between the Company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Katherine L. Scherping.</w:t>
            </w: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8"/>
              </w:rPr>
              <w:t>Director Service Agreement dated January 22, 2016, among 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CineMedia, Inc., National CineMedia, LLC and Scott Schneider. +</w:t>
            </w:r>
          </w:p>
        </w:tc>
        <w:tc>
          <w:tcPr>
            <w:tcW w:w="0" w:type="dxa"/>
            <w:vAlign w:val="bottom"/>
          </w:tcPr>
          <w:p>
            <w:pPr>
              <w:spacing w:after="0"/>
              <w:rPr>
                <w:sz w:val="1"/>
                <w:szCs w:val="1"/>
                <w:color w:val="auto"/>
              </w:rPr>
            </w:pPr>
          </w:p>
        </w:tc>
      </w:tr>
      <w:tr>
        <w:trPr>
          <w:trHeight w:val="432"/>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National CineMedia, Inc. 2007 Equity Incentive Plan. +</w:t>
            </w:r>
          </w:p>
        </w:tc>
        <w:tc>
          <w:tcPr>
            <w:tcW w:w="0" w:type="dxa"/>
            <w:vAlign w:val="bottom"/>
          </w:tcPr>
          <w:p>
            <w:pPr>
              <w:spacing w:after="0"/>
              <w:rPr>
                <w:sz w:val="1"/>
                <w:szCs w:val="1"/>
                <w:color w:val="auto"/>
              </w:rPr>
            </w:pPr>
          </w:p>
        </w:tc>
      </w:tr>
      <w:tr>
        <w:trPr>
          <w:trHeight w:val="33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National CineMedia, Inc. 2016 Equity Incentive Plan. +</w:t>
            </w:r>
          </w:p>
        </w:tc>
        <w:tc>
          <w:tcPr>
            <w:tcW w:w="0" w:type="dxa"/>
            <w:vAlign w:val="bottom"/>
          </w:tcPr>
          <w:p>
            <w:pPr>
              <w:spacing w:after="0"/>
              <w:rPr>
                <w:sz w:val="1"/>
                <w:szCs w:val="1"/>
                <w:color w:val="auto"/>
              </w:rPr>
            </w:pPr>
          </w:p>
        </w:tc>
      </w:tr>
      <w:tr>
        <w:trPr>
          <w:trHeight w:val="33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Form of Option Substitution Award. +</w:t>
            </w:r>
          </w:p>
        </w:tc>
        <w:tc>
          <w:tcPr>
            <w:tcW w:w="0" w:type="dxa"/>
            <w:vAlign w:val="bottom"/>
          </w:tcPr>
          <w:p>
            <w:pPr>
              <w:spacing w:after="0"/>
              <w:rPr>
                <w:sz w:val="1"/>
                <w:szCs w:val="1"/>
                <w:color w:val="auto"/>
              </w:rPr>
            </w:pPr>
          </w:p>
        </w:tc>
      </w:tr>
      <w:tr>
        <w:trPr>
          <w:trHeight w:val="33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Substitution Award. +</w:t>
            </w:r>
          </w:p>
        </w:tc>
        <w:tc>
          <w:tcPr>
            <w:tcW w:w="0" w:type="dxa"/>
            <w:vAlign w:val="bottom"/>
          </w:tcPr>
          <w:p>
            <w:pPr>
              <w:spacing w:after="0"/>
              <w:rPr>
                <w:sz w:val="1"/>
                <w:szCs w:val="1"/>
                <w:color w:val="auto"/>
              </w:rPr>
            </w:pPr>
          </w:p>
        </w:tc>
      </w:tr>
      <w:tr>
        <w:trPr>
          <w:trHeight w:val="33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Form of Stock Option Agreement. +</w:t>
            </w:r>
          </w:p>
        </w:tc>
        <w:tc>
          <w:tcPr>
            <w:tcW w:w="0" w:type="dxa"/>
            <w:vAlign w:val="bottom"/>
          </w:tcPr>
          <w:p>
            <w:pPr>
              <w:spacing w:after="0"/>
              <w:rPr>
                <w:sz w:val="1"/>
                <w:szCs w:val="1"/>
                <w:color w:val="auto"/>
              </w:rPr>
            </w:pPr>
          </w:p>
        </w:tc>
      </w:tr>
      <w:tr>
        <w:trPr>
          <w:trHeight w:val="33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10.25.1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Form of 2009 Stock Option Agreement. +</w:t>
            </w:r>
          </w:p>
        </w:tc>
        <w:tc>
          <w:tcPr>
            <w:tcW w:w="0" w:type="dxa"/>
            <w:vAlign w:val="bottom"/>
          </w:tcPr>
          <w:p>
            <w:pPr>
              <w:spacing w:after="0"/>
              <w:rPr>
                <w:sz w:val="1"/>
                <w:szCs w:val="1"/>
                <w:color w:val="auto"/>
              </w:rPr>
            </w:pPr>
          </w:p>
        </w:tc>
      </w:tr>
      <w:tr>
        <w:trPr>
          <w:trHeight w:val="33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10.25.2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Form of 2010 Stock Option Agreement. +</w:t>
            </w:r>
          </w:p>
        </w:tc>
        <w:tc>
          <w:tcPr>
            <w:tcW w:w="0" w:type="dxa"/>
            <w:vAlign w:val="bottom"/>
          </w:tcPr>
          <w:p>
            <w:pPr>
              <w:spacing w:after="0"/>
              <w:rPr>
                <w:sz w:val="1"/>
                <w:szCs w:val="1"/>
                <w:color w:val="auto"/>
              </w:rPr>
            </w:pPr>
          </w:p>
        </w:tc>
      </w:tr>
      <w:tr>
        <w:trPr>
          <w:trHeight w:val="33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10.25.3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Form of 2011 Stock Option Agreement. +</w:t>
            </w:r>
          </w:p>
        </w:tc>
        <w:tc>
          <w:tcPr>
            <w:tcW w:w="0" w:type="dxa"/>
            <w:vAlign w:val="bottom"/>
          </w:tcPr>
          <w:p>
            <w:pPr>
              <w:spacing w:after="0"/>
              <w:rPr>
                <w:sz w:val="1"/>
                <w:szCs w:val="1"/>
                <w:color w:val="auto"/>
              </w:rPr>
            </w:pPr>
          </w:p>
        </w:tc>
      </w:tr>
      <w:tr>
        <w:trPr>
          <w:trHeight w:val="33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10.25.4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Form of 2012 Stock Option Agreement. +</w:t>
            </w:r>
          </w:p>
        </w:tc>
        <w:tc>
          <w:tcPr>
            <w:tcW w:w="0" w:type="dxa"/>
            <w:vAlign w:val="bottom"/>
          </w:tcPr>
          <w:p>
            <w:pPr>
              <w:spacing w:after="0"/>
              <w:rPr>
                <w:sz w:val="1"/>
                <w:szCs w:val="1"/>
                <w:color w:val="auto"/>
              </w:rPr>
            </w:pPr>
          </w:p>
        </w:tc>
      </w:tr>
      <w:tr>
        <w:trPr>
          <w:trHeight w:val="311"/>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Form Restricted Stock Agreement. +</w:t>
            </w:r>
          </w:p>
        </w:tc>
        <w:tc>
          <w:tcPr>
            <w:tcW w:w="0" w:type="dxa"/>
            <w:vAlign w:val="bottom"/>
          </w:tcPr>
          <w:p>
            <w:pPr>
              <w:spacing w:after="0"/>
              <w:rPr>
                <w:sz w:val="1"/>
                <w:szCs w:val="1"/>
                <w:color w:val="auto"/>
              </w:rPr>
            </w:pPr>
          </w:p>
        </w:tc>
      </w:tr>
      <w:tr>
        <w:trPr>
          <w:trHeight w:val="33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10.26.1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Form of 2014 Restricted Stock Agreement (Time Based). +</w:t>
            </w:r>
          </w:p>
        </w:tc>
        <w:tc>
          <w:tcPr>
            <w:tcW w:w="0" w:type="dxa"/>
            <w:vAlign w:val="bottom"/>
          </w:tcPr>
          <w:p>
            <w:pPr>
              <w:spacing w:after="0"/>
              <w:rPr>
                <w:sz w:val="1"/>
                <w:szCs w:val="1"/>
                <w:color w:val="auto"/>
              </w:rPr>
            </w:pPr>
          </w:p>
        </w:tc>
      </w:tr>
      <w:tr>
        <w:trPr>
          <w:trHeight w:val="33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10.26.2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Form of 2014 Restricted Stock Agreement (Performance Based). +</w:t>
            </w: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0" w:type="dxa"/>
            <w:vAlign w:val="bottom"/>
            <w:gridSpan w:val="5"/>
          </w:tcPr>
          <w:p>
            <w:pPr>
              <w:jc w:val="right"/>
              <w:ind w:right="89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 w:type="dxa"/>
            <w:vAlign w:val="bottom"/>
            <w:tcBorders>
              <w:top w:val="single" w:sz="8" w:color="auto"/>
            </w:tcBorders>
            <w:vMerge w:val="restart"/>
          </w:tcPr>
          <w:p>
            <w:pPr>
              <w:spacing w:after="0"/>
              <w:rPr>
                <w:sz w:val="11"/>
                <w:szCs w:val="11"/>
                <w:color w:val="auto"/>
              </w:rPr>
            </w:pPr>
          </w:p>
        </w:tc>
        <w:tc>
          <w:tcPr>
            <w:tcW w:w="8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Form</w:t>
            </w:r>
          </w:p>
        </w:tc>
        <w:tc>
          <w:tcPr>
            <w:tcW w:w="10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340" w:type="dxa"/>
            <w:vAlign w:val="bottom"/>
            <w:tcBorders>
              <w:top w:val="single" w:sz="8" w:color="auto"/>
            </w:tcBorders>
            <w:vMerge w:val="continue"/>
          </w:tcPr>
          <w:p>
            <w:pPr>
              <w:spacing w:after="0"/>
              <w:rPr>
                <w:sz w:val="11"/>
                <w:szCs w:val="11"/>
                <w:color w:val="auto"/>
              </w:rPr>
            </w:pPr>
          </w:p>
        </w:tc>
        <w:tc>
          <w:tcPr>
            <w:tcW w:w="840" w:type="dxa"/>
            <w:vAlign w:val="bottom"/>
            <w:tcBorders>
              <w:top w:val="single" w:sz="8" w:color="auto"/>
            </w:tcBorders>
            <w:gridSpan w:val="2"/>
            <w:vMerge w:val="continue"/>
          </w:tcPr>
          <w:p>
            <w:pPr>
              <w:spacing w:after="0"/>
              <w:rPr>
                <w:sz w:val="11"/>
                <w:szCs w:val="11"/>
                <w:color w:val="auto"/>
              </w:rPr>
            </w:pPr>
          </w:p>
        </w:tc>
        <w:tc>
          <w:tcPr>
            <w:tcW w:w="1020" w:type="dxa"/>
            <w:vAlign w:val="bottom"/>
            <w:tcBorders>
              <w:top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top w:val="single" w:sz="8" w:color="auto"/>
            </w:tcBorders>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500" w:type="dxa"/>
            <w:vAlign w:val="bottom"/>
            <w:vMerge w:val="continue"/>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vMerge w:val="continue"/>
          </w:tcPr>
          <w:p>
            <w:pPr>
              <w:spacing w:after="0"/>
              <w:rPr>
                <w:sz w:val="19"/>
                <w:szCs w:val="19"/>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0"/>
              </w:rPr>
              <w:t>10/21/2015</w:t>
            </w:r>
          </w:p>
        </w:tc>
        <w:tc>
          <w:tcPr>
            <w:tcW w:w="0" w:type="dxa"/>
            <w:vAlign w:val="bottom"/>
          </w:tcPr>
          <w:p>
            <w:pPr>
              <w:spacing w:after="0"/>
              <w:rPr>
                <w:sz w:val="1"/>
                <w:szCs w:val="1"/>
                <w:color w:val="auto"/>
              </w:rPr>
            </w:pPr>
          </w:p>
        </w:tc>
      </w:tr>
      <w:tr>
        <w:trPr>
          <w:trHeight w:val="539"/>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0"/>
              </w:rPr>
              <w:t>10/21/2015</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1/5/2016</w:t>
            </w:r>
          </w:p>
        </w:tc>
        <w:tc>
          <w:tcPr>
            <w:tcW w:w="0" w:type="dxa"/>
            <w:vAlign w:val="bottom"/>
          </w:tcPr>
          <w:p>
            <w:pPr>
              <w:spacing w:after="0"/>
              <w:rPr>
                <w:sz w:val="1"/>
                <w:szCs w:val="1"/>
                <w:color w:val="auto"/>
              </w:rPr>
            </w:pPr>
          </w:p>
        </w:tc>
      </w:tr>
      <w:tr>
        <w:trPr>
          <w:trHeight w:val="554"/>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5/12/2015</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10.18</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554"/>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10.18.1</w:t>
            </w: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3/6/2009</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1/22/2014</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7/19/2016</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8/11/2016</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1/26/2016</w:t>
            </w:r>
          </w:p>
        </w:tc>
        <w:tc>
          <w:tcPr>
            <w:tcW w:w="0" w:type="dxa"/>
            <w:vAlign w:val="bottom"/>
          </w:tcPr>
          <w:p>
            <w:pPr>
              <w:spacing w:after="0"/>
              <w:rPr>
                <w:sz w:val="1"/>
                <w:szCs w:val="1"/>
                <w:color w:val="auto"/>
              </w:rPr>
            </w:pPr>
          </w:p>
        </w:tc>
      </w:tr>
      <w:tr>
        <w:trPr>
          <w:trHeight w:val="648"/>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5/2/2013</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4/29/2016</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4.4</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4.5</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4.6</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338"/>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10.22.1</w:t>
            </w: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3/6/2009</w:t>
            </w:r>
          </w:p>
        </w:tc>
        <w:tc>
          <w:tcPr>
            <w:tcW w:w="0" w:type="dxa"/>
            <w:vAlign w:val="bottom"/>
          </w:tcPr>
          <w:p>
            <w:pPr>
              <w:spacing w:after="0"/>
              <w:rPr>
                <w:sz w:val="1"/>
                <w:szCs w:val="1"/>
                <w:color w:val="auto"/>
              </w:rPr>
            </w:pPr>
          </w:p>
        </w:tc>
      </w:tr>
      <w:tr>
        <w:trPr>
          <w:trHeight w:val="338"/>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10.22.2</w:t>
            </w: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3/9/2010</w:t>
            </w:r>
          </w:p>
        </w:tc>
        <w:tc>
          <w:tcPr>
            <w:tcW w:w="0" w:type="dxa"/>
            <w:vAlign w:val="bottom"/>
          </w:tcPr>
          <w:p>
            <w:pPr>
              <w:spacing w:after="0"/>
              <w:rPr>
                <w:sz w:val="1"/>
                <w:szCs w:val="1"/>
                <w:color w:val="auto"/>
              </w:rPr>
            </w:pPr>
          </w:p>
        </w:tc>
      </w:tr>
      <w:tr>
        <w:trPr>
          <w:trHeight w:val="338"/>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10.22.3</w:t>
            </w: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2/25/2011</w:t>
            </w:r>
          </w:p>
        </w:tc>
        <w:tc>
          <w:tcPr>
            <w:tcW w:w="0" w:type="dxa"/>
            <w:vAlign w:val="bottom"/>
          </w:tcPr>
          <w:p>
            <w:pPr>
              <w:spacing w:after="0"/>
              <w:rPr>
                <w:sz w:val="1"/>
                <w:szCs w:val="1"/>
                <w:color w:val="auto"/>
              </w:rPr>
            </w:pPr>
          </w:p>
        </w:tc>
      </w:tr>
      <w:tr>
        <w:trPr>
          <w:trHeight w:val="338"/>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10.22.4</w:t>
            </w: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2/24/2012</w:t>
            </w:r>
          </w:p>
        </w:tc>
        <w:tc>
          <w:tcPr>
            <w:tcW w:w="0" w:type="dxa"/>
            <w:vAlign w:val="bottom"/>
          </w:tcPr>
          <w:p>
            <w:pPr>
              <w:spacing w:after="0"/>
              <w:rPr>
                <w:sz w:val="1"/>
                <w:szCs w:val="1"/>
                <w:color w:val="auto"/>
              </w:rPr>
            </w:pPr>
          </w:p>
        </w:tc>
      </w:tr>
      <w:tr>
        <w:trPr>
          <w:trHeight w:val="311"/>
        </w:trPr>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4.7</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338"/>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5/6/2014</w:t>
            </w:r>
          </w:p>
        </w:tc>
        <w:tc>
          <w:tcPr>
            <w:tcW w:w="0" w:type="dxa"/>
            <w:vAlign w:val="bottom"/>
          </w:tcPr>
          <w:p>
            <w:pPr>
              <w:spacing w:after="0"/>
              <w:rPr>
                <w:sz w:val="1"/>
                <w:szCs w:val="1"/>
                <w:color w:val="auto"/>
              </w:rPr>
            </w:pPr>
          </w:p>
        </w:tc>
      </w:tr>
      <w:tr>
        <w:trPr>
          <w:trHeight w:val="338"/>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5/6/2014</w:t>
            </w:r>
          </w:p>
        </w:tc>
        <w:tc>
          <w:tcPr>
            <w:tcW w:w="0" w:type="dxa"/>
            <w:vAlign w:val="bottom"/>
          </w:tcPr>
          <w:p>
            <w:pPr>
              <w:spacing w:after="0"/>
              <w:rPr>
                <w:sz w:val="1"/>
                <w:szCs w:val="1"/>
                <w:color w:val="auto"/>
              </w:rPr>
            </w:pPr>
          </w:p>
        </w:tc>
      </w:tr>
    </w:tbl>
    <w:p>
      <w:pPr>
        <w:sectPr>
          <w:pgSz w:w="11900" w:h="16838" w:orient="portrait"/>
          <w:cols w:equalWidth="0" w:num="2">
            <w:col w:w="6740" w:space="40"/>
            <w:col w:w="4580"/>
          </w:cols>
          <w:pgMar w:left="280" w:top="333" w:right="259" w:bottom="1440" w:gutter="0" w:footer="0" w:header="0"/>
        </w:sectPr>
      </w:pPr>
    </w:p>
    <w:bookmarkStart w:id="59" w:name="page60"/>
    <w:bookmarkEnd w:id="59"/>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gridSpan w:val="3"/>
          </w:tcPr>
          <w:p>
            <w:pPr>
              <w:ind w:left="100"/>
              <w:spacing w:after="0"/>
              <w:rPr>
                <w:sz w:val="20"/>
                <w:szCs w:val="20"/>
                <w:color w:val="auto"/>
              </w:rPr>
            </w:pPr>
            <w:r>
              <w:rPr>
                <w:rFonts w:ascii="Arial" w:cs="Arial" w:eastAsia="Arial" w:hAnsi="Arial"/>
                <w:sz w:val="14"/>
                <w:szCs w:val="14"/>
                <w:b w:val="1"/>
                <w:bCs w:val="1"/>
                <w:color w:val="auto"/>
              </w:rPr>
              <w:t>Ref.</w:t>
            </w:r>
          </w:p>
        </w:tc>
        <w:tc>
          <w:tcPr>
            <w:tcW w:w="5520" w:type="dxa"/>
            <w:vAlign w:val="bottom"/>
            <w:gridSpan w:val="3"/>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740" w:type="dxa"/>
            <w:vAlign w:val="bottom"/>
            <w:vMerge w:val="restart"/>
          </w:tcPr>
          <w:p>
            <w:pPr>
              <w:spacing w:after="0"/>
              <w:rPr>
                <w:sz w:val="20"/>
                <w:szCs w:val="20"/>
                <w:color w:val="auto"/>
              </w:rPr>
            </w:pPr>
            <w:r>
              <w:rPr>
                <w:rFonts w:ascii="Arial" w:cs="Arial" w:eastAsia="Arial" w:hAnsi="Arial"/>
                <w:sz w:val="18"/>
                <w:szCs w:val="18"/>
                <w:color w:val="auto"/>
              </w:rPr>
              <w:t>2015 Restricted Stock Agreement (Time Based). +</w:t>
            </w: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10.26.3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Form of</w:t>
            </w:r>
          </w:p>
        </w:tc>
        <w:tc>
          <w:tcPr>
            <w:tcW w:w="4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10.26.4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Form of 2015 Restricted Stock Agreement (Performance Based). +</w:t>
            </w:r>
          </w:p>
        </w:tc>
        <w:tc>
          <w:tcPr>
            <w:tcW w:w="0" w:type="dxa"/>
            <w:vAlign w:val="bottom"/>
          </w:tcPr>
          <w:p>
            <w:pPr>
              <w:spacing w:after="0"/>
              <w:rPr>
                <w:sz w:val="1"/>
                <w:szCs w:val="1"/>
                <w:color w:val="auto"/>
              </w:rPr>
            </w:pPr>
          </w:p>
        </w:tc>
      </w:tr>
      <w:tr>
        <w:trPr>
          <w:trHeight w:val="338"/>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10.26.5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Form of 2016 Restricted Stock Agreement (Time Based). +</w:t>
            </w:r>
          </w:p>
        </w:tc>
        <w:tc>
          <w:tcPr>
            <w:tcW w:w="0" w:type="dxa"/>
            <w:vAlign w:val="bottom"/>
          </w:tcPr>
          <w:p>
            <w:pPr>
              <w:spacing w:after="0"/>
              <w:rPr>
                <w:sz w:val="1"/>
                <w:szCs w:val="1"/>
                <w:color w:val="auto"/>
              </w:rPr>
            </w:pPr>
          </w:p>
        </w:tc>
      </w:tr>
      <w:tr>
        <w:trPr>
          <w:trHeight w:val="351"/>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10.26.6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Form of 2016 Restricted Stock Agreement (Performance Based). +</w:t>
            </w:r>
          </w:p>
        </w:tc>
        <w:tc>
          <w:tcPr>
            <w:tcW w:w="0" w:type="dxa"/>
            <w:vAlign w:val="bottom"/>
          </w:tcPr>
          <w:p>
            <w:pPr>
              <w:spacing w:after="0"/>
              <w:rPr>
                <w:sz w:val="1"/>
                <w:szCs w:val="1"/>
                <w:color w:val="auto"/>
              </w:rPr>
            </w:pPr>
          </w:p>
        </w:tc>
      </w:tr>
      <w:tr>
        <w:trPr>
          <w:trHeight w:val="323"/>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10.26.7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2"/>
              </w:rPr>
              <w:t>Form of 2016 Restricted Stock Agreement under the National CineMedia,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Inc. 2016 Equity Incentive Plan (Time Based).</w:t>
            </w:r>
          </w:p>
        </w:tc>
        <w:tc>
          <w:tcPr>
            <w:tcW w:w="0" w:type="dxa"/>
            <w:vAlign w:val="bottom"/>
          </w:tcPr>
          <w:p>
            <w:pPr>
              <w:spacing w:after="0"/>
              <w:rPr>
                <w:sz w:val="1"/>
                <w:szCs w:val="1"/>
                <w:color w:val="auto"/>
              </w:rPr>
            </w:pPr>
          </w:p>
        </w:tc>
      </w:tr>
      <w:tr>
        <w:trPr>
          <w:trHeight w:val="323"/>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10.26.8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2"/>
              </w:rPr>
              <w:t>Form of 2016 Restricted Stock Agreement under the National CineMedia,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Inc. 2016 Equity Incentive Plan (Performance Based).</w:t>
            </w:r>
          </w:p>
        </w:tc>
        <w:tc>
          <w:tcPr>
            <w:tcW w:w="0" w:type="dxa"/>
            <w:vAlign w:val="bottom"/>
          </w:tcPr>
          <w:p>
            <w:pPr>
              <w:spacing w:after="0"/>
              <w:rPr>
                <w:sz w:val="1"/>
                <w:szCs w:val="1"/>
                <w:color w:val="auto"/>
              </w:rPr>
            </w:pPr>
          </w:p>
        </w:tc>
      </w:tr>
      <w:tr>
        <w:trPr>
          <w:trHeight w:val="338"/>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10.26.9</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Form of 2017 Restricted Stock Agreement (Time Based). +</w:t>
            </w:r>
          </w:p>
        </w:tc>
        <w:tc>
          <w:tcPr>
            <w:tcW w:w="0" w:type="dxa"/>
            <w:vAlign w:val="bottom"/>
          </w:tcPr>
          <w:p>
            <w:pPr>
              <w:spacing w:after="0"/>
              <w:rPr>
                <w:sz w:val="1"/>
                <w:szCs w:val="1"/>
                <w:color w:val="auto"/>
              </w:rPr>
            </w:pPr>
          </w:p>
        </w:tc>
      </w:tr>
      <w:tr>
        <w:trPr>
          <w:trHeight w:val="338"/>
        </w:trPr>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10.26.10</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Form of 2017 Restricted Stock Agreement (Performance Based). +</w:t>
            </w:r>
          </w:p>
        </w:tc>
        <w:tc>
          <w:tcPr>
            <w:tcW w:w="0" w:type="dxa"/>
            <w:vAlign w:val="bottom"/>
          </w:tcPr>
          <w:p>
            <w:pPr>
              <w:spacing w:after="0"/>
              <w:rPr>
                <w:sz w:val="1"/>
                <w:szCs w:val="1"/>
                <w:color w:val="auto"/>
              </w:rPr>
            </w:pPr>
          </w:p>
        </w:tc>
      </w:tr>
      <w:tr>
        <w:trPr>
          <w:trHeight w:val="338"/>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Form of Restricted Stock Unit Agreement. +</w:t>
            </w:r>
          </w:p>
        </w:tc>
        <w:tc>
          <w:tcPr>
            <w:tcW w:w="0" w:type="dxa"/>
            <w:vAlign w:val="bottom"/>
          </w:tcPr>
          <w:p>
            <w:pPr>
              <w:spacing w:after="0"/>
              <w:rPr>
                <w:sz w:val="1"/>
                <w:szCs w:val="1"/>
                <w:color w:val="auto"/>
              </w:rPr>
            </w:pPr>
          </w:p>
        </w:tc>
      </w:tr>
      <w:tr>
        <w:trPr>
          <w:trHeight w:val="323"/>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10.27.1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4"/>
              </w:rPr>
              <w:t>Form of Restricted Stock Unit Agreement under the National CineMedia,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Inc. 2016 Equity Plan.</w:t>
            </w:r>
          </w:p>
        </w:tc>
        <w:tc>
          <w:tcPr>
            <w:tcW w:w="0" w:type="dxa"/>
            <w:vAlign w:val="bottom"/>
          </w:tcPr>
          <w:p>
            <w:pPr>
              <w:spacing w:after="0"/>
              <w:rPr>
                <w:sz w:val="1"/>
                <w:szCs w:val="1"/>
                <w:color w:val="auto"/>
              </w:rPr>
            </w:pPr>
          </w:p>
        </w:tc>
      </w:tr>
      <w:tr>
        <w:trPr>
          <w:trHeight w:val="323"/>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10.27.2</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4"/>
              </w:rPr>
              <w:t>Form of Restricted Stock Unit Agreement under the National CineMedia,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Inc. 2016 Equity Plan, amended.</w:t>
            </w:r>
          </w:p>
        </w:tc>
        <w:tc>
          <w:tcPr>
            <w:tcW w:w="0" w:type="dxa"/>
            <w:vAlign w:val="bottom"/>
          </w:tcPr>
          <w:p>
            <w:pPr>
              <w:spacing w:after="0"/>
              <w:rPr>
                <w:sz w:val="1"/>
                <w:szCs w:val="1"/>
                <w:color w:val="auto"/>
              </w:rPr>
            </w:pPr>
          </w:p>
        </w:tc>
      </w:tr>
      <w:tr>
        <w:trPr>
          <w:trHeight w:val="338"/>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National CineMedia, Inc. Executive Performance Bonus Plan. +</w:t>
            </w:r>
          </w:p>
        </w:tc>
        <w:tc>
          <w:tcPr>
            <w:tcW w:w="0" w:type="dxa"/>
            <w:vAlign w:val="bottom"/>
          </w:tcPr>
          <w:p>
            <w:pPr>
              <w:spacing w:after="0"/>
              <w:rPr>
                <w:sz w:val="1"/>
                <w:szCs w:val="1"/>
                <w:color w:val="auto"/>
              </w:rPr>
            </w:pPr>
          </w:p>
        </w:tc>
      </w:tr>
      <w:tr>
        <w:trPr>
          <w:trHeight w:val="323"/>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7"/>
              </w:rPr>
              <w:t>ISDA Master Agreement dated as of March 2, 2007, between 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8"/>
              </w:rPr>
              <w:t>CineMedia, LLC and Morgan Stanley Capital Services and Schedule.</w:t>
            </w:r>
          </w:p>
        </w:tc>
        <w:tc>
          <w:tcPr>
            <w:tcW w:w="0" w:type="dxa"/>
            <w:vAlign w:val="bottom"/>
          </w:tcPr>
          <w:p>
            <w:pPr>
              <w:spacing w:after="0"/>
              <w:rPr>
                <w:sz w:val="1"/>
                <w:szCs w:val="1"/>
                <w:color w:val="auto"/>
              </w:rPr>
            </w:pPr>
          </w:p>
        </w:tc>
      </w:tr>
      <w:tr>
        <w:trPr>
          <w:trHeight w:val="418"/>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7"/>
              </w:rPr>
              <w:t>ISDA Master Agreement dated as of March 2, 2007, between 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CineMedia, LLC and Credit Suisse International and Schedule.</w:t>
            </w:r>
          </w:p>
        </w:tc>
        <w:tc>
          <w:tcPr>
            <w:tcW w:w="0" w:type="dxa"/>
            <w:vAlign w:val="bottom"/>
          </w:tcPr>
          <w:p>
            <w:pPr>
              <w:spacing w:after="0"/>
              <w:rPr>
                <w:sz w:val="1"/>
                <w:szCs w:val="1"/>
                <w:color w:val="auto"/>
              </w:rPr>
            </w:pPr>
          </w:p>
        </w:tc>
      </w:tr>
      <w:tr>
        <w:trPr>
          <w:trHeight w:val="323"/>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6"/>
              </w:rPr>
              <w:t>ISDA Master Agreement dated as of August 6, 2007, between 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CineMedia, LLC and JPMorgan Chase Bank, N.A.</w:t>
            </w:r>
          </w:p>
        </w:tc>
        <w:tc>
          <w:tcPr>
            <w:tcW w:w="0" w:type="dxa"/>
            <w:vAlign w:val="bottom"/>
          </w:tcPr>
          <w:p>
            <w:pPr>
              <w:spacing w:after="0"/>
              <w:rPr>
                <w:sz w:val="1"/>
                <w:szCs w:val="1"/>
                <w:color w:val="auto"/>
              </w:rPr>
            </w:pPr>
          </w:p>
        </w:tc>
      </w:tr>
      <w:tr>
        <w:trPr>
          <w:trHeight w:val="323"/>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0"/>
              </w:rPr>
              <w:t>ISDA Novation Agreement dated as of February 4, 2010, between 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5"/>
              </w:rPr>
              <w:t>CineMedia, LLC, Lehman Brothers Special Financing Inc. and Barclays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Bank PLC.</w:t>
            </w:r>
          </w:p>
        </w:tc>
        <w:tc>
          <w:tcPr>
            <w:tcW w:w="0" w:type="dxa"/>
            <w:vAlign w:val="bottom"/>
          </w:tcPr>
          <w:p>
            <w:pPr>
              <w:spacing w:after="0"/>
              <w:rPr>
                <w:sz w:val="1"/>
                <w:szCs w:val="1"/>
                <w:color w:val="auto"/>
              </w:rPr>
            </w:pPr>
          </w:p>
        </w:tc>
      </w:tr>
      <w:tr>
        <w:trPr>
          <w:trHeight w:val="323"/>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4"/>
              </w:rPr>
              <w:t>ISDA Master Agreement dated as of February 4, 2010 between 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CineMedia, LLC and Barclays Bank PLC.</w:t>
            </w:r>
          </w:p>
        </w:tc>
        <w:tc>
          <w:tcPr>
            <w:tcW w:w="0" w:type="dxa"/>
            <w:vAlign w:val="bottom"/>
          </w:tcPr>
          <w:p>
            <w:pPr>
              <w:spacing w:after="0"/>
              <w:rPr>
                <w:sz w:val="1"/>
                <w:szCs w:val="1"/>
                <w:color w:val="auto"/>
              </w:rPr>
            </w:pPr>
          </w:p>
        </w:tc>
      </w:tr>
      <w:tr>
        <w:trPr>
          <w:trHeight w:val="338"/>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38"/>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338"/>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338"/>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43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Form</w:t>
            </w:r>
          </w:p>
        </w:tc>
        <w:tc>
          <w:tcPr>
            <w:tcW w:w="10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840" w:type="dxa"/>
            <w:vAlign w:val="bottom"/>
            <w:tcBorders>
              <w:top w:val="single" w:sz="8" w:color="auto"/>
            </w:tcBorders>
            <w:gridSpan w:val="2"/>
            <w:vMerge w:val="continue"/>
          </w:tcPr>
          <w:p>
            <w:pPr>
              <w:spacing w:after="0"/>
              <w:rPr>
                <w:sz w:val="11"/>
                <w:szCs w:val="11"/>
                <w:color w:val="auto"/>
              </w:rPr>
            </w:pPr>
          </w:p>
        </w:tc>
        <w:tc>
          <w:tcPr>
            <w:tcW w:w="1020" w:type="dxa"/>
            <w:vAlign w:val="bottom"/>
            <w:tcBorders>
              <w:top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Borders>
              <w:top w:val="single" w:sz="8" w:color="auto"/>
            </w:tcBorders>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vMerge w:val="continue"/>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10-K</w:t>
            </w:r>
          </w:p>
        </w:tc>
        <w:tc>
          <w:tcPr>
            <w:tcW w:w="500" w:type="dxa"/>
            <w:vAlign w:val="bottom"/>
            <w:vMerge w:val="continue"/>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73"/>
              </w:rPr>
              <w:t>10.23.7</w:t>
            </w:r>
          </w:p>
        </w:tc>
        <w:tc>
          <w:tcPr>
            <w:tcW w:w="320" w:type="dxa"/>
            <w:vAlign w:val="bottom"/>
            <w:vMerge w:val="continue"/>
          </w:tcPr>
          <w:p>
            <w:pPr>
              <w:spacing w:after="0"/>
              <w:rPr>
                <w:sz w:val="19"/>
                <w:szCs w:val="19"/>
                <w:color w:val="auto"/>
              </w:rPr>
            </w:pPr>
          </w:p>
        </w:tc>
        <w:tc>
          <w:tcPr>
            <w:tcW w:w="1320" w:type="dxa"/>
            <w:vAlign w:val="bottom"/>
            <w:gridSpan w:val="5"/>
          </w:tcPr>
          <w:p>
            <w:pPr>
              <w:jc w:val="center"/>
              <w:spacing w:after="0"/>
              <w:rPr>
                <w:sz w:val="20"/>
                <w:szCs w:val="20"/>
                <w:color w:val="auto"/>
              </w:rPr>
            </w:pPr>
            <w:r>
              <w:rPr>
                <w:rFonts w:ascii="Arial" w:cs="Arial" w:eastAsia="Arial" w:hAnsi="Arial"/>
                <w:sz w:val="18"/>
                <w:szCs w:val="18"/>
                <w:color w:val="auto"/>
                <w:w w:val="89"/>
              </w:rPr>
              <w:t>2/27/2015</w:t>
            </w:r>
          </w:p>
        </w:tc>
        <w:tc>
          <w:tcPr>
            <w:tcW w:w="0" w:type="dxa"/>
            <w:vAlign w:val="bottom"/>
          </w:tcPr>
          <w:p>
            <w:pPr>
              <w:spacing w:after="0"/>
              <w:rPr>
                <w:sz w:val="1"/>
                <w:szCs w:val="1"/>
                <w:color w:val="auto"/>
              </w:rPr>
            </w:pPr>
          </w:p>
        </w:tc>
      </w:tr>
      <w:tr>
        <w:trPr>
          <w:trHeight w:val="323"/>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10.23.8</w:t>
            </w:r>
          </w:p>
        </w:tc>
        <w:tc>
          <w:tcPr>
            <w:tcW w:w="1320" w:type="dxa"/>
            <w:vAlign w:val="bottom"/>
            <w:gridSpan w:val="5"/>
          </w:tcPr>
          <w:p>
            <w:pPr>
              <w:jc w:val="center"/>
              <w:spacing w:after="0"/>
              <w:rPr>
                <w:sz w:val="20"/>
                <w:szCs w:val="20"/>
                <w:color w:val="auto"/>
              </w:rPr>
            </w:pPr>
            <w:r>
              <w:rPr>
                <w:rFonts w:ascii="Arial" w:cs="Arial" w:eastAsia="Arial" w:hAnsi="Arial"/>
                <w:sz w:val="18"/>
                <w:szCs w:val="18"/>
                <w:color w:val="auto"/>
                <w:w w:val="89"/>
              </w:rPr>
              <w:t>2/27/2015</w:t>
            </w:r>
          </w:p>
        </w:tc>
        <w:tc>
          <w:tcPr>
            <w:tcW w:w="0" w:type="dxa"/>
            <w:vAlign w:val="bottom"/>
          </w:tcPr>
          <w:p>
            <w:pPr>
              <w:spacing w:after="0"/>
              <w:rPr>
                <w:sz w:val="1"/>
                <w:szCs w:val="1"/>
                <w:color w:val="auto"/>
              </w:rPr>
            </w:pPr>
          </w:p>
        </w:tc>
      </w:tr>
      <w:tr>
        <w:trPr>
          <w:trHeight w:val="338"/>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10.23.7</w:t>
            </w:r>
          </w:p>
        </w:tc>
        <w:tc>
          <w:tcPr>
            <w:tcW w:w="1320" w:type="dxa"/>
            <w:vAlign w:val="bottom"/>
            <w:gridSpan w:val="5"/>
          </w:tcPr>
          <w:p>
            <w:pPr>
              <w:jc w:val="center"/>
              <w:spacing w:after="0"/>
              <w:rPr>
                <w:sz w:val="20"/>
                <w:szCs w:val="20"/>
                <w:color w:val="auto"/>
              </w:rPr>
            </w:pPr>
            <w:r>
              <w:rPr>
                <w:rFonts w:ascii="Arial" w:cs="Arial" w:eastAsia="Arial" w:hAnsi="Arial"/>
                <w:sz w:val="18"/>
                <w:szCs w:val="18"/>
                <w:color w:val="auto"/>
                <w:w w:val="89"/>
              </w:rPr>
              <w:t>2/26/2016</w:t>
            </w:r>
          </w:p>
        </w:tc>
        <w:tc>
          <w:tcPr>
            <w:tcW w:w="0" w:type="dxa"/>
            <w:vAlign w:val="bottom"/>
          </w:tcPr>
          <w:p>
            <w:pPr>
              <w:spacing w:after="0"/>
              <w:rPr>
                <w:sz w:val="1"/>
                <w:szCs w:val="1"/>
                <w:color w:val="auto"/>
              </w:rPr>
            </w:pPr>
          </w:p>
        </w:tc>
      </w:tr>
      <w:tr>
        <w:trPr>
          <w:trHeight w:val="351"/>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10.23.8</w:t>
            </w:r>
          </w:p>
        </w:tc>
        <w:tc>
          <w:tcPr>
            <w:tcW w:w="1320" w:type="dxa"/>
            <w:vAlign w:val="bottom"/>
            <w:gridSpan w:val="5"/>
          </w:tcPr>
          <w:p>
            <w:pPr>
              <w:jc w:val="center"/>
              <w:spacing w:after="0"/>
              <w:rPr>
                <w:sz w:val="20"/>
                <w:szCs w:val="20"/>
                <w:color w:val="auto"/>
              </w:rPr>
            </w:pPr>
            <w:r>
              <w:rPr>
                <w:rFonts w:ascii="Arial" w:cs="Arial" w:eastAsia="Arial" w:hAnsi="Arial"/>
                <w:sz w:val="18"/>
                <w:szCs w:val="18"/>
                <w:color w:val="auto"/>
                <w:w w:val="89"/>
              </w:rPr>
              <w:t>2/26/2016</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4.2</w:t>
            </w:r>
          </w:p>
        </w:tc>
        <w:tc>
          <w:tcPr>
            <w:tcW w:w="320" w:type="dxa"/>
            <w:vAlign w:val="bottom"/>
          </w:tcPr>
          <w:p>
            <w:pPr>
              <w:spacing w:after="0"/>
              <w:rPr>
                <w:sz w:val="24"/>
                <w:szCs w:val="24"/>
                <w:color w:val="auto"/>
              </w:rPr>
            </w:pPr>
          </w:p>
        </w:tc>
        <w:tc>
          <w:tcPr>
            <w:tcW w:w="1320" w:type="dxa"/>
            <w:vAlign w:val="bottom"/>
            <w:gridSpan w:val="5"/>
          </w:tcPr>
          <w:p>
            <w:pPr>
              <w:jc w:val="center"/>
              <w:spacing w:after="0"/>
              <w:rPr>
                <w:sz w:val="20"/>
                <w:szCs w:val="20"/>
                <w:color w:val="auto"/>
              </w:rPr>
            </w:pPr>
            <w:r>
              <w:rPr>
                <w:rFonts w:ascii="Arial" w:cs="Arial" w:eastAsia="Arial" w:hAnsi="Arial"/>
                <w:sz w:val="18"/>
                <w:szCs w:val="18"/>
                <w:color w:val="auto"/>
                <w:w w:val="89"/>
              </w:rPr>
              <w:t>4/29/2016</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4.3</w:t>
            </w:r>
          </w:p>
        </w:tc>
        <w:tc>
          <w:tcPr>
            <w:tcW w:w="320" w:type="dxa"/>
            <w:vAlign w:val="bottom"/>
          </w:tcPr>
          <w:p>
            <w:pPr>
              <w:spacing w:after="0"/>
              <w:rPr>
                <w:sz w:val="24"/>
                <w:szCs w:val="24"/>
                <w:color w:val="auto"/>
              </w:rPr>
            </w:pPr>
          </w:p>
        </w:tc>
        <w:tc>
          <w:tcPr>
            <w:tcW w:w="1320" w:type="dxa"/>
            <w:vAlign w:val="bottom"/>
            <w:gridSpan w:val="5"/>
          </w:tcPr>
          <w:p>
            <w:pPr>
              <w:jc w:val="center"/>
              <w:spacing w:after="0"/>
              <w:rPr>
                <w:sz w:val="20"/>
                <w:szCs w:val="20"/>
                <w:color w:val="auto"/>
              </w:rPr>
            </w:pPr>
            <w:r>
              <w:rPr>
                <w:rFonts w:ascii="Arial" w:cs="Arial" w:eastAsia="Arial" w:hAnsi="Arial"/>
                <w:sz w:val="18"/>
                <w:szCs w:val="18"/>
                <w:color w:val="auto"/>
                <w:w w:val="89"/>
              </w:rPr>
              <w:t>4/29/2016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001-33296</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10.34</w:t>
            </w:r>
          </w:p>
        </w:tc>
        <w:tc>
          <w:tcPr>
            <w:tcW w:w="1060" w:type="dxa"/>
            <w:vAlign w:val="bottom"/>
          </w:tcPr>
          <w:p>
            <w:pPr>
              <w:jc w:val="right"/>
              <w:spacing w:after="0"/>
              <w:rPr>
                <w:sz w:val="20"/>
                <w:szCs w:val="20"/>
                <w:color w:val="auto"/>
              </w:rPr>
            </w:pPr>
            <w:r>
              <w:rPr>
                <w:rFonts w:ascii="Arial" w:cs="Arial" w:eastAsia="Arial" w:hAnsi="Arial"/>
                <w:sz w:val="18"/>
                <w:szCs w:val="18"/>
                <w:color w:val="auto"/>
              </w:rPr>
              <w:t>3/6/2009</w:t>
            </w:r>
          </w:p>
        </w:tc>
      </w:tr>
      <w:tr>
        <w:trPr>
          <w:trHeight w:val="338"/>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2"/>
              </w:rPr>
              <w:t>S-8</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001-33296</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1060" w:type="dxa"/>
            <w:vAlign w:val="bottom"/>
          </w:tcPr>
          <w:p>
            <w:pPr>
              <w:jc w:val="right"/>
              <w:spacing w:after="0"/>
              <w:rPr>
                <w:sz w:val="20"/>
                <w:szCs w:val="20"/>
                <w:color w:val="auto"/>
              </w:rPr>
            </w:pPr>
            <w:r>
              <w:rPr>
                <w:rFonts w:ascii="Arial" w:cs="Arial" w:eastAsia="Arial" w:hAnsi="Arial"/>
                <w:sz w:val="18"/>
                <w:szCs w:val="18"/>
                <w:color w:val="auto"/>
              </w:rPr>
              <w:t>4/29/2016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001-33296</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91"/>
              </w:rPr>
              <w:t>5/2/2013</w:t>
            </w:r>
          </w:p>
        </w:tc>
      </w:tr>
      <w:tr>
        <w:trPr>
          <w:trHeight w:val="338"/>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001-33296</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89"/>
              </w:rPr>
              <w:t>8/10/2007</w:t>
            </w:r>
          </w:p>
        </w:tc>
      </w:tr>
      <w:tr>
        <w:trPr>
          <w:trHeight w:val="648"/>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001-33296</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89"/>
              </w:rPr>
              <w:t>11/9/2007</w:t>
            </w:r>
          </w:p>
        </w:tc>
      </w:tr>
      <w:tr>
        <w:trPr>
          <w:trHeight w:val="554"/>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001-33296</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89"/>
              </w:rPr>
              <w:t>11/9/2007</w:t>
            </w:r>
          </w:p>
        </w:tc>
      </w:tr>
      <w:tr>
        <w:trPr>
          <w:trHeight w:val="554"/>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001-33296</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91"/>
              </w:rPr>
              <w:t>3/9/2010</w:t>
            </w:r>
          </w:p>
        </w:tc>
      </w:tr>
      <w:tr>
        <w:trPr>
          <w:trHeight w:val="770"/>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001-33296</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89"/>
              </w:rPr>
              <w:t>4/14/2010</w:t>
            </w:r>
          </w:p>
        </w:tc>
      </w:tr>
    </w:tbl>
    <w:p>
      <w:pPr>
        <w:sectPr>
          <w:pgSz w:w="11900" w:h="16838" w:orient="portrait"/>
          <w:cols w:equalWidth="0" w:num="2">
            <w:col w:w="6720" w:space="60"/>
            <w:col w:w="4580"/>
          </w:cols>
          <w:pgMar w:left="280" w:top="333" w:right="259" w:bottom="1440" w:gutter="0" w:footer="0" w:header="0"/>
        </w:sectPr>
      </w:pPr>
    </w:p>
    <w:bookmarkStart w:id="60" w:name="page61"/>
    <w:bookmarkEnd w:id="6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Incorporation by Reference</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vMerge w:val="restart"/>
          </w:tcPr>
          <w:p>
            <w:pPr>
              <w:spacing w:after="0"/>
              <w:rPr>
                <w:sz w:val="11"/>
                <w:szCs w:val="11"/>
                <w:color w:val="auto"/>
              </w:rPr>
            </w:pPr>
          </w:p>
        </w:tc>
        <w:tc>
          <w:tcPr>
            <w:tcW w:w="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Ref.</w:t>
            </w:r>
          </w:p>
        </w:tc>
        <w:tc>
          <w:tcPr>
            <w:tcW w:w="5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1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840" w:type="dxa"/>
            <w:vAlign w:val="bottom"/>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15"/>
        </w:trPr>
        <w:tc>
          <w:tcPr>
            <w:tcW w:w="4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420" w:type="dxa"/>
            <w:vAlign w:val="bottom"/>
            <w:gridSpan w:val="3"/>
            <w:vMerge w:val="continue"/>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36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3"/>
        </w:trPr>
        <w:tc>
          <w:tcPr>
            <w:tcW w:w="460" w:type="dxa"/>
            <w:vAlign w:val="bottom"/>
          </w:tcPr>
          <w:p>
            <w:pPr>
              <w:ind w:left="8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w w:val="99"/>
              </w:rPr>
              <w:t>Certification of Chief Executive Officer Pursuant to 18 U.S.C. Section</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1350.</w:t>
            </w:r>
          </w:p>
        </w:tc>
        <w:tc>
          <w:tcPr>
            <w:tcW w:w="4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60" w:type="dxa"/>
            <w:vAlign w:val="bottom"/>
          </w:tcPr>
          <w:p>
            <w:pPr>
              <w:ind w:left="8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w w:val="92"/>
              </w:rPr>
              <w:t>Certification of Chief Financial Officer Pursuant to 18 U.S.C. Section 1350.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XBRL Instance Document.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Schema Document.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Calculation Linkbase Document.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Definition Linkbase Document.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Label Linkbase Document.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0" w:hanging="55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0" w:hanging="552"/>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640" w:type="dxa"/>
            <w:vAlign w:val="bottom"/>
            <w:gridSpan w:val="7"/>
          </w:tcPr>
          <w:p>
            <w:pPr>
              <w:jc w:val="center"/>
              <w:ind w:right="2520"/>
              <w:spacing w:after="0"/>
              <w:rPr>
                <w:sz w:val="20"/>
                <w:szCs w:val="20"/>
                <w:color w:val="auto"/>
              </w:rPr>
            </w:pPr>
            <w:r>
              <w:rPr>
                <w:rFonts w:ascii="Arial" w:cs="Arial" w:eastAsia="Arial" w:hAnsi="Arial"/>
                <w:sz w:val="18"/>
                <w:szCs w:val="18"/>
                <w:b w:val="1"/>
                <w:bCs w:val="1"/>
                <w:color w:val="auto"/>
              </w:rPr>
              <w:t>INDEX TO FINANCIAL STATEMENTS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National CineMedia, Inc. and Subsidiary</w:t>
            </w:r>
          </w:p>
        </w:tc>
        <w:tc>
          <w:tcPr>
            <w:tcW w:w="640" w:type="dxa"/>
            <w:vAlign w:val="bottom"/>
            <w:gridSpan w:val="2"/>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10800" w:type="dxa"/>
            <w:vAlign w:val="bottom"/>
            <w:gridSpan w:val="8"/>
            <w:vMerge w:val="continue"/>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080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w:t>
              </w:r>
            </w:hyperlink>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2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Consolidated Balance Sheets as of December 29, 2016 and December 31, 2015</w:t>
              </w:r>
            </w:hyperlink>
          </w:p>
        </w:tc>
        <w:tc>
          <w:tcPr>
            <w:tcW w:w="5080" w:type="dxa"/>
            <w:vAlign w:val="bottom"/>
            <w:gridSpan w:val="5"/>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318"/>
        </w:trPr>
        <w:tc>
          <w:tcPr>
            <w:tcW w:w="84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Consolidated Statements of Income for the years ended December 29, 2016, December 31, 2015 and January 1, 2015</w:t>
              </w:r>
            </w:hyperlink>
          </w:p>
        </w:tc>
        <w:tc>
          <w:tcPr>
            <w:tcW w:w="2340" w:type="dxa"/>
            <w:vAlign w:val="bottom"/>
            <w:gridSpan w:val="4"/>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318"/>
        </w:trPr>
        <w:tc>
          <w:tcPr>
            <w:tcW w:w="10800" w:type="dxa"/>
            <w:vAlign w:val="bottom"/>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Statements of Comprehensive Income for the years ended December 29, 2016, December 31, 2015 and January 1, 2015</w:t>
              </w:r>
            </w:hyperlink>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318"/>
        </w:trPr>
        <w:tc>
          <w:tcPr>
            <w:tcW w:w="9620" w:type="dxa"/>
            <w:vAlign w:val="bottom"/>
            <w:tcBorders>
              <w:top w:val="single" w:sz="8" w:color="0000EE"/>
            </w:tcBorders>
            <w:gridSpan w:val="7"/>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Consolidated Statements of Equity/(Deficit) for the years ended December 29, 2016, December 31, 2015 and January 1, 2015</w:t>
              </w:r>
            </w:hyperlink>
          </w:p>
        </w:tc>
        <w:tc>
          <w:tcPr>
            <w:tcW w:w="118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318"/>
        </w:trPr>
        <w:tc>
          <w:tcPr>
            <w:tcW w:w="87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Cash Flows for the years ended December 29, 2016, December 31, 2015 and January 1, 2015</w:t>
              </w:r>
            </w:hyperlink>
          </w:p>
        </w:tc>
        <w:tc>
          <w:tcPr>
            <w:tcW w:w="300" w:type="dxa"/>
            <w:vAlign w:val="bottom"/>
            <w:tcBorders>
              <w:top w:val="single" w:sz="8" w:color="0000EE"/>
            </w:tcBorders>
          </w:tcPr>
          <w:p>
            <w:pPr>
              <w:spacing w:after="0"/>
              <w:rPr>
                <w:sz w:val="24"/>
                <w:szCs w:val="24"/>
                <w:color w:val="auto"/>
              </w:rPr>
            </w:pPr>
          </w:p>
        </w:tc>
        <w:tc>
          <w:tcPr>
            <w:tcW w:w="1740" w:type="dxa"/>
            <w:vAlign w:val="bottom"/>
            <w:gridSpan w:val="2"/>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18"/>
        </w:trPr>
        <w:tc>
          <w:tcPr>
            <w:tcW w:w="10800" w:type="dxa"/>
            <w:vAlign w:val="bottom"/>
            <w:gridSpan w:val="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885"/>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580" w:type="dxa"/>
            <w:vAlign w:val="bottom"/>
            <w:gridSpan w:val="6"/>
          </w:tcPr>
          <w:p>
            <w:pPr>
              <w:jc w:val="center"/>
              <w:ind w:right="3600"/>
              <w:spacing w:after="0"/>
              <w:rPr>
                <w:sz w:val="20"/>
                <w:szCs w:val="20"/>
                <w:color w:val="auto"/>
              </w:rPr>
            </w:pPr>
            <w:r>
              <w:rPr>
                <w:rFonts w:ascii="Arial" w:cs="Arial" w:eastAsia="Arial" w:hAnsi="Arial"/>
                <w:sz w:val="18"/>
                <w:szCs w:val="18"/>
                <w:color w:val="auto"/>
                <w:w w:val="96"/>
              </w:rPr>
              <w:t>F-1</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2" w:name="page63"/>
    <w:bookmarkEnd w:id="6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National CineMedia, Inc. and subsidiary (the "Company") as of December 29, 2016 and December 31, 2015 and the related consolidated statements of income, comprehensive income, equity/ (deficit), and cash flows for the years ended December 29, 2016, December 31, 2015 and January 1, 2015. These financial statements are the responsibility of the Company's management. Our responsibility is to express an opinion on the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National CineMedia, Inc. and subsidiary as of December 29, 2016 and December 31, 2015 and the results of their operations and their cash flows for the years ended December 29, 2016, December 31, 2015 and January 1, 2015, in conformity with accounting principles generally accepted in the United States of America.</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29, 2016, based on the criteria established in Internal Control — Integrated Framework (2013) issued by the Committee of Sponsoring Organizations of the Treadway Commission and our report dated February 23, 2017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December 29, 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156"/>
        </w:trPr>
        <w:tc>
          <w:tcPr>
            <w:tcW w:w="78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w:t>
            </w:r>
          </w:p>
        </w:tc>
        <w:tc>
          <w:tcPr>
            <w:tcW w:w="30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ind w:right="34"/>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Short-term marketable securities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Receivables, net of allowance of $6.3 and $5.6, respectively</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160.5</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Prepaid expenses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 receivable</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Current portion of notes receivable - founding members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Pr>
          <w:p>
            <w:pPr>
              <w:ind w:left="500"/>
              <w:spacing w:after="0" w:line="155" w:lineRule="exact"/>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221.1</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203.6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NON-CURRENT ASSETS: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Property and equipment, net of accumulated depreciation of $64.1 and $64.1,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Intangible assets, net of accumulated amortization of $118.9 and $91.9, respectively</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560.5</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Deferred tax assets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209.1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notes receivable, net of current portion - founding members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Other investments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marketable securities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Debt issuance costs, net</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non-current assets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836.3</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870.1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1,057.4</w:t>
            </w:r>
          </w:p>
        </w:tc>
        <w:tc>
          <w:tcPr>
            <w:tcW w:w="30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1,073.7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EQUITY/(DEFICIT)</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Amounts due to founding members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Payable to founding members under tax receivable agreement</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payroll and related expenses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w:t>
            </w: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Pr>
          <w:p>
            <w:pPr>
              <w:ind w:left="500"/>
              <w:spacing w:after="0" w:line="155" w:lineRule="exact"/>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120.6</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124.7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NON-CURRENT LIABILITIES: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Long-term debt, net of debt issuance costs of $10.7 and $10.6,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924.3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liability</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Income tax payable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Payable to founding members under tax receivable agreement</w:t>
            </w: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non-current liabilities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1,118.0</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1,120.7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1,238.6</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1,245.4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8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(NOTE 12)</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EQUITY/(DEFICIT):</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NCM, Inc. Stockholders’ Equity/(Deficit):</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Preferred stock, $0.01 par value; 10,000,000 shares authorized, none</w:t>
            </w:r>
          </w:p>
        </w:tc>
        <w:tc>
          <w:tcPr>
            <w:tcW w:w="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issued and outstanding, respectively</w:t>
            </w:r>
          </w:p>
        </w:tc>
        <w:tc>
          <w:tcPr>
            <w:tcW w:w="14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880" w:type="dxa"/>
            <w:vAlign w:val="bottom"/>
          </w:tcPr>
          <w:p>
            <w:pPr>
              <w:ind w:left="260"/>
              <w:spacing w:after="0" w:line="143" w:lineRule="exact"/>
              <w:rPr>
                <w:sz w:val="20"/>
                <w:szCs w:val="20"/>
                <w:color w:val="auto"/>
              </w:rPr>
            </w:pPr>
            <w:r>
              <w:rPr>
                <w:rFonts w:ascii="Arial" w:cs="Arial" w:eastAsia="Arial" w:hAnsi="Arial"/>
                <w:sz w:val="14"/>
                <w:szCs w:val="14"/>
                <w:color w:val="auto"/>
              </w:rPr>
              <w:t>Common stock, $0.01 par value; 175,000,000 shares authorized,</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80" w:type="dxa"/>
            <w:vAlign w:val="bottom"/>
          </w:tcPr>
          <w:p>
            <w:pPr>
              <w:ind w:left="360"/>
              <w:spacing w:after="0"/>
              <w:rPr>
                <w:sz w:val="20"/>
                <w:szCs w:val="20"/>
                <w:color w:val="auto"/>
              </w:rPr>
            </w:pPr>
            <w:r>
              <w:rPr>
                <w:rFonts w:ascii="Arial" w:cs="Arial" w:eastAsia="Arial" w:hAnsi="Arial"/>
                <w:sz w:val="14"/>
                <w:szCs w:val="14"/>
                <w:color w:val="auto"/>
              </w:rPr>
              <w:t>59,874,412 and 59,239,154 issued and outstanding,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 in capital (deficit)</w:t>
            </w:r>
          </w:p>
        </w:tc>
        <w:tc>
          <w:tcPr>
            <w:tcW w:w="14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(207.7)</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(221.5)</w:t>
            </w: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Retained earnings (distributions in excess of earnings)</w:t>
            </w:r>
          </w:p>
        </w:tc>
        <w:tc>
          <w:tcPr>
            <w:tcW w:w="14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(215.6)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156"/>
        </w:trPr>
        <w:tc>
          <w:tcPr>
            <w:tcW w:w="788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NCM, Inc. stockholders’ equity/(deficit)</w:t>
            </w:r>
          </w:p>
        </w:tc>
        <w:tc>
          <w:tcPr>
            <w:tcW w:w="14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(422.7)</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(407.0)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Noncontrolling interests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241.5</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equity/(deficit)</w:t>
            </w:r>
          </w:p>
        </w:tc>
        <w:tc>
          <w:tcPr>
            <w:tcW w:w="1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(181.2)</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(171.7)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80" w:type="dxa"/>
            <w:vAlign w:val="bottom"/>
          </w:tcPr>
          <w:p>
            <w:pPr>
              <w:spacing w:after="0" w:line="155" w:lineRule="exact"/>
              <w:rPr>
                <w:sz w:val="20"/>
                <w:szCs w:val="20"/>
                <w:color w:val="auto"/>
              </w:rPr>
            </w:pPr>
            <w:r>
              <w:rPr>
                <w:rFonts w:ascii="Arial" w:cs="Arial" w:eastAsia="Arial" w:hAnsi="Arial"/>
                <w:sz w:val="14"/>
                <w:szCs w:val="14"/>
                <w:color w:val="auto"/>
              </w:rPr>
              <w:t>TOTAL LIABILITIES AND EQUITY/DEFICIT</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1,057.4</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Years Ended</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1"/>
                <w:szCs w:val="11"/>
                <w:color w:val="auto"/>
              </w:rPr>
            </w:pPr>
          </w:p>
        </w:tc>
        <w:tc>
          <w:tcPr>
            <w:tcW w:w="1180" w:type="dxa"/>
            <w:vAlign w:val="bottom"/>
          </w:tcPr>
          <w:p>
            <w:pPr>
              <w:jc w:val="right"/>
              <w:ind w:right="291"/>
              <w:spacing w:after="0" w:line="133"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Borders>
              <w:bottom w:val="single" w:sz="8" w:color="CFF2FA"/>
            </w:tcBorders>
          </w:tcPr>
          <w:p>
            <w:pPr>
              <w:spacing w:after="0"/>
              <w:rPr>
                <w:sz w:val="14"/>
                <w:szCs w:val="14"/>
                <w:color w:val="auto"/>
              </w:rPr>
            </w:pPr>
          </w:p>
        </w:tc>
        <w:tc>
          <w:tcPr>
            <w:tcW w:w="1100" w:type="dxa"/>
            <w:vAlign w:val="bottom"/>
            <w:tcBorders>
              <w:bottom w:val="single" w:sz="8" w:color="CFF2FA"/>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2FA"/>
            </w:tcBorders>
          </w:tcPr>
          <w:p>
            <w:pPr>
              <w:spacing w:after="0"/>
              <w:rPr>
                <w:sz w:val="14"/>
                <w:szCs w:val="14"/>
                <w:color w:val="auto"/>
              </w:rPr>
            </w:pPr>
          </w:p>
        </w:tc>
        <w:tc>
          <w:tcPr>
            <w:tcW w:w="100" w:type="dxa"/>
            <w:vAlign w:val="bottom"/>
            <w:tcBorders>
              <w:bottom w:val="single" w:sz="8" w:color="CFF2FA"/>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FF2FA"/>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FF2FA"/>
          </w:tcPr>
          <w:p>
            <w:pPr>
              <w:spacing w:after="0"/>
              <w:rPr>
                <w:sz w:val="20"/>
                <w:szCs w:val="20"/>
                <w:color w:val="auto"/>
              </w:rPr>
            </w:pPr>
            <w:r>
              <w:rPr>
                <w:rFonts w:ascii="Arial" w:cs="Arial" w:eastAsia="Arial" w:hAnsi="Arial"/>
                <w:sz w:val="18"/>
                <w:szCs w:val="18"/>
                <w:color w:val="auto"/>
              </w:rPr>
              <w:t>Revenue (including revenue from founding</w:t>
            </w:r>
          </w:p>
        </w:tc>
        <w:tc>
          <w:tcPr>
            <w:tcW w:w="1100" w:type="dxa"/>
            <w:vAlign w:val="bottom"/>
            <w:shd w:val="clear" w:color="auto" w:fill="CFF2FA"/>
          </w:tcPr>
          <w:p>
            <w:pPr>
              <w:spacing w:after="0"/>
              <w:rPr>
                <w:sz w:val="18"/>
                <w:szCs w:val="18"/>
                <w:color w:val="auto"/>
              </w:rPr>
            </w:pPr>
          </w:p>
        </w:tc>
        <w:tc>
          <w:tcPr>
            <w:tcW w:w="180" w:type="dxa"/>
            <w:vAlign w:val="bottom"/>
            <w:shd w:val="clear" w:color="auto" w:fill="CFF2FA"/>
          </w:tcPr>
          <w:p>
            <w:pPr>
              <w:spacing w:after="0"/>
              <w:rPr>
                <w:sz w:val="18"/>
                <w:szCs w:val="18"/>
                <w:color w:val="auto"/>
              </w:rPr>
            </w:pPr>
          </w:p>
        </w:tc>
        <w:tc>
          <w:tcPr>
            <w:tcW w:w="122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80" w:type="dxa"/>
            <w:vAlign w:val="bottom"/>
            <w:shd w:val="clear" w:color="auto" w:fill="CFF2FA"/>
          </w:tcPr>
          <w:p>
            <w:pPr>
              <w:spacing w:after="0"/>
              <w:rPr>
                <w:sz w:val="18"/>
                <w:szCs w:val="18"/>
                <w:color w:val="auto"/>
              </w:rPr>
            </w:pPr>
          </w:p>
        </w:tc>
        <w:tc>
          <w:tcPr>
            <w:tcW w:w="124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11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FF2FA"/>
          </w:tcPr>
          <w:p>
            <w:pPr>
              <w:ind w:left="120"/>
              <w:spacing w:after="0"/>
              <w:rPr>
                <w:sz w:val="20"/>
                <w:szCs w:val="20"/>
                <w:color w:val="auto"/>
              </w:rPr>
            </w:pPr>
            <w:r>
              <w:rPr>
                <w:rFonts w:ascii="Arial" w:cs="Arial" w:eastAsia="Arial" w:hAnsi="Arial"/>
                <w:sz w:val="18"/>
                <w:szCs w:val="18"/>
                <w:color w:val="auto"/>
              </w:rPr>
              <w:t>members of $29.1, $30.2 and $38.7, respectively)</w:t>
            </w:r>
          </w:p>
        </w:tc>
        <w:tc>
          <w:tcPr>
            <w:tcW w:w="128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447.6</w:t>
            </w:r>
          </w:p>
        </w:tc>
        <w:tc>
          <w:tcPr>
            <w:tcW w:w="160" w:type="dxa"/>
            <w:vAlign w:val="bottom"/>
            <w:shd w:val="clear" w:color="auto" w:fill="CFF2FA"/>
          </w:tcPr>
          <w:p>
            <w:pPr>
              <w:spacing w:after="0"/>
              <w:rPr>
                <w:sz w:val="20"/>
                <w:szCs w:val="20"/>
                <w:color w:val="auto"/>
              </w:rPr>
            </w:pPr>
          </w:p>
        </w:tc>
        <w:tc>
          <w:tcPr>
            <w:tcW w:w="28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446.5</w:t>
            </w:r>
          </w:p>
        </w:tc>
        <w:tc>
          <w:tcPr>
            <w:tcW w:w="240" w:type="dxa"/>
            <w:vAlign w:val="bottom"/>
            <w:shd w:val="clear" w:color="auto" w:fill="CFF2FA"/>
          </w:tcPr>
          <w:p>
            <w:pPr>
              <w:spacing w:after="0"/>
              <w:rPr>
                <w:sz w:val="20"/>
                <w:szCs w:val="20"/>
                <w:color w:val="auto"/>
              </w:rPr>
            </w:pPr>
          </w:p>
        </w:tc>
        <w:tc>
          <w:tcPr>
            <w:tcW w:w="240" w:type="dxa"/>
            <w:vAlign w:val="bottom"/>
            <w:shd w:val="clear" w:color="auto" w:fill="CFF2FA"/>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394.0</w:t>
            </w:r>
          </w:p>
        </w:tc>
        <w:tc>
          <w:tcPr>
            <w:tcW w:w="1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Advertising operating costs</w:t>
            </w:r>
          </w:p>
        </w:tc>
        <w:tc>
          <w:tcPr>
            <w:tcW w:w="1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Network costs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Theater access fees—founding members</w:t>
            </w:r>
          </w:p>
        </w:tc>
        <w:tc>
          <w:tcPr>
            <w:tcW w:w="1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72.5</w:t>
            </w:r>
          </w:p>
        </w:tc>
        <w:tc>
          <w:tcPr>
            <w:tcW w:w="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Selling and marketing costs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Merger termination fee and related merger costs</w:t>
            </w:r>
          </w:p>
        </w:tc>
        <w:tc>
          <w:tcPr>
            <w:tcW w:w="1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38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Administrative and other costs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FF2FA"/>
          </w:tcPr>
          <w:p>
            <w:pPr>
              <w:spacing w:after="0"/>
              <w:rPr>
                <w:sz w:val="19"/>
                <w:szCs w:val="19"/>
                <w:color w:val="auto"/>
              </w:rPr>
            </w:pPr>
          </w:p>
        </w:tc>
        <w:tc>
          <w:tcPr>
            <w:tcW w:w="240" w:type="dxa"/>
            <w:vAlign w:val="bottom"/>
            <w:tcBorders>
              <w:bottom w:val="single" w:sz="8" w:color="auto"/>
            </w:tcBorders>
            <w:shd w:val="clear" w:color="auto" w:fill="CFF2FA"/>
          </w:tcPr>
          <w:p>
            <w:pPr>
              <w:spacing w:after="0"/>
              <w:rPr>
                <w:sz w:val="19"/>
                <w:szCs w:val="19"/>
                <w:color w:val="auto"/>
              </w:rPr>
            </w:pP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FF2FA"/>
            </w:tcBorders>
          </w:tcPr>
          <w:p>
            <w:pPr>
              <w:ind w:left="48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FF2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160" w:type="dxa"/>
            <w:vAlign w:val="bottom"/>
            <w:tcBorders>
              <w:bottom w:val="single" w:sz="8" w:color="CFF2FA"/>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240" w:type="dxa"/>
            <w:vAlign w:val="bottom"/>
            <w:tcBorders>
              <w:bottom w:val="single" w:sz="8" w:color="CFF2F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shd w:val="clear" w:color="auto" w:fill="CFF2FA"/>
          </w:tcPr>
          <w:p>
            <w:pPr>
              <w:ind w:left="480"/>
              <w:spacing w:after="0"/>
              <w:rPr>
                <w:sz w:val="20"/>
                <w:szCs w:val="20"/>
                <w:color w:val="auto"/>
              </w:rPr>
            </w:pPr>
            <w:r>
              <w:rPr>
                <w:rFonts w:ascii="Arial" w:cs="Arial" w:eastAsia="Arial" w:hAnsi="Arial"/>
                <w:sz w:val="18"/>
                <w:szCs w:val="18"/>
                <w:color w:val="auto"/>
              </w:rPr>
              <w:t>OPERATING INCOME</w:t>
            </w:r>
          </w:p>
        </w:tc>
        <w:tc>
          <w:tcPr>
            <w:tcW w:w="110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173.0</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148.0</w:t>
            </w:r>
          </w:p>
        </w:tc>
        <w:tc>
          <w:tcPr>
            <w:tcW w:w="240" w:type="dxa"/>
            <w:vAlign w:val="bottom"/>
            <w:shd w:val="clear" w:color="auto" w:fill="CFF2FA"/>
          </w:tcPr>
          <w:p>
            <w:pPr>
              <w:spacing w:after="0"/>
              <w:rPr>
                <w:sz w:val="19"/>
                <w:szCs w:val="19"/>
                <w:color w:val="auto"/>
              </w:rPr>
            </w:pPr>
          </w:p>
        </w:tc>
        <w:tc>
          <w:tcPr>
            <w:tcW w:w="240" w:type="dxa"/>
            <w:vAlign w:val="bottom"/>
            <w:tcBorders>
              <w:bottom w:val="single" w:sz="8" w:color="auto"/>
            </w:tcBorders>
            <w:shd w:val="clear" w:color="auto" w:fill="CFF2FA"/>
          </w:tcPr>
          <w:p>
            <w:pPr>
              <w:spacing w:after="0"/>
              <w:rPr>
                <w:sz w:val="19"/>
                <w:szCs w:val="19"/>
                <w:color w:val="auto"/>
              </w:rPr>
            </w:pP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NON-OPERATING EXPENSES: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Interest on borrowings</w:t>
            </w:r>
          </w:p>
        </w:tc>
        <w:tc>
          <w:tcPr>
            <w:tcW w:w="1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Accretion of interest on the discounted payable to</w:t>
            </w:r>
          </w:p>
        </w:tc>
        <w:tc>
          <w:tcPr>
            <w:tcW w:w="1100" w:type="dxa"/>
            <w:vAlign w:val="bottom"/>
            <w:shd w:val="clear" w:color="auto" w:fill="CFF2FA"/>
          </w:tcPr>
          <w:p>
            <w:pPr>
              <w:spacing w:after="0"/>
              <w:rPr>
                <w:sz w:val="18"/>
                <w:szCs w:val="18"/>
                <w:color w:val="auto"/>
              </w:rPr>
            </w:pPr>
          </w:p>
        </w:tc>
        <w:tc>
          <w:tcPr>
            <w:tcW w:w="180" w:type="dxa"/>
            <w:vAlign w:val="bottom"/>
            <w:shd w:val="clear" w:color="auto" w:fill="CFF2FA"/>
          </w:tcPr>
          <w:p>
            <w:pPr>
              <w:spacing w:after="0"/>
              <w:rPr>
                <w:sz w:val="18"/>
                <w:szCs w:val="18"/>
                <w:color w:val="auto"/>
              </w:rPr>
            </w:pPr>
          </w:p>
        </w:tc>
        <w:tc>
          <w:tcPr>
            <w:tcW w:w="122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80" w:type="dxa"/>
            <w:vAlign w:val="bottom"/>
            <w:shd w:val="clear" w:color="auto" w:fill="CFF2FA"/>
          </w:tcPr>
          <w:p>
            <w:pPr>
              <w:spacing w:after="0"/>
              <w:rPr>
                <w:sz w:val="18"/>
                <w:szCs w:val="18"/>
                <w:color w:val="auto"/>
              </w:rPr>
            </w:pPr>
          </w:p>
        </w:tc>
        <w:tc>
          <w:tcPr>
            <w:tcW w:w="124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11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FF2FA"/>
          </w:tcPr>
          <w:p>
            <w:pPr>
              <w:ind w:left="360"/>
              <w:spacing w:after="0"/>
              <w:rPr>
                <w:sz w:val="20"/>
                <w:szCs w:val="20"/>
                <w:color w:val="auto"/>
              </w:rPr>
            </w:pPr>
            <w:r>
              <w:rPr>
                <w:rFonts w:ascii="Arial" w:cs="Arial" w:eastAsia="Arial" w:hAnsi="Arial"/>
                <w:sz w:val="18"/>
                <w:szCs w:val="18"/>
                <w:color w:val="auto"/>
              </w:rPr>
              <w:t>founding members under tax receivable agreement</w:t>
            </w:r>
          </w:p>
        </w:tc>
        <w:tc>
          <w:tcPr>
            <w:tcW w:w="1100" w:type="dxa"/>
            <w:vAlign w:val="bottom"/>
            <w:shd w:val="clear" w:color="auto" w:fill="CFF2FA"/>
          </w:tcPr>
          <w:p>
            <w:pPr>
              <w:spacing w:after="0"/>
              <w:rPr>
                <w:sz w:val="20"/>
                <w:szCs w:val="20"/>
                <w:color w:val="auto"/>
              </w:rPr>
            </w:pPr>
          </w:p>
        </w:tc>
        <w:tc>
          <w:tcPr>
            <w:tcW w:w="180" w:type="dxa"/>
            <w:vAlign w:val="bottom"/>
            <w:shd w:val="clear" w:color="auto" w:fill="CFF2FA"/>
          </w:tcPr>
          <w:p>
            <w:pPr>
              <w:spacing w:after="0"/>
              <w:rPr>
                <w:sz w:val="20"/>
                <w:szCs w:val="20"/>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80" w:type="dxa"/>
            <w:vAlign w:val="bottom"/>
            <w:shd w:val="clear" w:color="auto" w:fill="CFF2FA"/>
          </w:tcPr>
          <w:p>
            <w:pPr>
              <w:spacing w:after="0"/>
              <w:rPr>
                <w:sz w:val="20"/>
                <w:szCs w:val="20"/>
                <w:color w:val="auto"/>
              </w:rPr>
            </w:pPr>
          </w:p>
        </w:tc>
        <w:tc>
          <w:tcPr>
            <w:tcW w:w="12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2FA"/>
          </w:tcPr>
          <w:p>
            <w:pPr>
              <w:spacing w:after="0"/>
              <w:rPr>
                <w:sz w:val="20"/>
                <w:szCs w:val="20"/>
                <w:color w:val="auto"/>
              </w:rPr>
            </w:pPr>
          </w:p>
        </w:tc>
        <w:tc>
          <w:tcPr>
            <w:tcW w:w="240" w:type="dxa"/>
            <w:vAlign w:val="bottom"/>
            <w:shd w:val="clear" w:color="auto" w:fill="CFF2FA"/>
          </w:tcPr>
          <w:p>
            <w:pPr>
              <w:spacing w:after="0"/>
              <w:rPr>
                <w:sz w:val="20"/>
                <w:szCs w:val="20"/>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Amortization of terminated derivatives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Loss on early retirement of debt</w:t>
            </w:r>
          </w:p>
        </w:tc>
        <w:tc>
          <w:tcPr>
            <w:tcW w:w="1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48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A"/>
          </w:tcPr>
          <w:p>
            <w:pPr>
              <w:spacing w:after="0"/>
              <w:rPr>
                <w:sz w:val="19"/>
                <w:szCs w:val="19"/>
                <w:color w:val="auto"/>
              </w:rPr>
            </w:pPr>
          </w:p>
        </w:tc>
        <w:tc>
          <w:tcPr>
            <w:tcW w:w="128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Other non-operating expense</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top w:val="single" w:sz="8" w:color="CFF2FA"/>
            </w:tcBorders>
            <w:shd w:val="clear" w:color="auto" w:fill="CFF2FA"/>
          </w:tcPr>
          <w:p>
            <w:pPr>
              <w:ind w:left="4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CFF2FA"/>
            </w:tcBorders>
            <w:shd w:val="clear" w:color="auto" w:fill="CFF2FA"/>
          </w:tcPr>
          <w:p>
            <w:pPr>
              <w:spacing w:after="0"/>
              <w:rPr>
                <w:sz w:val="19"/>
                <w:szCs w:val="19"/>
                <w:color w:val="auto"/>
              </w:rPr>
            </w:pPr>
          </w:p>
        </w:tc>
        <w:tc>
          <w:tcPr>
            <w:tcW w:w="180" w:type="dxa"/>
            <w:vAlign w:val="bottom"/>
            <w:tcBorders>
              <w:top w:val="single" w:sz="8" w:color="auto"/>
              <w:bottom w:val="single" w:sz="8" w:color="auto"/>
            </w:tcBorders>
            <w:shd w:val="clear" w:color="auto" w:fill="CFF2FA"/>
          </w:tcPr>
          <w:p>
            <w:pPr>
              <w:spacing w:after="0"/>
              <w:rPr>
                <w:sz w:val="19"/>
                <w:szCs w:val="19"/>
                <w:color w:val="auto"/>
              </w:rPr>
            </w:pPr>
          </w:p>
        </w:tc>
        <w:tc>
          <w:tcPr>
            <w:tcW w:w="12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c>
          <w:tcPr>
            <w:tcW w:w="180" w:type="dxa"/>
            <w:vAlign w:val="bottom"/>
            <w:tcBorders>
              <w:top w:val="single" w:sz="8" w:color="auto"/>
              <w:bottom w:val="single" w:sz="8" w:color="auto"/>
            </w:tcBorders>
            <w:shd w:val="clear" w:color="auto" w:fill="CFF2FA"/>
          </w:tcPr>
          <w:p>
            <w:pPr>
              <w:spacing w:after="0"/>
              <w:rPr>
                <w:sz w:val="19"/>
                <w:szCs w:val="19"/>
                <w:color w:val="auto"/>
              </w:rPr>
            </w:pPr>
          </w:p>
        </w:tc>
        <w:tc>
          <w:tcPr>
            <w:tcW w:w="12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66.5</w:t>
            </w:r>
          </w:p>
        </w:tc>
        <w:tc>
          <w:tcPr>
            <w:tcW w:w="240" w:type="dxa"/>
            <w:vAlign w:val="bottom"/>
            <w:tcBorders>
              <w:top w:val="single" w:sz="8" w:color="CFF2FA"/>
            </w:tcBorders>
            <w:shd w:val="clear" w:color="auto" w:fill="CFF2FA"/>
          </w:tcPr>
          <w:p>
            <w:pPr>
              <w:spacing w:after="0"/>
              <w:rPr>
                <w:sz w:val="19"/>
                <w:szCs w:val="19"/>
                <w:color w:val="auto"/>
              </w:rPr>
            </w:pPr>
          </w:p>
        </w:tc>
        <w:tc>
          <w:tcPr>
            <w:tcW w:w="240" w:type="dxa"/>
            <w:vAlign w:val="bottom"/>
            <w:tcBorders>
              <w:top w:val="single" w:sz="8" w:color="auto"/>
              <w:bottom w:val="single" w:sz="8" w:color="auto"/>
            </w:tcBorders>
            <w:shd w:val="clear" w:color="auto" w:fill="CFF2FA"/>
          </w:tcPr>
          <w:p>
            <w:pPr>
              <w:spacing w:after="0"/>
              <w:rPr>
                <w:sz w:val="19"/>
                <w:szCs w:val="19"/>
                <w:color w:val="auto"/>
              </w:rPr>
            </w:pPr>
          </w:p>
        </w:tc>
        <w:tc>
          <w:tcPr>
            <w:tcW w:w="11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Income tax expense</w:t>
            </w:r>
          </w:p>
        </w:tc>
        <w:tc>
          <w:tcPr>
            <w:tcW w:w="110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FF2FA"/>
          </w:tcPr>
          <w:p>
            <w:pPr>
              <w:spacing w:after="0"/>
              <w:rPr>
                <w:sz w:val="19"/>
                <w:szCs w:val="19"/>
                <w:color w:val="auto"/>
              </w:rPr>
            </w:pPr>
          </w:p>
        </w:tc>
        <w:tc>
          <w:tcPr>
            <w:tcW w:w="240" w:type="dxa"/>
            <w:vAlign w:val="bottom"/>
            <w:tcBorders>
              <w:bottom w:val="single" w:sz="8" w:color="auto"/>
            </w:tcBorders>
            <w:shd w:val="clear" w:color="auto" w:fill="CFF2FA"/>
          </w:tcPr>
          <w:p>
            <w:pPr>
              <w:spacing w:after="0"/>
              <w:rPr>
                <w:sz w:val="19"/>
                <w:szCs w:val="19"/>
                <w:color w:val="auto"/>
              </w:rPr>
            </w:pP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Less: Net income attributable to noncontrolling interests</w:t>
            </w:r>
          </w:p>
        </w:tc>
        <w:tc>
          <w:tcPr>
            <w:tcW w:w="110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CFF2FA"/>
          </w:tcPr>
          <w:p>
            <w:pPr>
              <w:spacing w:after="0"/>
              <w:rPr>
                <w:sz w:val="19"/>
                <w:szCs w:val="19"/>
                <w:color w:val="auto"/>
              </w:rPr>
            </w:pPr>
          </w:p>
        </w:tc>
        <w:tc>
          <w:tcPr>
            <w:tcW w:w="240" w:type="dxa"/>
            <w:vAlign w:val="bottom"/>
            <w:tcBorders>
              <w:bottom w:val="single" w:sz="8" w:color="auto"/>
            </w:tcBorders>
            <w:shd w:val="clear" w:color="auto" w:fill="CFF2FA"/>
          </w:tcPr>
          <w:p>
            <w:pPr>
              <w:spacing w:after="0"/>
              <w:rPr>
                <w:sz w:val="19"/>
                <w:szCs w:val="19"/>
                <w:color w:val="auto"/>
              </w:rPr>
            </w:pP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80" w:type="dxa"/>
            <w:vAlign w:val="bottom"/>
            <w:gridSpan w:val="2"/>
          </w:tcPr>
          <w:p>
            <w:pPr>
              <w:spacing w:after="0"/>
              <w:rPr>
                <w:sz w:val="20"/>
                <w:szCs w:val="20"/>
                <w:color w:val="auto"/>
              </w:rPr>
            </w:pPr>
            <w:r>
              <w:rPr>
                <w:rFonts w:ascii="Arial" w:cs="Arial" w:eastAsia="Arial" w:hAnsi="Arial"/>
                <w:sz w:val="18"/>
                <w:szCs w:val="18"/>
                <w:color w:val="auto"/>
              </w:rPr>
              <w:t>NET INCOME ATTRIBUTABLE TO NCM, INC.</w:t>
            </w:r>
          </w:p>
        </w:tc>
        <w:tc>
          <w:tcPr>
            <w:tcW w:w="1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Borders>
              <w:top w:val="single" w:sz="8" w:color="CFF2FA"/>
            </w:tcBorders>
            <w:shd w:val="clear" w:color="auto" w:fill="CFF2FA"/>
          </w:tcPr>
          <w:p>
            <w:pPr>
              <w:spacing w:after="0"/>
              <w:rPr>
                <w:sz w:val="18"/>
                <w:szCs w:val="18"/>
                <w:color w:val="auto"/>
              </w:rPr>
            </w:pPr>
          </w:p>
        </w:tc>
        <w:tc>
          <w:tcPr>
            <w:tcW w:w="1100" w:type="dxa"/>
            <w:vAlign w:val="bottom"/>
            <w:tcBorders>
              <w:top w:val="single" w:sz="8" w:color="CFF2FA"/>
            </w:tcBorders>
            <w:shd w:val="clear" w:color="auto" w:fill="CFF2FA"/>
          </w:tcPr>
          <w:p>
            <w:pPr>
              <w:spacing w:after="0"/>
              <w:rPr>
                <w:sz w:val="18"/>
                <w:szCs w:val="18"/>
                <w:color w:val="auto"/>
              </w:rPr>
            </w:pPr>
          </w:p>
        </w:tc>
        <w:tc>
          <w:tcPr>
            <w:tcW w:w="180" w:type="dxa"/>
            <w:vAlign w:val="bottom"/>
            <w:tcBorders>
              <w:top w:val="single" w:sz="8" w:color="auto"/>
            </w:tcBorders>
            <w:shd w:val="clear" w:color="auto" w:fill="CFF2FA"/>
          </w:tcPr>
          <w:p>
            <w:pPr>
              <w:spacing w:after="0"/>
              <w:rPr>
                <w:sz w:val="18"/>
                <w:szCs w:val="18"/>
                <w:color w:val="auto"/>
              </w:rPr>
            </w:pPr>
          </w:p>
        </w:tc>
        <w:tc>
          <w:tcPr>
            <w:tcW w:w="1220" w:type="dxa"/>
            <w:vAlign w:val="bottom"/>
            <w:tcBorders>
              <w:top w:val="single" w:sz="8" w:color="auto"/>
            </w:tcBorders>
            <w:shd w:val="clear" w:color="auto" w:fill="CFF2FA"/>
          </w:tcPr>
          <w:p>
            <w:pPr>
              <w:spacing w:after="0"/>
              <w:rPr>
                <w:sz w:val="18"/>
                <w:szCs w:val="18"/>
                <w:color w:val="auto"/>
              </w:rPr>
            </w:pPr>
          </w:p>
        </w:tc>
        <w:tc>
          <w:tcPr>
            <w:tcW w:w="160" w:type="dxa"/>
            <w:vAlign w:val="bottom"/>
            <w:tcBorders>
              <w:top w:val="single" w:sz="8" w:color="CFF2FA"/>
            </w:tcBorders>
            <w:shd w:val="clear" w:color="auto" w:fill="CFF2FA"/>
          </w:tcPr>
          <w:p>
            <w:pPr>
              <w:spacing w:after="0"/>
              <w:rPr>
                <w:sz w:val="18"/>
                <w:szCs w:val="18"/>
                <w:color w:val="auto"/>
              </w:rPr>
            </w:pPr>
          </w:p>
        </w:tc>
        <w:tc>
          <w:tcPr>
            <w:tcW w:w="100" w:type="dxa"/>
            <w:vAlign w:val="bottom"/>
            <w:tcBorders>
              <w:top w:val="single" w:sz="8" w:color="CFF2FA"/>
            </w:tcBorders>
            <w:shd w:val="clear" w:color="auto" w:fill="CFF2FA"/>
          </w:tcPr>
          <w:p>
            <w:pPr>
              <w:spacing w:after="0"/>
              <w:rPr>
                <w:sz w:val="18"/>
                <w:szCs w:val="18"/>
                <w:color w:val="auto"/>
              </w:rPr>
            </w:pPr>
          </w:p>
        </w:tc>
        <w:tc>
          <w:tcPr>
            <w:tcW w:w="180" w:type="dxa"/>
            <w:vAlign w:val="bottom"/>
            <w:tcBorders>
              <w:top w:val="single" w:sz="8" w:color="auto"/>
            </w:tcBorders>
            <w:shd w:val="clear" w:color="auto" w:fill="CFF2FA"/>
          </w:tcPr>
          <w:p>
            <w:pPr>
              <w:spacing w:after="0"/>
              <w:rPr>
                <w:sz w:val="18"/>
                <w:szCs w:val="18"/>
                <w:color w:val="auto"/>
              </w:rPr>
            </w:pPr>
          </w:p>
        </w:tc>
        <w:tc>
          <w:tcPr>
            <w:tcW w:w="1240" w:type="dxa"/>
            <w:vAlign w:val="bottom"/>
            <w:tcBorders>
              <w:top w:val="single" w:sz="8" w:color="auto"/>
            </w:tcBorders>
            <w:shd w:val="clear" w:color="auto" w:fill="CFF2FA"/>
          </w:tcPr>
          <w:p>
            <w:pPr>
              <w:spacing w:after="0"/>
              <w:rPr>
                <w:sz w:val="18"/>
                <w:szCs w:val="18"/>
                <w:color w:val="auto"/>
              </w:rPr>
            </w:pPr>
          </w:p>
        </w:tc>
        <w:tc>
          <w:tcPr>
            <w:tcW w:w="240" w:type="dxa"/>
            <w:vAlign w:val="bottom"/>
            <w:tcBorders>
              <w:top w:val="single" w:sz="8" w:color="CFF2FA"/>
            </w:tcBorders>
            <w:shd w:val="clear" w:color="auto" w:fill="CFF2FA"/>
          </w:tcPr>
          <w:p>
            <w:pPr>
              <w:spacing w:after="0"/>
              <w:rPr>
                <w:sz w:val="18"/>
                <w:szCs w:val="18"/>
                <w:color w:val="auto"/>
              </w:rPr>
            </w:pPr>
          </w:p>
        </w:tc>
        <w:tc>
          <w:tcPr>
            <w:tcW w:w="240" w:type="dxa"/>
            <w:vAlign w:val="bottom"/>
            <w:tcBorders>
              <w:top w:val="single" w:sz="8" w:color="auto"/>
            </w:tcBorders>
            <w:shd w:val="clear" w:color="auto" w:fill="CFF2FA"/>
          </w:tcPr>
          <w:p>
            <w:pPr>
              <w:spacing w:after="0"/>
              <w:rPr>
                <w:sz w:val="18"/>
                <w:szCs w:val="18"/>
                <w:color w:val="auto"/>
              </w:rPr>
            </w:pPr>
          </w:p>
        </w:tc>
        <w:tc>
          <w:tcPr>
            <w:tcW w:w="1180" w:type="dxa"/>
            <w:vAlign w:val="bottom"/>
            <w:tcBorders>
              <w:top w:val="single" w:sz="8" w:color="auto"/>
            </w:tcBorders>
            <w:shd w:val="clear" w:color="auto" w:fill="CFF2FA"/>
          </w:tcPr>
          <w:p>
            <w:pPr>
              <w:spacing w:after="0"/>
              <w:rPr>
                <w:sz w:val="18"/>
                <w:szCs w:val="18"/>
                <w:color w:val="auto"/>
              </w:rPr>
            </w:pPr>
          </w:p>
        </w:tc>
        <w:tc>
          <w:tcPr>
            <w:tcW w:w="100" w:type="dxa"/>
            <w:vAlign w:val="bottom"/>
            <w:tcBorders>
              <w:top w:val="single" w:sz="8" w:color="CFF2FA"/>
            </w:tcBorders>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 PER NCM, INC. COMMON SHARE:</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FF2FA"/>
          </w:tcPr>
          <w:p>
            <w:pPr>
              <w:spacing w:after="0"/>
              <w:rPr>
                <w:sz w:val="19"/>
                <w:szCs w:val="19"/>
                <w:color w:val="auto"/>
              </w:rPr>
            </w:pPr>
          </w:p>
        </w:tc>
        <w:tc>
          <w:tcPr>
            <w:tcW w:w="28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FF2FA"/>
          </w:tcPr>
          <w:p>
            <w:pPr>
              <w:spacing w:after="0"/>
              <w:rPr>
                <w:sz w:val="19"/>
                <w:szCs w:val="19"/>
                <w:color w:val="auto"/>
              </w:rPr>
            </w:pPr>
          </w:p>
        </w:tc>
        <w:tc>
          <w:tcPr>
            <w:tcW w:w="240" w:type="dxa"/>
            <w:vAlign w:val="bottom"/>
            <w:shd w:val="clear" w:color="auto" w:fill="CFF2FA"/>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Diluted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2FA"/>
          </w:tcPr>
          <w:p>
            <w:pPr>
              <w:spacing w:after="0"/>
              <w:rPr>
                <w:sz w:val="20"/>
                <w:szCs w:val="20"/>
                <w:color w:val="auto"/>
              </w:rPr>
            </w:pPr>
            <w:r>
              <w:rPr>
                <w:rFonts w:ascii="Arial" w:cs="Arial" w:eastAsia="Arial" w:hAnsi="Arial"/>
                <w:sz w:val="18"/>
                <w:szCs w:val="18"/>
                <w:color w:val="auto"/>
              </w:rPr>
              <w:t>WEIGHTED AVERAGE SHARES OUTSTANDING:</w:t>
            </w:r>
          </w:p>
        </w:tc>
        <w:tc>
          <w:tcPr>
            <w:tcW w:w="1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Basic</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59,788,026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58,979,508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58,709,534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60,605,570</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59,589,299</w:t>
            </w:r>
          </w:p>
        </w:tc>
        <w:tc>
          <w:tcPr>
            <w:tcW w:w="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59,005,320</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shd w:val="clear" w:color="auto" w:fill="CFF2FA"/>
          </w:tcPr>
          <w:p>
            <w:pPr>
              <w:spacing w:after="0"/>
              <w:rPr>
                <w:sz w:val="20"/>
                <w:szCs w:val="20"/>
                <w:color w:val="auto"/>
              </w:rPr>
            </w:pPr>
            <w:r>
              <w:rPr>
                <w:rFonts w:ascii="Arial" w:cs="Arial" w:eastAsia="Arial" w:hAnsi="Arial"/>
                <w:sz w:val="18"/>
                <w:szCs w:val="18"/>
                <w:color w:val="auto"/>
              </w:rPr>
              <w:t>Dividends declared per common share</w:t>
            </w:r>
          </w:p>
        </w:tc>
        <w:tc>
          <w:tcPr>
            <w:tcW w:w="128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FF2FA"/>
          </w:tcPr>
          <w:p>
            <w:pPr>
              <w:spacing w:after="0"/>
              <w:rPr>
                <w:sz w:val="19"/>
                <w:szCs w:val="19"/>
                <w:color w:val="auto"/>
              </w:rPr>
            </w:pPr>
          </w:p>
        </w:tc>
        <w:tc>
          <w:tcPr>
            <w:tcW w:w="28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0.88</w:t>
            </w:r>
          </w:p>
        </w:tc>
        <w:tc>
          <w:tcPr>
            <w:tcW w:w="240" w:type="dxa"/>
            <w:vAlign w:val="bottom"/>
            <w:shd w:val="clear" w:color="auto" w:fill="CFF2FA"/>
          </w:tcPr>
          <w:p>
            <w:pPr>
              <w:spacing w:after="0"/>
              <w:rPr>
                <w:sz w:val="19"/>
                <w:szCs w:val="19"/>
                <w:color w:val="auto"/>
              </w:rPr>
            </w:pPr>
          </w:p>
        </w:tc>
        <w:tc>
          <w:tcPr>
            <w:tcW w:w="240" w:type="dxa"/>
            <w:vAlign w:val="bottom"/>
            <w:shd w:val="clear" w:color="auto" w:fill="CFF2FA"/>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1"/>
              </w:rPr>
              <w:t>Years Ended</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6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1"/>
                <w:szCs w:val="11"/>
                <w:color w:val="auto"/>
              </w:rPr>
            </w:pPr>
          </w:p>
        </w:tc>
        <w:tc>
          <w:tcPr>
            <w:tcW w:w="14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1"/>
                <w:szCs w:val="11"/>
                <w:color w:val="auto"/>
              </w:rPr>
            </w:pPr>
          </w:p>
        </w:tc>
        <w:tc>
          <w:tcPr>
            <w:tcW w:w="11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January 1,</w:t>
            </w:r>
          </w:p>
        </w:tc>
        <w:tc>
          <w:tcPr>
            <w:tcW w:w="120" w:type="dxa"/>
            <w:vAlign w:val="bottom"/>
          </w:tcPr>
          <w:p>
            <w:pPr>
              <w:spacing w:after="0"/>
              <w:rPr>
                <w:sz w:val="11"/>
                <w:szCs w:val="11"/>
                <w:color w:val="auto"/>
              </w:rPr>
            </w:pPr>
          </w:p>
        </w:tc>
      </w:tr>
      <w:tr>
        <w:trPr>
          <w:trHeight w:val="171"/>
        </w:trPr>
        <w:tc>
          <w:tcPr>
            <w:tcW w:w="67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09"/>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 NET OF TAX OF</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$9.2, $17.8 AND $9.9, RESPECTIVELY</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FF0FC"/>
          </w:tcPr>
          <w:p>
            <w:pPr>
              <w:spacing w:after="0"/>
              <w:rPr>
                <w:sz w:val="20"/>
                <w:szCs w:val="20"/>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terminated derivatives, net of tax of $0.0, $0.3</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$1.8, respectively</w:t>
            </w:r>
          </w:p>
        </w:tc>
        <w:tc>
          <w:tcPr>
            <w:tcW w:w="1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20"/>
                <w:szCs w:val="20"/>
                <w:color w:val="auto"/>
              </w:rPr>
            </w:pPr>
          </w:p>
        </w:tc>
      </w:tr>
      <w:tr>
        <w:trPr>
          <w:trHeight w:val="223"/>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CONSOLIDATED COMPREHENSIVE INCOME</w:t>
            </w: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2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FF0FC"/>
            </w:tcBorders>
          </w:tcPr>
          <w:p>
            <w:pPr>
              <w:spacing w:after="0"/>
              <w:rPr>
                <w:sz w:val="19"/>
                <w:szCs w:val="19"/>
                <w:color w:val="auto"/>
              </w:rPr>
            </w:pPr>
          </w:p>
        </w:tc>
      </w:tr>
      <w:tr>
        <w:trPr>
          <w:trHeight w:val="20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Comprehensive income attributable to</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FF0FC"/>
          </w:tcPr>
          <w:p>
            <w:pPr>
              <w:spacing w:after="0"/>
              <w:rPr>
                <w:sz w:val="20"/>
                <w:szCs w:val="20"/>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COMPREHENSIVE INCOME ATTRIBUTABLE TO NCM, INC.</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NCM, Inc.</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Retained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4"/>
          </w:tcPr>
          <w:p>
            <w:pPr>
              <w:ind w:left="2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Earnings</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Paid in</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(Distribution</w:t>
            </w: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in Excess of</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Consolidated</w:t>
            </w:r>
          </w:p>
        </w:tc>
        <w:tc>
          <w:tcPr>
            <w:tcW w:w="860" w:type="dxa"/>
            <w:vAlign w:val="bottom"/>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88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3"/>
                <w:szCs w:val="13"/>
                <w:color w:val="auto"/>
              </w:rPr>
            </w:pPr>
          </w:p>
        </w:tc>
        <w:tc>
          <w:tcPr>
            <w:tcW w:w="9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2"/>
              </w:rPr>
              <w:t>Earnings)</w:t>
            </w:r>
          </w:p>
        </w:tc>
        <w:tc>
          <w:tcPr>
            <w:tcW w:w="200" w:type="dxa"/>
            <w:vAlign w:val="bottom"/>
          </w:tcPr>
          <w:p>
            <w:pPr>
              <w:spacing w:after="0"/>
              <w:rPr>
                <w:sz w:val="13"/>
                <w:szCs w:val="13"/>
                <w:color w:val="auto"/>
              </w:rPr>
            </w:pPr>
          </w:p>
        </w:tc>
        <w:tc>
          <w:tcPr>
            <w:tcW w:w="9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Balance—December 26, 2013</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(146.1)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58,519,137</w:t>
            </w:r>
          </w:p>
        </w:tc>
        <w:tc>
          <w:tcPr>
            <w:tcW w:w="54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(271.7)</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(80.0)</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(3.2)</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Distributions to founding members</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(79.4)</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NCM LLC equity issued for purchase of</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intangible asset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20"/>
                <w:szCs w:val="20"/>
                <w:color w:val="auto"/>
              </w:rPr>
            </w:pPr>
            <w:r>
              <w:rPr>
                <w:rFonts w:ascii="Arial" w:cs="Arial" w:eastAsia="Arial" w:hAnsi="Arial"/>
                <w:sz w:val="16"/>
                <w:szCs w:val="16"/>
                <w:color w:val="auto"/>
              </w:rPr>
              <w:t>Income tax and other impacts of NCM LLC</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120"/>
              <w:spacing w:after="0"/>
              <w:rPr>
                <w:sz w:val="20"/>
                <w:szCs w:val="20"/>
                <w:color w:val="auto"/>
              </w:rPr>
            </w:pPr>
            <w:r>
              <w:rPr>
                <w:rFonts w:ascii="Arial" w:cs="Arial" w:eastAsia="Arial" w:hAnsi="Arial"/>
                <w:sz w:val="16"/>
                <w:szCs w:val="16"/>
                <w:color w:val="auto"/>
              </w:rPr>
              <w:t>ownership changes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Comprehensive income, net of tax</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Share-based compensation issued</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(0.6)</w:t>
            </w:r>
          </w:p>
        </w:tc>
        <w:tc>
          <w:tcPr>
            <w:tcW w:w="860" w:type="dxa"/>
            <w:vAlign w:val="bottom"/>
          </w:tcPr>
          <w:p>
            <w:pPr>
              <w:jc w:val="right"/>
              <w:spacing w:after="0"/>
              <w:rPr>
                <w:sz w:val="20"/>
                <w:szCs w:val="20"/>
                <w:color w:val="auto"/>
              </w:rPr>
            </w:pPr>
            <w:r>
              <w:rPr>
                <w:rFonts w:ascii="Arial" w:cs="Arial" w:eastAsia="Arial" w:hAnsi="Arial"/>
                <w:sz w:val="16"/>
                <w:szCs w:val="16"/>
                <w:color w:val="auto"/>
              </w:rPr>
              <w:t>231,789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 expense/capitalized</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20"/>
                <w:szCs w:val="20"/>
                <w:color w:val="auto"/>
              </w:rPr>
            </w:pPr>
            <w:r>
              <w:rPr>
                <w:rFonts w:ascii="Arial" w:cs="Arial" w:eastAsia="Arial" w:hAnsi="Arial"/>
                <w:sz w:val="16"/>
                <w:szCs w:val="16"/>
                <w:color w:val="auto"/>
              </w:rPr>
              <w:t>Excess tax benefit from share-based</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Cash dividends declared $1.38 per share</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(80.8)</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(80.8)</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6"/>
                <w:szCs w:val="16"/>
                <w:color w:val="auto"/>
              </w:rPr>
              <w:t>Balance—January 1, 2015</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36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(208.7)</w:t>
            </w:r>
          </w:p>
        </w:tc>
        <w:tc>
          <w:tcPr>
            <w:tcW w:w="860" w:type="dxa"/>
            <w:vAlign w:val="bottom"/>
          </w:tcPr>
          <w:p>
            <w:pPr>
              <w:jc w:val="right"/>
              <w:spacing w:after="0"/>
              <w:rPr>
                <w:sz w:val="20"/>
                <w:szCs w:val="20"/>
                <w:color w:val="auto"/>
              </w:rPr>
            </w:pPr>
            <w:r>
              <w:rPr>
                <w:rFonts w:ascii="Arial" w:cs="Arial" w:eastAsia="Arial" w:hAnsi="Arial"/>
                <w:sz w:val="16"/>
                <w:szCs w:val="16"/>
                <w:color w:val="auto"/>
              </w:rPr>
              <w:t>58,750,926</w:t>
            </w:r>
          </w:p>
        </w:tc>
        <w:tc>
          <w:tcPr>
            <w:tcW w:w="54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0.6</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(261.0)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(147.4)</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(0.4)</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Distributions to founding members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(82.2)</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06"/>
        </w:trPr>
        <w:tc>
          <w:tcPr>
            <w:tcW w:w="4360" w:type="dxa"/>
            <w:vAlign w:val="bottom"/>
          </w:tcPr>
          <w:p>
            <w:pPr>
              <w:spacing w:after="0"/>
              <w:rPr>
                <w:sz w:val="20"/>
                <w:szCs w:val="20"/>
                <w:color w:val="auto"/>
              </w:rPr>
            </w:pPr>
            <w:r>
              <w:rPr>
                <w:rFonts w:ascii="Arial" w:cs="Arial" w:eastAsia="Arial" w:hAnsi="Arial"/>
                <w:sz w:val="16"/>
                <w:szCs w:val="16"/>
                <w:color w:val="auto"/>
              </w:rPr>
              <w:t>NCM LLC equity issued for purchase of</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120"/>
              <w:spacing w:after="0"/>
              <w:rPr>
                <w:sz w:val="20"/>
                <w:szCs w:val="20"/>
                <w:color w:val="auto"/>
              </w:rPr>
            </w:pPr>
            <w:r>
              <w:rPr>
                <w:rFonts w:ascii="Arial" w:cs="Arial" w:eastAsia="Arial" w:hAnsi="Arial"/>
                <w:sz w:val="16"/>
                <w:szCs w:val="16"/>
                <w:color w:val="auto"/>
              </w:rPr>
              <w:t>intangible asset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Income tax and other impacts of NCM LLC</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ownership changes</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(7.2)</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(15.1)</w:t>
            </w: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Issuance of shares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NCM, Inc. investment in NCM LLC</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(3.2)</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(3.2)</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Comprehensive income, net of tax</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 issued</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288,228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Share-based compensation expense/capitalized</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Excess tax benefit from share-based</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compensation</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Cash dividends declared $0.88 per share</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(54.1)</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(54.1)</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Balance—December 31, 2015</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(171.7)</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59,239,154</w:t>
            </w:r>
          </w:p>
        </w:tc>
        <w:tc>
          <w:tcPr>
            <w:tcW w:w="54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(221.5)</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(186.1)</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(0.0)</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Distributions to founding members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(75.1)</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NCM LLC equity issued for purchase of</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intangible asset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20"/>
                <w:szCs w:val="20"/>
                <w:color w:val="auto"/>
              </w:rPr>
            </w:pPr>
            <w:r>
              <w:rPr>
                <w:rFonts w:ascii="Arial" w:cs="Arial" w:eastAsia="Arial" w:hAnsi="Arial"/>
                <w:sz w:val="16"/>
                <w:szCs w:val="16"/>
                <w:color w:val="auto"/>
              </w:rPr>
              <w:t>Income tax and other impacts of NCM LLC</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120"/>
              <w:spacing w:after="0"/>
              <w:rPr>
                <w:sz w:val="20"/>
                <w:szCs w:val="20"/>
                <w:color w:val="auto"/>
              </w:rPr>
            </w:pPr>
            <w:r>
              <w:rPr>
                <w:rFonts w:ascii="Arial" w:cs="Arial" w:eastAsia="Arial" w:hAnsi="Arial"/>
                <w:sz w:val="16"/>
                <w:szCs w:val="16"/>
                <w:color w:val="auto"/>
              </w:rPr>
              <w:t>ownership changes</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(2.0)</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Comprehensive income, net of tax</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Share-based compensation issued</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(4.4)</w:t>
            </w:r>
          </w:p>
        </w:tc>
        <w:tc>
          <w:tcPr>
            <w:tcW w:w="860" w:type="dxa"/>
            <w:vAlign w:val="bottom"/>
          </w:tcPr>
          <w:p>
            <w:pPr>
              <w:jc w:val="right"/>
              <w:spacing w:after="0"/>
              <w:rPr>
                <w:sz w:val="20"/>
                <w:szCs w:val="20"/>
                <w:color w:val="auto"/>
              </w:rPr>
            </w:pPr>
            <w:r>
              <w:rPr>
                <w:rFonts w:ascii="Arial" w:cs="Arial" w:eastAsia="Arial" w:hAnsi="Arial"/>
                <w:sz w:val="16"/>
                <w:szCs w:val="16"/>
                <w:color w:val="auto"/>
              </w:rPr>
              <w:t>635,258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 expense/capitalized</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Cash dividends declared $0.88 per share</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(54.9)</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(54.9)</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Balance—December 29, 2016</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(181.2)</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59,874,412</w:t>
            </w:r>
          </w:p>
        </w:tc>
        <w:tc>
          <w:tcPr>
            <w:tcW w:w="54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(207.7)</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(215.6)</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(0.0)</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1"/>
              </w:rPr>
              <w:t>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w w:val="98"/>
              </w:rPr>
              <w:t>December 29,</w:t>
            </w:r>
          </w:p>
        </w:tc>
        <w:tc>
          <w:tcPr>
            <w:tcW w:w="180" w:type="dxa"/>
            <w:vAlign w:val="bottom"/>
          </w:tcPr>
          <w:p>
            <w:pPr>
              <w:spacing w:after="0"/>
              <w:rPr>
                <w:sz w:val="11"/>
                <w:szCs w:val="11"/>
                <w:color w:val="auto"/>
              </w:rPr>
            </w:pPr>
          </w:p>
        </w:tc>
        <w:tc>
          <w:tcPr>
            <w:tcW w:w="14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1"/>
                <w:szCs w:val="11"/>
                <w:color w:val="auto"/>
              </w:rPr>
            </w:pPr>
          </w:p>
        </w:tc>
        <w:tc>
          <w:tcPr>
            <w:tcW w:w="1140" w:type="dxa"/>
            <w:vAlign w:val="bottom"/>
          </w:tcPr>
          <w:p>
            <w:pPr>
              <w:jc w:val="right"/>
              <w:ind w:right="259"/>
              <w:spacing w:after="0" w:line="133" w:lineRule="exact"/>
              <w:rPr>
                <w:sz w:val="20"/>
                <w:szCs w:val="20"/>
                <w:color w:val="auto"/>
              </w:rPr>
            </w:pPr>
            <w:r>
              <w:rPr>
                <w:rFonts w:ascii="Arial" w:cs="Arial" w:eastAsia="Arial" w:hAnsi="Arial"/>
                <w:sz w:val="14"/>
                <w:szCs w:val="14"/>
                <w:b w:val="1"/>
                <w:bCs w:val="1"/>
                <w:color w:val="auto"/>
              </w:rPr>
              <w:t>January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7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Consolidated net income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87.0</w:t>
            </w:r>
          </w:p>
        </w:tc>
        <w:tc>
          <w:tcPr>
            <w:tcW w:w="2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63.7</w:t>
            </w:r>
          </w:p>
        </w:tc>
        <w:tc>
          <w:tcPr>
            <w:tcW w:w="26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consolidated net income to net cash</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provided by operating activities:</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Deferred income tax expense</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Non-cash share-based compensation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Excess tax benefit from share-based compensation</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780" w:type="dxa"/>
            <w:vAlign w:val="bottom"/>
          </w:tcPr>
          <w:p>
            <w:pPr>
              <w:ind w:left="500"/>
              <w:spacing w:after="0"/>
              <w:rPr>
                <w:sz w:val="20"/>
                <w:szCs w:val="20"/>
                <w:color w:val="auto"/>
              </w:rPr>
            </w:pPr>
            <w:r>
              <w:rPr>
                <w:rFonts w:ascii="Arial" w:cs="Arial" w:eastAsia="Arial" w:hAnsi="Arial"/>
                <w:sz w:val="16"/>
                <w:szCs w:val="16"/>
                <w:color w:val="auto"/>
              </w:rPr>
              <w:t>Accretion of interest on the discounted payable to founding</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620"/>
              <w:spacing w:after="0"/>
              <w:rPr>
                <w:sz w:val="20"/>
                <w:szCs w:val="20"/>
                <w:color w:val="auto"/>
              </w:rPr>
            </w:pPr>
            <w:r>
              <w:rPr>
                <w:rFonts w:ascii="Arial" w:cs="Arial" w:eastAsia="Arial" w:hAnsi="Arial"/>
                <w:sz w:val="16"/>
                <w:szCs w:val="16"/>
                <w:color w:val="auto"/>
              </w:rPr>
              <w:t>members under tax receivable agreement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Reversal of income tax reserve</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Amortization of terminated derivatives</w:t>
            </w: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780" w:type="dxa"/>
            <w:vAlign w:val="bottom"/>
          </w:tcPr>
          <w:p>
            <w:pPr>
              <w:ind w:left="500"/>
              <w:spacing w:after="0"/>
              <w:rPr>
                <w:sz w:val="20"/>
                <w:szCs w:val="20"/>
                <w:color w:val="auto"/>
              </w:rPr>
            </w:pPr>
            <w:r>
              <w:rPr>
                <w:rFonts w:ascii="Arial" w:cs="Arial" w:eastAsia="Arial" w:hAnsi="Arial"/>
                <w:sz w:val="16"/>
                <w:szCs w:val="16"/>
                <w:color w:val="auto"/>
              </w:rPr>
              <w:t>Redemption premium paid and write-off of debt issuance</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620"/>
              <w:spacing w:after="0"/>
              <w:rPr>
                <w:sz w:val="20"/>
                <w:szCs w:val="20"/>
                <w:color w:val="auto"/>
              </w:rPr>
            </w:pPr>
            <w:r>
              <w:rPr>
                <w:rFonts w:ascii="Arial" w:cs="Arial" w:eastAsia="Arial" w:hAnsi="Arial"/>
                <w:sz w:val="16"/>
                <w:szCs w:val="16"/>
                <w:color w:val="auto"/>
              </w:rPr>
              <w:t>costs related to redemption of Senior Notes due 2021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Cash distributions from non-consolidated entities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Receivables, net</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(13.5)</w:t>
            </w:r>
          </w:p>
        </w:tc>
        <w:tc>
          <w:tcPr>
            <w:tcW w:w="1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(35.5)</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(4.1)</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Amounts due to founding members</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Payment to founding members under tax receivable agreement</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(25.3)</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(21.1)</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Income taxes and other</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80" w:type="dxa"/>
            <w:vAlign w:val="bottom"/>
            <w:tcBorders>
              <w:bottom w:val="single" w:sz="8" w:color="CFF0FC"/>
            </w:tcBorders>
          </w:tcPr>
          <w:p>
            <w:pPr>
              <w:ind w:left="6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133.5</w:t>
            </w:r>
          </w:p>
        </w:tc>
        <w:tc>
          <w:tcPr>
            <w:tcW w:w="24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26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(12.9)</w:t>
            </w:r>
          </w:p>
        </w:tc>
        <w:tc>
          <w:tcPr>
            <w:tcW w:w="1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marketable securities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(54.7)</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(70.6)</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Proceeds from sale and maturities of marketable securities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intangible assets from network affiliates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note receivable - founding members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Net cash (used in) provided by investing activities</w:t>
            </w: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of dividends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(54.6)</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(52.3)</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Proceeds from borrowings under the revolving credit facility</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borrowings under the revolving credit facility</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(177.0)</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(171.0)</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Proceeds from issuance of Senior Notes due 2026</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Redemption of Senior Notes due 2021</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(207.9)</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Payment of debt issuance costs</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Founding member integration payments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Distributions to founding members</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(67.6)</w:t>
            </w:r>
          </w:p>
        </w:tc>
        <w:tc>
          <w:tcPr>
            <w:tcW w:w="1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(82.7)</w:t>
            </w:r>
          </w:p>
        </w:tc>
        <w:tc>
          <w:tcPr>
            <w:tcW w:w="2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Excess tax benefit from share-based compensation</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Proceeds from stock option exercises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 of stock for restricted stock tax withholding</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62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(137.9)</w:t>
            </w: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(88.4)</w:t>
            </w:r>
          </w:p>
        </w:tc>
        <w:tc>
          <w:tcPr>
            <w:tcW w:w="20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CHANGE IN CASH AND CASH EQUIVALENTS</w:t>
            </w: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8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(8.7)</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1"/>
              </w:rPr>
              <w:t>Years Ended</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6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1"/>
                <w:szCs w:val="11"/>
                <w:color w:val="auto"/>
              </w:rPr>
            </w:pPr>
          </w:p>
        </w:tc>
        <w:tc>
          <w:tcPr>
            <w:tcW w:w="14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1"/>
                <w:szCs w:val="11"/>
                <w:color w:val="auto"/>
              </w:rPr>
            </w:pPr>
          </w:p>
        </w:tc>
        <w:tc>
          <w:tcPr>
            <w:tcW w:w="112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January 1,</w:t>
            </w:r>
          </w:p>
        </w:tc>
        <w:tc>
          <w:tcPr>
            <w:tcW w:w="120" w:type="dxa"/>
            <w:vAlign w:val="bottom"/>
          </w:tcPr>
          <w:p>
            <w:pPr>
              <w:spacing w:after="0"/>
              <w:rPr>
                <w:sz w:val="11"/>
                <w:szCs w:val="11"/>
                <w:color w:val="auto"/>
              </w:rPr>
            </w:pPr>
          </w:p>
        </w:tc>
      </w:tr>
      <w:tr>
        <w:trPr>
          <w:trHeight w:val="171"/>
        </w:trPr>
        <w:tc>
          <w:tcPr>
            <w:tcW w:w="67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3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Purchase of an intangible asset with NCM LLC equity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100.7</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distributions to founding members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Purchase of subsidiary equity with NCM, Inc. equity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cost and equity method investments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Increase (decrease) in dividends not requiring cash in the period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2" w:lineRule="exact"/>
        <w:rPr>
          <w:sz w:val="20"/>
          <w:szCs w:val="20"/>
          <w:color w:val="auto"/>
        </w:rPr>
      </w:pPr>
    </w:p>
    <w:p>
      <w:pPr>
        <w:ind w:left="1120" w:hanging="1112"/>
        <w:spacing w:after="0"/>
        <w:tabs>
          <w:tab w:leader="none" w:pos="11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NCM, Inc. was incorporated in Delaware as a holding company with the sole purpose of becoming a member and sole manager of NCM LLC, a limited liability company owned by NCM, Inc., AMC, Regal and Cinemark. The terms “NCM”, “the Company” or “we” shall, unless the context otherwise requires, be deemed to include the consolidated entity. The Company operates the largest digital in-theater network in North America, allowing NCM LLC to sell advertising under ESAs with the founding members and certain third-party theater circuits under long-term network affiliate agreements referred to in this document as “network affiliates”, which have terms from three to twenty years.</w:t>
      </w:r>
    </w:p>
    <w:p>
      <w:pPr>
        <w:spacing w:after="0" w:line="80" w:lineRule="exact"/>
        <w:rPr>
          <w:sz w:val="20"/>
          <w:szCs w:val="20"/>
          <w:color w:val="auto"/>
        </w:rPr>
      </w:pPr>
    </w:p>
    <w:p>
      <w:pPr>
        <w:ind w:right="100" w:firstLine="555"/>
        <w:spacing w:after="0" w:line="286" w:lineRule="auto"/>
        <w:rPr>
          <w:sz w:val="20"/>
          <w:szCs w:val="20"/>
          <w:color w:val="auto"/>
        </w:rPr>
      </w:pPr>
      <w:r>
        <w:rPr>
          <w:rFonts w:ascii="Arial" w:cs="Arial" w:eastAsia="Arial" w:hAnsi="Arial"/>
          <w:sz w:val="17"/>
          <w:szCs w:val="17"/>
          <w:color w:val="auto"/>
        </w:rPr>
        <w:t>As of December 29, 2016, NCM LLC had 137,194,745 common membership units outstanding, of which 59,874,412 (43.7%) were owned by NCM, Inc., 27,072,701 (19.7%) were owned by Regal, 26,384,644 (19.2%) were owned by Cinemark and 23,862,988 (17.4%) were owned by AMC. The membership units held by the founding members are exchangeable into NCM, Inc. common stock on a one-for-one basis.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right="80" w:firstLine="555"/>
        <w:spacing w:after="0" w:line="290" w:lineRule="auto"/>
        <w:rPr>
          <w:sz w:val="20"/>
          <w:szCs w:val="20"/>
          <w:color w:val="auto"/>
        </w:rPr>
      </w:pPr>
      <w:r>
        <w:rPr>
          <w:rFonts w:ascii="Arial" w:cs="Arial" w:eastAsia="Arial" w:hAnsi="Arial"/>
          <w:sz w:val="16"/>
          <w:szCs w:val="16"/>
          <w:color w:val="auto"/>
        </w:rPr>
        <w:t>On May 5, 2014, NCM, Inc. entered into the Merger Agreement to merge with Screenvision. On November 3, 2014, the DOJ filed a lawsuit seeking to enjoin the merger. On March 16, 2015, the Company announced the termination of the Merger Agreement and the lawsuit was dismissed. After the Merger Agreement was terminated, NCM LLC reimbursed NCM, Inc. for certain expenses pursuant to an indemnification agreement among NCM LLC, NCM, Inc. and the founding members. On March 17, 2015, NCM LLC paid Screenvision an approximate $26.8 million termination payment on behalf of NCM, Inc. During the year ended December 31, 2015, NCM LLC also either paid directly or reimbursed NCM, Inc. for the legal and other merger-related costs of approximately $15.0 million ($7.5 million incurred by NCM, Inc. during the year ended January 1, 2015 and approximately $7.5 million incurred by NCM LLC during the year ended December 31, 2015). The Company and the founding members each bore a pro rata portion of the merger termination fee and the related merger expenses based on their aggregate ownership percentages in NCM LLC when the expenses were incurred.</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 Certain reclassifications have been made to the prior years’ financial statements to conform to the current presentation (refer to Note 6—</w:t>
      </w:r>
      <w:r>
        <w:rPr>
          <w:rFonts w:ascii="Arial" w:cs="Arial" w:eastAsia="Arial" w:hAnsi="Arial"/>
          <w:sz w:val="18"/>
          <w:szCs w:val="18"/>
          <w:i w:val="1"/>
          <w:iCs w:val="1"/>
          <w:color w:val="auto"/>
        </w:rPr>
        <w:t>Income Taxes</w:t>
      </w:r>
      <w:r>
        <w:rPr>
          <w:rFonts w:ascii="Arial" w:cs="Arial" w:eastAsia="Arial" w:hAnsi="Arial"/>
          <w:sz w:val="18"/>
          <w:szCs w:val="18"/>
          <w:color w:val="auto"/>
        </w:rPr>
        <w:t>, whereby certain captions were broken out due to their significance in 2016 and/or 2015). These reclassifications had no effect on previously reported results of operations or retained earnings.</w:t>
      </w:r>
    </w:p>
    <w:p>
      <w:pPr>
        <w:spacing w:after="0" w:line="80"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As a result of the various related-party agreements discussed in Note 8—</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operating results as presented are not necessarily indicative of the results that might have occurred if all agreements were with non-related third parties.</w:t>
      </w:r>
    </w:p>
    <w:p>
      <w:pPr>
        <w:spacing w:after="0" w:line="62"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 xml:space="preserve">Advertising is the principal business activity of the Company and is the Company’s only reportable segment under the requirements of ASC 280 – </w:t>
      </w:r>
      <w:r>
        <w:rPr>
          <w:rFonts w:ascii="Arial" w:cs="Arial" w:eastAsia="Arial" w:hAnsi="Arial"/>
          <w:sz w:val="18"/>
          <w:szCs w:val="18"/>
          <w:i w:val="1"/>
          <w:iCs w:val="1"/>
          <w:color w:val="auto"/>
        </w:rPr>
        <w:t>Segment Reporting.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those estimates.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Accounting Period</w:t>
      </w:r>
      <w:r>
        <w:rPr>
          <w:rFonts w:ascii="Arial" w:cs="Arial" w:eastAsia="Arial" w:hAnsi="Arial"/>
          <w:sz w:val="16"/>
          <w:szCs w:val="16"/>
          <w:color w:val="auto"/>
        </w:rPr>
        <w:t>— The Company has a 52-week or 53-week fiscal year ending on the first Thursday after December 25. Fiscal years 2015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2016 contained 52 weeks and fiscal year 2014 contained 53 weeks. Throughout this document, the fiscal years are referred to as set forth below:</w:t>
      </w:r>
    </w:p>
    <w:p>
      <w:pPr>
        <w:spacing w:after="0" w:line="255"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in</w:t>
            </w:r>
          </w:p>
        </w:tc>
      </w:tr>
      <w:tr>
        <w:trPr>
          <w:trHeight w:val="188"/>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this Document</w:t>
            </w:r>
          </w:p>
        </w:tc>
      </w:tr>
      <w:tr>
        <w:trPr>
          <w:trHeight w:val="223"/>
        </w:trPr>
        <w:tc>
          <w:tcPr>
            <w:tcW w:w="5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29, 2016</w:t>
            </w:r>
          </w:p>
        </w:tc>
        <w:tc>
          <w:tcPr>
            <w:tcW w:w="1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30"/>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1, 2015</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r>
    </w:tbl>
    <w:p>
      <w:pPr>
        <w:spacing w:after="0" w:line="310"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—The Company derives revenue principally from the advertising business, which includes on-screen and lobby network (LEN)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and lobby promotions and advertising on entertainment websites and mobile applications owned by us and other companies. Revenue is recognized when persuasive evidence of an arrangement exists, delivery occurs or services are rendered, the sales price is fixed and determinable and collectability is reasonably assured. The Company considers the terms of each arrangement to determine the appropriate accounting treatment.</w:t>
      </w:r>
    </w:p>
    <w:p>
      <w:pPr>
        <w:spacing w:after="0" w:line="46"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On-screen advertising consists of national and local advertising. National advertising is sold on a cost per thousand (CPM) basis, while local and regional advertising is sold on a per-screen, per-week basis and to a lesser extent on a CPM basis. The Company recognizes national advertising as impressions (or theater attendees) are delivered and recognizes local on-screen advertising revenue during the period in which the advertising airs as dictated by sales contracts. The Company recognizes revenue derived from lobby network and promotions when the advertising is displayed in theater lobbies and recognizes revenue from branded entertainment websites and mobile applications when the online or mobile impressions are served. The Company may make contractual guarantees to deliver a specified number of impressions to view the customers’ advertising. If those contracted number of impressions are not delivered, the Company will run additional advertising to deliver the contracted impressions at a later date. The deferred portion of the revenue associated with the undelivered impressions is referred to as a make-good provision. In rare cases, the Company will make a cash refund of the portion of the contract related to the undelivered impressions. The Company defers the revenue associated with the make-good until the advertising airs to the theater attendance specified in the advertising contract. The make-good provision is recorded within accrued expenses in the Consolidated Balance Sheets. The Company records deferred revenue when cash payments are received, or invoices are issued, in advance of revenue being earned. Deferred revenue is classified as a current liability as it is expected to be earned within the next twelve months.</w:t>
      </w:r>
    </w:p>
    <w:p>
      <w:pPr>
        <w:spacing w:after="0" w:line="72" w:lineRule="exact"/>
        <w:rPr>
          <w:sz w:val="20"/>
          <w:szCs w:val="20"/>
          <w:color w:val="auto"/>
        </w:rPr>
      </w:pPr>
    </w:p>
    <w:p>
      <w:pPr>
        <w:ind w:right="140" w:firstLine="555"/>
        <w:spacing w:after="0" w:line="312" w:lineRule="auto"/>
        <w:rPr>
          <w:sz w:val="20"/>
          <w:szCs w:val="20"/>
          <w:color w:val="auto"/>
        </w:rPr>
      </w:pPr>
      <w:r>
        <w:rPr>
          <w:rFonts w:ascii="Arial" w:cs="Arial" w:eastAsia="Arial" w:hAnsi="Arial"/>
          <w:sz w:val="16"/>
          <w:szCs w:val="16"/>
          <w:color w:val="auto"/>
        </w:rPr>
        <w:t>The Company recorded non-cash revenue of $0.0 million, $3.1 million and $1.2 million during the years ended December 29, 2016, December 31, 2015 and January 1, 2015, respectively, where the Company received equity securities in privately held companies as consideration. The Company recorded the revenue at the estimated fair value of the advertising exchanged based upon the fair value of the advertising sold for cash within contracts.</w:t>
      </w:r>
    </w:p>
    <w:p>
      <w:pPr>
        <w:spacing w:after="0" w:line="39"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b w:val="1"/>
          <w:bCs w:val="1"/>
          <w:i w:val="1"/>
          <w:iCs w:val="1"/>
          <w:color w:val="auto"/>
        </w:rPr>
        <w:t>Barter Transactions</w:t>
      </w:r>
      <w:r>
        <w:rPr>
          <w:rFonts w:ascii="Arial" w:cs="Arial" w:eastAsia="Arial" w:hAnsi="Arial"/>
          <w:sz w:val="16"/>
          <w:szCs w:val="16"/>
          <w:color w:val="auto"/>
        </w:rPr>
        <w:t>—The Company enters into barter transactions that exchange advertising program time for products and services used principally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selling and marketing activities. The Company records barter transactions at the estimated fair value of the advertising exchanged based on fair value received for similar advertising from cash paying customers. Revenues for advertising barter transactions are recognized when advertising is provided, and products and services received are charged to expense when used. Revenue from barter transactions for the years ended December 29, 2016, December 31, 2015 and January 1, 2015 was $2.5 million, $2.0 million and $1.3 million, respectively. Expense recorded from barter transactions for the years ended December 29, 2016, December 31, 2015 and January 1, 2015 was $2.3 million, $2.5 million and $1.2 million, respectively.</w:t>
      </w:r>
    </w:p>
    <w:p>
      <w:pPr>
        <w:spacing w:after="0" w:line="57" w:lineRule="exact"/>
        <w:rPr>
          <w:sz w:val="20"/>
          <w:szCs w:val="20"/>
          <w:color w:val="auto"/>
        </w:rPr>
      </w:pPr>
    </w:p>
    <w:p>
      <w:pPr>
        <w:ind w:right="120" w:firstLine="555"/>
        <w:spacing w:after="0" w:line="308" w:lineRule="auto"/>
        <w:rPr>
          <w:sz w:val="20"/>
          <w:szCs w:val="20"/>
          <w:color w:val="auto"/>
        </w:rPr>
      </w:pPr>
      <w:r>
        <w:rPr>
          <w:rFonts w:ascii="Arial" w:cs="Arial" w:eastAsia="Arial" w:hAnsi="Arial"/>
          <w:sz w:val="17"/>
          <w:szCs w:val="17"/>
          <w:b w:val="1"/>
          <w:bCs w:val="1"/>
          <w:i w:val="1"/>
          <w:iCs w:val="1"/>
          <w:color w:val="auto"/>
        </w:rPr>
        <w:t>Operating Costs</w:t>
      </w:r>
      <w:r>
        <w:rPr>
          <w:rFonts w:ascii="Arial" w:cs="Arial" w:eastAsia="Arial" w:hAnsi="Arial"/>
          <w:sz w:val="17"/>
          <w:szCs w:val="17"/>
          <w:color w:val="auto"/>
        </w:rPr>
        <w:t>—Advertising-related operating costs primarily include personnel and other costs related to advertising fulfillment, payments due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unaffiliated theater circuits under the network affiliate agreements, and to a lesser extent, production costs of non-digital advertising.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Payments to the founding members of a theater access fee is comprised of a payment per theater attendee, a payment per digital screen and a payment per digital cinema projector equipped in the theaters, all of which escalate over time. Refer to Item 7—“Management’s Discussion and Analysis of Financial Condition and Results of Operations</w:t>
      </w:r>
      <w:r>
        <w:rPr>
          <w:rFonts w:ascii="Arial" w:cs="Arial" w:eastAsia="Arial" w:hAnsi="Arial"/>
          <w:sz w:val="18"/>
          <w:szCs w:val="18"/>
          <w:i w:val="1"/>
          <w:iCs w:val="1"/>
          <w:color w:val="auto"/>
        </w:rPr>
        <w:t>”</w:t>
      </w:r>
      <w:r>
        <w:rPr>
          <w:rFonts w:ascii="Arial" w:cs="Arial" w:eastAsia="Arial" w:hAnsi="Arial"/>
          <w:sz w:val="18"/>
          <w:szCs w:val="18"/>
          <w:color w:val="auto"/>
        </w:rPr>
        <w:t xml:space="preserve"> included elsewhere in this document.</w:t>
      </w:r>
    </w:p>
    <w:p>
      <w:pPr>
        <w:spacing w:after="0" w:line="73" w:lineRule="exact"/>
        <w:rPr>
          <w:sz w:val="20"/>
          <w:szCs w:val="20"/>
          <w:color w:val="auto"/>
        </w:rPr>
      </w:pPr>
    </w:p>
    <w:p>
      <w:pPr>
        <w:ind w:right="700" w:firstLine="555"/>
        <w:spacing w:after="0" w:line="277"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w:t>
      </w:r>
    </w:p>
    <w:p>
      <w:pPr>
        <w:spacing w:after="0" w:line="62"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as cash equivalents and are considered available-for-sale securities. There are cash balances in a bank in excess of the federally insured limits or in the form of a money market demand account with a major financial institution.</w:t>
      </w:r>
    </w:p>
    <w:p>
      <w:pPr>
        <w:spacing w:after="0" w:line="73"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—As of December 29, 2016 and December 31, 2015, other non-current assets included restricted cash of $0.3 million, which secures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letter of credit used as a lease deposit on the Company’s New York office.</w:t>
      </w:r>
    </w:p>
    <w:p>
      <w:pPr>
        <w:spacing w:after="0" w:line="62"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color w:val="auto"/>
        </w:rPr>
        <w:t>—The Company’s marketable securities are classified as available-for-sale and are reported at fair value.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all securities is determined by quoted market information and pricing models using inputs based upon market information, including contractual terms, market prices and yield curves. The estimated fair value of securities for which there are no quoted market prices is based on similar types of securities that are traded in the market.</w:t>
      </w:r>
    </w:p>
    <w:p>
      <w:pPr>
        <w:spacing w:after="0" w:line="79"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b w:val="1"/>
          <w:bCs w:val="1"/>
          <w:i w:val="1"/>
          <w:iCs w:val="1"/>
          <w:color w:val="auto"/>
        </w:rPr>
        <w:t xml:space="preserve">Concentration of Credit Risk and Significant Customers </w:t>
      </w:r>
      <w:r>
        <w:rPr>
          <w:rFonts w:ascii="Arial" w:cs="Arial" w:eastAsia="Arial" w:hAnsi="Arial"/>
          <w:sz w:val="18"/>
          <w:szCs w:val="18"/>
          <w:color w:val="auto"/>
        </w:rPr>
        <w:t>—Bad debts are provided for using the allowance for doubtful accounts method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December 29, 2016 and December 31, 2015, there were no advertising agency groups or individual customers through which the Company sources national advertising revenue representing more than 10% of the Company’s outstanding gross receivable balance. During the years ended December 29, 2016, December 31, 2015 and January 1, 2015, there were no customers that accounted for more than 10% of revenue.</w:t>
      </w:r>
    </w:p>
    <w:p>
      <w:pPr>
        <w:spacing w:after="0" w:line="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Receivables consisted of the following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1"/>
              </w:rPr>
              <w:t>December 29, 2016</w:t>
            </w:r>
          </w:p>
        </w:tc>
        <w:tc>
          <w:tcPr>
            <w:tcW w:w="120" w:type="dxa"/>
            <w:vAlign w:val="bottom"/>
          </w:tcPr>
          <w:p>
            <w:pPr>
              <w:spacing w:after="0"/>
              <w:rPr>
                <w:sz w:val="13"/>
                <w:szCs w:val="13"/>
                <w:color w:val="auto"/>
              </w:rPr>
            </w:pPr>
          </w:p>
        </w:tc>
        <w:tc>
          <w:tcPr>
            <w:tcW w:w="1320" w:type="dxa"/>
            <w:vAlign w:val="bottom"/>
          </w:tcPr>
          <w:p>
            <w:pPr>
              <w:jc w:val="right"/>
              <w:ind w:right="54"/>
              <w:spacing w:after="0" w:line="155" w:lineRule="exact"/>
              <w:rPr>
                <w:sz w:val="20"/>
                <w:szCs w:val="20"/>
                <w:color w:val="auto"/>
              </w:rPr>
            </w:pPr>
            <w:r>
              <w:rPr>
                <w:rFonts w:ascii="Arial" w:cs="Arial" w:eastAsia="Arial" w:hAnsi="Arial"/>
                <w:sz w:val="14"/>
                <w:szCs w:val="14"/>
                <w:b w:val="1"/>
                <w:bCs w:val="1"/>
                <w:color w:val="auto"/>
                <w:w w:val="91"/>
              </w:rPr>
              <w:t>December 31, 2015</w:t>
            </w:r>
          </w:p>
        </w:tc>
        <w:tc>
          <w:tcPr>
            <w:tcW w:w="80" w:type="dxa"/>
            <w:vAlign w:val="bottom"/>
          </w:tcPr>
          <w:p>
            <w:pPr>
              <w:spacing w:after="0"/>
              <w:rPr>
                <w:sz w:val="13"/>
                <w:szCs w:val="13"/>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accounts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Less: Allowance for doubtful accounts</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—Property and equipment is stated at cost, net of accumulated depreciation or amortization. Generally, the equipment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digital network of the founding member theaters is owned by the founding members, while the equipment associated with network affiliate theaters is owned by the Company. Major renewals and improvements are capitalized, while replacements, maintenance, and repairs that do not improve or extend the lives of the respective assets are expensed as incurred. The Company records depreciation and amortization using the straight-line method over the following estimated useful lives: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450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4-10 years</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4500" w:type="dxa"/>
            <w:vAlign w:val="bottom"/>
          </w:tcPr>
          <w:p>
            <w:pPr>
              <w:ind w:left="1060"/>
              <w:spacing w:after="0"/>
              <w:rPr>
                <w:sz w:val="20"/>
                <w:szCs w:val="20"/>
                <w:color w:val="auto"/>
              </w:rPr>
            </w:pPr>
            <w:r>
              <w:rPr>
                <w:rFonts w:ascii="Arial" w:cs="Arial" w:eastAsia="Arial" w:hAnsi="Arial"/>
                <w:sz w:val="18"/>
                <w:szCs w:val="18"/>
                <w:color w:val="auto"/>
              </w:rPr>
              <w:t>3-5 years</w:t>
            </w: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50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Lesser of lease term or asset life</w:t>
            </w:r>
          </w:p>
        </w:tc>
      </w:tr>
    </w:tbl>
    <w:p>
      <w:pPr>
        <w:spacing w:after="0" w:line="94"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Software and website development costs developed or obtained for internal use are accounted for in accordance with ASC 350—</w:t>
      </w:r>
      <w:r>
        <w:rPr>
          <w:rFonts w:ascii="Arial" w:cs="Arial" w:eastAsia="Arial" w:hAnsi="Arial"/>
          <w:sz w:val="16"/>
          <w:szCs w:val="16"/>
          <w:i w:val="1"/>
          <w:iCs w:val="1"/>
          <w:color w:val="auto"/>
        </w:rPr>
        <w:t>Internal Use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Software </w:t>
      </w:r>
      <w:r>
        <w:rPr>
          <w:rFonts w:ascii="Arial" w:cs="Arial" w:eastAsia="Arial" w:hAnsi="Arial"/>
          <w:sz w:val="16"/>
          <w:szCs w:val="16"/>
          <w:color w:val="auto"/>
        </w:rPr>
        <w:t>and ASC 350–</w:t>
      </w:r>
      <w:r>
        <w:rPr>
          <w:rFonts w:ascii="Arial" w:cs="Arial" w:eastAsia="Arial" w:hAnsi="Arial"/>
          <w:sz w:val="16"/>
          <w:szCs w:val="16"/>
          <w:i w:val="1"/>
          <w:iCs w:val="1"/>
          <w:color w:val="auto"/>
        </w:rPr>
        <w:t xml:space="preserve"> Website Development Costs</w:t>
      </w:r>
      <w:r>
        <w:rPr>
          <w:rFonts w:ascii="Arial" w:cs="Arial" w:eastAsia="Arial" w:hAnsi="Arial"/>
          <w:sz w:val="16"/>
          <w:szCs w:val="16"/>
          <w:color w:val="auto"/>
        </w:rPr>
        <w:t>. The subtopics require the capitalization of certain costs incurred in developing or obtaining software for</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use. The majority of software costs related primarily to the Company’s inventory management systems and digital network distribution system (DCS) and website development costs, which are included in equipment, are depreciated over three to five years. As of December 29, 2016 and December 31,</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2015, the Company had a net book value of $16.6 million and $7.4 million, respectively, of capitalized software and website development</w:t>
      </w:r>
    </w:p>
    <w:p>
      <w:pPr>
        <w:spacing w:after="0" w:line="23"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costs. Approximately $3.9 million, $5.0 million and $6.5 million was recorded for the years ended December 29, 2016, December 31, 2015 and January 1, 2015, respectively, in depreciation expense related to software and website development. For the years ended December 29, 2016, December 31, 2015 and January 1, 2015, the Company recorded $3.4 million, $1.5 million and $1.7 million in research and development expense, respectively.</w:t>
      </w:r>
    </w:p>
    <w:p>
      <w:pPr>
        <w:spacing w:after="0" w:line="47" w:lineRule="exact"/>
        <w:rPr>
          <w:sz w:val="20"/>
          <w:szCs w:val="20"/>
          <w:color w:val="auto"/>
        </w:rPr>
      </w:pPr>
    </w:p>
    <w:p>
      <w:pPr>
        <w:jc w:val="both"/>
        <w:ind w:right="40" w:firstLine="555"/>
        <w:spacing w:after="0" w:line="312" w:lineRule="auto"/>
        <w:rPr>
          <w:sz w:val="20"/>
          <w:szCs w:val="20"/>
          <w:color w:val="auto"/>
        </w:rPr>
      </w:pPr>
      <w:r>
        <w:rPr>
          <w:rFonts w:ascii="Arial" w:cs="Arial" w:eastAsia="Arial" w:hAnsi="Arial"/>
          <w:sz w:val="16"/>
          <w:szCs w:val="16"/>
          <w:color w:val="auto"/>
        </w:rPr>
        <w:t xml:space="preserve">The Company assesses impairment of long-lived assets pursuant with ASC 360 –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This includes determining if certain triggering events have occurred that could affect the value of an asset. The Company recorded losses of $0.2 million, $0.4 million and $0.4 million related to the write-off of property, plant and equipment during the years ended December 29, 2016, December 31, 2015 and January 1, 2015, respectively.</w:t>
      </w:r>
    </w:p>
    <w:p>
      <w:pPr>
        <w:spacing w:after="0" w:line="39"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b w:val="1"/>
          <w:bCs w:val="1"/>
          <w:i w:val="1"/>
          <w:iCs w:val="1"/>
          <w:color w:val="auto"/>
        </w:rPr>
        <w:t>Intangible assets</w:t>
      </w:r>
      <w:r>
        <w:rPr>
          <w:rFonts w:ascii="Arial" w:cs="Arial" w:eastAsia="Arial" w:hAnsi="Arial"/>
          <w:sz w:val="18"/>
          <w:szCs w:val="18"/>
          <w:color w:val="auto"/>
        </w:rPr>
        <w:t>—Intangible assets consist of contractual rights to provide its services within the theaters of the founding members and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and are stated at cost, net of accumulated amortization. The Company records amortization using the straight-line method over the contractual life of the intangibles, corresponding to the term of the ESAs or the term of the contract with the network affiliate. Intangible assets are tested for impairment at least annually during the fourth quarter or whenever events or changes in circumstances indicate the carrying value may not be fully recoverable. In its impairment testing, the Company estimates the fair value of its ESAs or network affiliate agreements by determining the estimated future cash flows associated with the ESAs or network affiliate agreements. If the estimated fair value is less than the carrying value, the intangible asset is written down to its estimated fair value. Significant judgment is involved in estimating long-term cash flow forecasts. The Company has not recorded impairment charges related to intangible assets.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Investments</w:t>
      </w:r>
      <w:r>
        <w:rPr>
          <w:rFonts w:ascii="Arial" w:cs="Arial" w:eastAsia="Arial" w:hAnsi="Arial"/>
          <w:sz w:val="18"/>
          <w:szCs w:val="18"/>
          <w:color w:val="auto"/>
        </w:rPr>
        <w:t>—Other investments consisted of the following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9"/>
              <w:spacing w:after="0" w:line="133" w:lineRule="exact"/>
              <w:rPr>
                <w:sz w:val="20"/>
                <w:szCs w:val="20"/>
                <w:color w:val="auto"/>
              </w:rPr>
            </w:pPr>
            <w:r>
              <w:rPr>
                <w:rFonts w:ascii="Arial" w:cs="Arial" w:eastAsia="Arial" w:hAnsi="Arial"/>
                <w:sz w:val="14"/>
                <w:szCs w:val="14"/>
                <w:b w:val="1"/>
                <w:bCs w:val="1"/>
                <w:color w:val="auto"/>
                <w:w w:val="92"/>
              </w:rPr>
              <w:t>December 29,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1"/>
                <w:szCs w:val="11"/>
                <w:color w:val="auto"/>
              </w:rPr>
            </w:pPr>
          </w:p>
        </w:tc>
      </w:tr>
      <w:tr>
        <w:trPr>
          <w:trHeight w:val="171"/>
        </w:trPr>
        <w:tc>
          <w:tcPr>
            <w:tcW w:w="80" w:type="dxa"/>
            <w:vAlign w:val="bottom"/>
            <w:tcBorders>
              <w:bottom w:val="single" w:sz="8" w:color="CFF0FC"/>
            </w:tcBorders>
          </w:tcPr>
          <w:p>
            <w:pPr>
              <w:spacing w:after="0"/>
              <w:rPr>
                <w:sz w:val="14"/>
                <w:szCs w:val="14"/>
                <w:color w:val="auto"/>
              </w:rPr>
            </w:pPr>
          </w:p>
        </w:tc>
        <w:tc>
          <w:tcPr>
            <w:tcW w:w="1460" w:type="dxa"/>
            <w:vAlign w:val="bottom"/>
            <w:tcBorders>
              <w:bottom w:val="single" w:sz="8" w:color="CFF0FC"/>
            </w:tcBorders>
          </w:tcPr>
          <w:p>
            <w:pPr>
              <w:spacing w:after="0"/>
              <w:rPr>
                <w:sz w:val="14"/>
                <w:szCs w:val="14"/>
                <w:color w:val="auto"/>
              </w:rPr>
            </w:pPr>
          </w:p>
        </w:tc>
        <w:tc>
          <w:tcPr>
            <w:tcW w:w="39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CFF0FC"/>
            </w:tcBorders>
          </w:tcPr>
          <w:p>
            <w:pPr>
              <w:spacing w:after="0"/>
              <w:rPr>
                <w:sz w:val="19"/>
                <w:szCs w:val="19"/>
                <w:color w:val="auto"/>
              </w:rPr>
            </w:pPr>
          </w:p>
        </w:tc>
      </w:tr>
      <w:tr>
        <w:trPr>
          <w:trHeight w:val="223"/>
        </w:trPr>
        <w:tc>
          <w:tcPr>
            <w:tcW w:w="80" w:type="dxa"/>
            <w:vAlign w:val="bottom"/>
            <w:tcBorders>
              <w:bottom w:val="single" w:sz="8" w:color="CFF0FC"/>
            </w:tcBorders>
            <w:shd w:val="clear" w:color="auto" w:fill="CFF0FC"/>
          </w:tcPr>
          <w:p>
            <w:pPr>
              <w:spacing w:after="0"/>
              <w:rPr>
                <w:sz w:val="19"/>
                <w:szCs w:val="19"/>
                <w:color w:val="auto"/>
              </w:rPr>
            </w:pPr>
          </w:p>
        </w:tc>
        <w:tc>
          <w:tcPr>
            <w:tcW w:w="538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6"/>
        </w:trPr>
        <w:tc>
          <w:tcPr>
            <w:tcW w:w="8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26" w:lineRule="exact"/>
        <w:rPr>
          <w:sz w:val="20"/>
          <w:szCs w:val="20"/>
          <w:color w:val="auto"/>
        </w:rPr>
      </w:pPr>
    </w:p>
    <w:p>
      <w:pPr>
        <w:ind w:left="2340" w:hanging="549"/>
        <w:spacing w:after="0"/>
        <w:tabs>
          <w:tab w:leader="none" w:pos="2340" w:val="left"/>
        </w:tabs>
        <w:numPr>
          <w:ilvl w:val="0"/>
          <w:numId w:val="32"/>
        </w:numPr>
        <w:rPr>
          <w:rFonts w:ascii="Arial" w:cs="Arial" w:eastAsia="Arial" w:hAnsi="Arial"/>
          <w:sz w:val="18"/>
          <w:szCs w:val="18"/>
          <w:i w:val="1"/>
          <w:iCs w:val="1"/>
          <w:color w:val="auto"/>
        </w:rPr>
      </w:pPr>
      <w:r>
        <w:rPr>
          <w:rFonts w:ascii="Arial" w:cs="Arial" w:eastAsia="Arial" w:hAnsi="Arial"/>
          <w:sz w:val="18"/>
          <w:szCs w:val="18"/>
          <w:color w:val="auto"/>
        </w:rPr>
        <w:t>Refer to Note 8—</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2340" w:right="20" w:hanging="549"/>
        <w:spacing w:after="0" w:line="255" w:lineRule="auto"/>
        <w:tabs>
          <w:tab w:leader="none" w:pos="2340" w:val="left"/>
        </w:tabs>
        <w:numPr>
          <w:ilvl w:val="0"/>
          <w:numId w:val="32"/>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some privately held companies as consideration for advertising contracts. The equity securities were accounted for under the cost method and represent an ownership of less than 20%. The Company does not exert significant influence of these companies’ operating or financial activities.</w:t>
      </w:r>
    </w:p>
    <w:p>
      <w:pPr>
        <w:spacing w:after="0" w:line="82"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The Company reviews investments accounted for under the cost and equity methods for impairment whenever events or changes in circumstances indicate that the carrying amount of the investment may not be fully recoverable. In order to determine whether the carrying value of investments may have experienced an “other-than-temporary” decline in value necessitating the write-down of the recorded investment, the Company considers various factors including the investees financial condition and quality of assets, the length of time the investee has been operating, the severity and nature of losses sustained in current and prior years, qualifications in accountant’s reports due to liquidity or going concern issues, investee announcements of adverse changes, downgrading of investee debt, regulatory actions, loss of principal customers, negative operating cash flows or working capital deficiencies and the recording of an impairment charge by the investee for goodwill, intangible or long-lived assets. If a determination is made that an other-than-temporary impairment exists, the Company writes down its investment to fair value. During the years ended December 29, 2016, December 31, 2015 and January 1, 2015, the Company recorded other-than-temporary impairment charges of $0.7 million, $0.0 million and $0.0 million, respectively. The impairment charge during 2016 brought the investment to a remaining fair value of $0.0 million.</w:t>
      </w:r>
    </w:p>
    <w:p>
      <w:pPr>
        <w:spacing w:after="0" w:line="70" w:lineRule="exact"/>
        <w:rPr>
          <w:sz w:val="20"/>
          <w:szCs w:val="20"/>
          <w:color w:val="auto"/>
        </w:rPr>
      </w:pPr>
    </w:p>
    <w:p>
      <w:pPr>
        <w:ind w:right="360" w:firstLine="555"/>
        <w:spacing w:after="0" w:line="259" w:lineRule="auto"/>
        <w:rPr>
          <w:sz w:val="20"/>
          <w:szCs w:val="20"/>
          <w:color w:val="auto"/>
        </w:rPr>
      </w:pPr>
      <w:r>
        <w:rPr>
          <w:rFonts w:ascii="Arial" w:cs="Arial" w:eastAsia="Arial" w:hAnsi="Arial"/>
          <w:sz w:val="18"/>
          <w:szCs w:val="18"/>
          <w:b w:val="1"/>
          <w:bCs w:val="1"/>
          <w:i w:val="1"/>
          <w:iCs w:val="1"/>
          <w:color w:val="auto"/>
        </w:rPr>
        <w:t>Amounts Due to/from Founding Members</w:t>
      </w:r>
      <w:r>
        <w:rPr>
          <w:rFonts w:ascii="Arial" w:cs="Arial" w:eastAsia="Arial" w:hAnsi="Arial"/>
          <w:sz w:val="18"/>
          <w:szCs w:val="18"/>
          <w:color w:val="auto"/>
        </w:rPr>
        <w:t>—Amounts due to/from founding members include amounts due for the theater access fee, offset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for advertising time purchased by the founding members on behalf of their beverage concessionaire plus any amounts outstanding under other contractually obligated payments. Payments to or received from the founding members against outstanding balances are made monthly. Available cash distributions are made quarterly.</w:t>
      </w:r>
    </w:p>
    <w:p>
      <w:pPr>
        <w:spacing w:after="0" w:line="79" w:lineRule="exact"/>
        <w:rPr>
          <w:sz w:val="20"/>
          <w:szCs w:val="20"/>
          <w:color w:val="auto"/>
        </w:rPr>
      </w:pPr>
    </w:p>
    <w:p>
      <w:pPr>
        <w:jc w:val="both"/>
        <w:ind w:right="120" w:firstLine="555"/>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are accounted for under the asset and liability method, which requires recognition of deferred tax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3" w:name="page74"/>
    <w:bookmarkEnd w:id="73"/>
    <w:p>
      <w:pPr>
        <w:jc w:val="center"/>
        <w:ind w:right="-5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expected to be recovered or settled pursuant to the provisions of ASC 740 – </w:t>
      </w:r>
      <w:r>
        <w:rPr>
          <w:rFonts w:ascii="Arial" w:cs="Arial" w:eastAsia="Arial" w:hAnsi="Arial"/>
          <w:sz w:val="18"/>
          <w:szCs w:val="18"/>
          <w:i w:val="1"/>
          <w:iCs w:val="1"/>
          <w:color w:val="auto"/>
        </w:rPr>
        <w:t>Income Taxes</w:t>
      </w:r>
      <w:r>
        <w:rPr>
          <w:rFonts w:ascii="Arial" w:cs="Arial" w:eastAsia="Arial" w:hAnsi="Arial"/>
          <w:sz w:val="18"/>
          <w:szCs w:val="18"/>
          <w:color w:val="auto"/>
        </w:rPr>
        <w:t>. The effect of a change in tax rates on deferred tax assets and liabilities is recognized in income in the period that includes the enactment date.</w:t>
      </w:r>
    </w:p>
    <w:p>
      <w:pPr>
        <w:spacing w:after="0" w:line="62"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w:t>
      </w:r>
    </w:p>
    <w:p>
      <w:pPr>
        <w:spacing w:after="0" w:line="64"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The Company recognizes the tax benefits from uncertain tax positions only when it is more likely than not, based on the technical merits of the position,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 The Company recognizes interest and penalties related to uncertain tax positions in income tax expense. Refer to Note 6—</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80" w:lineRule="exact"/>
        <w:rPr>
          <w:sz w:val="20"/>
          <w:szCs w:val="20"/>
          <w:color w:val="auto"/>
        </w:rPr>
      </w:pPr>
    </w:p>
    <w:p>
      <w:pPr>
        <w:jc w:val="both"/>
        <w:ind w:right="80" w:firstLine="555"/>
        <w:spacing w:after="0" w:line="312" w:lineRule="auto"/>
        <w:rPr>
          <w:sz w:val="20"/>
          <w:szCs w:val="20"/>
          <w:color w:val="auto"/>
        </w:rPr>
      </w:pPr>
      <w:r>
        <w:rPr>
          <w:rFonts w:ascii="Arial" w:cs="Arial" w:eastAsia="Arial" w:hAnsi="Arial"/>
          <w:sz w:val="16"/>
          <w:szCs w:val="16"/>
          <w:b w:val="1"/>
          <w:bCs w:val="1"/>
          <w:i w:val="1"/>
          <w:iCs w:val="1"/>
          <w:color w:val="auto"/>
        </w:rPr>
        <w:t>Debt Issuance Costs</w:t>
      </w:r>
      <w:r>
        <w:rPr>
          <w:rFonts w:ascii="Arial" w:cs="Arial" w:eastAsia="Arial" w:hAnsi="Arial"/>
          <w:sz w:val="16"/>
          <w:szCs w:val="16"/>
          <w:color w:val="auto"/>
        </w:rPr>
        <w:t>—In relation to the issuance of outstanding debt discussed in Note 9—</w:t>
      </w:r>
      <w:r>
        <w:rPr>
          <w:rFonts w:ascii="Arial" w:cs="Arial" w:eastAsia="Arial" w:hAnsi="Arial"/>
          <w:sz w:val="16"/>
          <w:szCs w:val="16"/>
          <w:i w:val="1"/>
          <w:iCs w:val="1"/>
          <w:color w:val="auto"/>
        </w:rPr>
        <w:t>Borrowings</w:t>
      </w:r>
      <w:r>
        <w:rPr>
          <w:rFonts w:ascii="Arial" w:cs="Arial" w:eastAsia="Arial" w:hAnsi="Arial"/>
          <w:sz w:val="16"/>
          <w:szCs w:val="16"/>
          <w:color w:val="auto"/>
        </w:rPr>
        <w:t>, there is a balance of $12.6 million and $12.9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deferred financing costs as of December 29, 2016 and December 31, 2015, respectively. The debt issuance costs are being amortized on a straight-line basis over the terms of the underlying obligations and are included in interest on borrowings, which approximates the effective interest method.</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debt issuance costs are as follows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6"/>
              </w:rPr>
              <w:t>Years Ended</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29, 2016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1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January 1,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Debt issuance payments</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issuance costs</w:t>
            </w:r>
          </w:p>
        </w:tc>
        <w:tc>
          <w:tcPr>
            <w:tcW w:w="4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Write-off of debt issuance costs</w:t>
            </w:r>
          </w:p>
        </w:tc>
        <w:tc>
          <w:tcPr>
            <w:tcW w:w="4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 Through 2012, the Company issued stock options, restricted stock and restricted stock units. Since 2013,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has only issued restricted stock and restricted stock units. Restricted stock and restricted stock units vest upon the achievement of Company three-year cumulative performance measures and service conditions or only service conditions whereby they vest ratably over three years. Compensation expense of restricted stock that vests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Dividends are accrued when declared on unvested restricted stock that is expected to vest and are only paid with respect to shares that actually vest.</w:t>
      </w:r>
    </w:p>
    <w:p>
      <w:pPr>
        <w:spacing w:after="0" w:line="71"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 xml:space="preserve">Compensation cost of stock options was based on the estimated grant date fair value using the Black-Scholes option pricing model, which requires that the Company make estimates of various factors. Under the fair value recognition provisions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the Company recognizes share-based compensation net of an estimated forfeiture rate, and therefore only recognizes compensation cost for those shares expected to vest over the requisite service period of the award. Refer to Note 10—</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for more information.</w:t>
      </w:r>
    </w:p>
    <w:p>
      <w:pPr>
        <w:spacing w:after="0" w:line="46"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 Fair value is the price that would be received from selling an asset or paid to transfer a liability in an orderly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9" w:lineRule="exact"/>
        <w:rPr>
          <w:sz w:val="20"/>
          <w:szCs w:val="20"/>
          <w:color w:val="auto"/>
        </w:rPr>
      </w:pPr>
    </w:p>
    <w:p>
      <w:pPr>
        <w:ind w:left="11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jc w:val="both"/>
        <w:ind w:left="1120" w:right="1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1120" w:right="2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w:t>
      </w:r>
      <w:r>
        <w:rPr>
          <w:rFonts w:ascii="Arial" w:cs="Arial" w:eastAsia="Arial" w:hAnsi="Arial"/>
          <w:sz w:val="18"/>
          <w:szCs w:val="18"/>
          <w:i w:val="1"/>
          <w:iCs w:val="1"/>
          <w:color w:val="auto"/>
        </w:rPr>
        <w:t xml:space="preserve"> </w:t>
      </w:r>
      <w:r>
        <w:rPr>
          <w:rFonts w:ascii="Arial" w:cs="Arial" w:eastAsia="Arial" w:hAnsi="Arial"/>
          <w:sz w:val="18"/>
          <w:szCs w:val="18"/>
          <w:color w:val="auto"/>
        </w:rPr>
        <w:t>use in pricing the asset or liability.</w:t>
      </w:r>
    </w:p>
    <w:p>
      <w:pPr>
        <w:spacing w:after="0" w:line="62"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b w:val="1"/>
          <w:bCs w:val="1"/>
          <w:i w:val="1"/>
          <w:iCs w:val="1"/>
          <w:color w:val="auto"/>
        </w:rPr>
        <w:t>Derivative Instruments</w:t>
      </w:r>
      <w:r>
        <w:rPr>
          <w:rFonts w:ascii="Arial" w:cs="Arial" w:eastAsia="Arial" w:hAnsi="Arial"/>
          <w:sz w:val="18"/>
          <w:szCs w:val="18"/>
          <w:color w:val="auto"/>
        </w:rPr>
        <w:t>— NCM LLC terminated its interest rate swap agreements that were used to hedge its interest rate risk associated with its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The Company amortized into earnings the balance in Accumulated Other Comprehensive Income (“AOCI”) related to these swaps over the remaining period of the term loan.</w:t>
      </w:r>
    </w:p>
    <w:p>
      <w:pPr>
        <w:spacing w:after="0" w:line="73"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b w:val="1"/>
          <w:bCs w:val="1"/>
          <w:i w:val="1"/>
          <w:iCs w:val="1"/>
          <w:color w:val="auto"/>
        </w:rPr>
        <w:t>Consolidation</w:t>
      </w:r>
      <w:r>
        <w:rPr>
          <w:rFonts w:ascii="Arial" w:cs="Arial" w:eastAsia="Arial" w:hAnsi="Arial"/>
          <w:sz w:val="17"/>
          <w:szCs w:val="17"/>
          <w:color w:val="auto"/>
        </w:rPr>
        <w:t>—NCM, Inc. consolidates the accounts of NCM LLC under the provisions of ASC 810,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Consolidation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(“ASC 810”). Under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Update 2015-02, Consolidation (Topic 810): Amendments to the Consolidation Analysis (“ASU 2015-02”), a limited partnership is a variable interest entity unless a simple majority or lower threshold of all limited partners unrelated to the general partner have kick-out or participating rights. The non-managing members of NCM LLC do not have dissolution rights or removal rights. NCM, Inc. has evaluated the provisions of the NCM LLC membership agreement and has concluded that the various rights of the non-managing members are not substantive participating rights under ASC 810, as they do not limit NCM, Inc.’s ability to make decisions in the ordinary course of business. As such, the Company concluded that NCM LLC is a variable interest entity and determined that NCM, Inc. should consolidate the accounts of NCM LLC pursuant to ASU 2015-02 because 1) it has the power to direct the activities of NCM LLC in its role as managing member and 2) NCM, Inc. has the obligation to absorb losses of, or the right to receive benefits from, NCM LLC that could potentially be significant provided its 43.7% ownership in NCM LLC. Prior to the prospective adoption of ASU 2015-02 in the first quarter of 2016, the Company reached the same conclusion under previous guidance in ASC 810 to consolidate NCM LLC.</w:t>
      </w:r>
    </w:p>
    <w:p>
      <w:pPr>
        <w:spacing w:after="0" w:line="70" w:lineRule="exact"/>
        <w:rPr>
          <w:sz w:val="20"/>
          <w:szCs w:val="20"/>
          <w:color w:val="auto"/>
        </w:rPr>
      </w:pPr>
    </w:p>
    <w:p>
      <w:pPr>
        <w:ind w:right="760" w:firstLine="555"/>
        <w:spacing w:after="0" w:line="277" w:lineRule="auto"/>
        <w:rPr>
          <w:sz w:val="20"/>
          <w:szCs w:val="20"/>
          <w:color w:val="auto"/>
        </w:rPr>
      </w:pPr>
      <w:r>
        <w:rPr>
          <w:rFonts w:ascii="Arial" w:cs="Arial" w:eastAsia="Arial" w:hAnsi="Arial"/>
          <w:sz w:val="18"/>
          <w:szCs w:val="18"/>
          <w:color w:val="auto"/>
        </w:rPr>
        <w:t>The following table presents the changes in NCM, Inc.’s equity resulting from net income attributable to NCM, Inc. and transfers to or from noncontrolling interests (in millions):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Years Ended</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c>
          <w:tcPr>
            <w:tcW w:w="11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January 1,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NCM, Inc.</w:t>
            </w:r>
          </w:p>
        </w:tc>
        <w:tc>
          <w:tcPr>
            <w:tcW w:w="6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NCM LLC equity issued for purchase of intangible asset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Income tax and other impacts of NCM LLC ownership</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changes</w:t>
            </w: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NCM, Inc. investment in NCM LLC</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Issuance of shares</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40" w:type="dxa"/>
            <w:vAlign w:val="bottom"/>
            <w:gridSpan w:val="2"/>
          </w:tcPr>
          <w:p>
            <w:pPr>
              <w:spacing w:after="0"/>
              <w:rPr>
                <w:sz w:val="20"/>
                <w:szCs w:val="20"/>
                <w:color w:val="auto"/>
              </w:rPr>
            </w:pPr>
            <w:r>
              <w:rPr>
                <w:rFonts w:ascii="Arial" w:cs="Arial" w:eastAsia="Arial" w:hAnsi="Arial"/>
                <w:sz w:val="18"/>
                <w:szCs w:val="18"/>
                <w:color w:val="auto"/>
              </w:rPr>
              <w:t>Change from net income attributable to NCM, Inc.</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and transfers from noncontrolling interests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20"/>
                <w:szCs w:val="20"/>
                <w:color w:val="auto"/>
              </w:rPr>
            </w:pP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color w:val="auto"/>
        </w:rPr>
        <w:t xml:space="preserve">During the first quarter of 2016, the Company adopted Accounting Standards Update 2015-01, </w:t>
      </w:r>
      <w:r>
        <w:rPr>
          <w:rFonts w:ascii="Arial" w:cs="Arial" w:eastAsia="Arial" w:hAnsi="Arial"/>
          <w:sz w:val="17"/>
          <w:szCs w:val="17"/>
          <w:i w:val="1"/>
          <w:iCs w:val="1"/>
          <w:color w:val="auto"/>
        </w:rPr>
        <w:t>Income Statement Extraordinary and Unusual Items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225-20): Simplifying Income Statement Presentation by Eliminating the Concept of Extraordinary Items </w:t>
      </w:r>
      <w:r>
        <w:rPr>
          <w:rFonts w:ascii="Arial" w:cs="Arial" w:eastAsia="Arial" w:hAnsi="Arial"/>
          <w:sz w:val="17"/>
          <w:szCs w:val="17"/>
          <w:color w:val="auto"/>
        </w:rPr>
        <w:t>(“ASU 2015-01”) on a prospective basis,</w:t>
      </w:r>
      <w:r>
        <w:rPr>
          <w:rFonts w:ascii="Arial" w:cs="Arial" w:eastAsia="Arial" w:hAnsi="Arial"/>
          <w:sz w:val="17"/>
          <w:szCs w:val="17"/>
          <w:i w:val="1"/>
          <w:iCs w:val="1"/>
          <w:color w:val="auto"/>
        </w:rPr>
        <w:t xml:space="preserve"> </w:t>
      </w:r>
      <w:r>
        <w:rPr>
          <w:rFonts w:ascii="Arial" w:cs="Arial" w:eastAsia="Arial" w:hAnsi="Arial"/>
          <w:sz w:val="17"/>
          <w:szCs w:val="17"/>
          <w:color w:val="auto"/>
        </w:rPr>
        <w:t>which eliminates the concept of extraordinary items from GAAP. Under ASU 2015-01, reporting entities will no longer be required to assess whether an underlying event or transaction is extraordinary, however, presentation and disclosure guidance for items that are unusual in nature or occur infrequently are retained, and are expanded to include items that are both unusual in nature and infrequently occurring. The adoption of ASU 2015-01 did not have a material impact on the audited Consolidated Financial Statements or notes thereto.</w:t>
      </w:r>
    </w:p>
    <w:p>
      <w:pPr>
        <w:spacing w:after="0" w:line="70"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During the first quarter of 2016, the Company adopted ASU 2015-02 on a prospective basis. ASU 2015-02 amends current consolidation guidance by modifying the evaluation of whether limited partnerships and similar legal entities are variable interest entities or voting interest entities, eliminating the presumption that a general partner should consolidate a limited partnership, and affects the consolidation analysis of reporting entities that are involved with variable interest entities. The adoption of ASU 2015-02 did not have a material impact on the audited Consolidated Financial Statements or notes thereto.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During the first quarter of 2016, the Company adopted Accounting Standards Update 2015-03, on a retrospective basis, which provides guidance for simplifying the presentation of debt issuance costs. ASU 2015-03 requires that debt issuance costs be presented in the balance sheet as a direct deduction from the carrying amount of debt liability, consistent with debt discounts or premiums. The Company also adopted ASU 2015-15 on a retrospective basis, which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Company reclassified net deferred financing costs related to the Company’s Term Loans, Senior Secured Notes and Senior Unsecured Notes in the audited Consolidated Balance Sheets as a direct deduction from the carrying amount of those borrowings, while net deferred financing costs related to the Company’s Revolving Credit Facility remained an asset in the audited Consolidated Balance Sheets. Upon adoption of ASU 2015-03 and ASU 2015-15, net deferred financing costs of $10.6 million in the December 31, 2015 audited Consolidated Balance Sheet were reclassified from an asset to a reduction of the carrying value of long-term debt.</w:t>
      </w:r>
    </w:p>
    <w:p>
      <w:pPr>
        <w:spacing w:after="0" w:line="70" w:lineRule="exact"/>
        <w:rPr>
          <w:sz w:val="20"/>
          <w:szCs w:val="20"/>
          <w:color w:val="auto"/>
        </w:rPr>
      </w:pPr>
    </w:p>
    <w:p>
      <w:pPr>
        <w:ind w:right="200" w:firstLine="555"/>
        <w:spacing w:after="0" w:line="273" w:lineRule="auto"/>
        <w:rPr>
          <w:sz w:val="20"/>
          <w:szCs w:val="20"/>
          <w:color w:val="auto"/>
        </w:rPr>
      </w:pPr>
      <w:r>
        <w:rPr>
          <w:rFonts w:ascii="Arial" w:cs="Arial" w:eastAsia="Arial" w:hAnsi="Arial"/>
          <w:sz w:val="17"/>
          <w:szCs w:val="17"/>
          <w:color w:val="auto"/>
        </w:rPr>
        <w:t xml:space="preserve">During the first quarter of 2016, the Company adopted Accounting Standards Update 2015-05, </w:t>
      </w:r>
      <w:r>
        <w:rPr>
          <w:rFonts w:ascii="Arial" w:cs="Arial" w:eastAsia="Arial" w:hAnsi="Arial"/>
          <w:sz w:val="17"/>
          <w:szCs w:val="17"/>
          <w:i w:val="1"/>
          <w:iCs w:val="1"/>
          <w:color w:val="auto"/>
        </w:rPr>
        <w:t>Intangibles-Goodwill and Other – Internal-Use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Software (Subtopic 350-40): Customer’s Accounting for Fees Paid in a Cloud Computing Arrangement </w:t>
      </w:r>
      <w:r>
        <w:rPr>
          <w:rFonts w:ascii="Arial" w:cs="Arial" w:eastAsia="Arial" w:hAnsi="Arial"/>
          <w:sz w:val="17"/>
          <w:szCs w:val="17"/>
          <w:color w:val="auto"/>
        </w:rPr>
        <w:t>(“ASU 2015-05”) on a prospective basis,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guidance on accounting for fees paid by a customer in a cloud computing arrangement.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adoption of ASU 2015-05 did not have a material impact on the audited Consolidated Financial Statements or notes thereto.</w:t>
      </w:r>
    </w:p>
    <w:p>
      <w:pPr>
        <w:spacing w:after="0" w:line="70" w:lineRule="exact"/>
        <w:rPr>
          <w:sz w:val="20"/>
          <w:szCs w:val="20"/>
          <w:color w:val="auto"/>
        </w:rPr>
      </w:pPr>
    </w:p>
    <w:p>
      <w:pPr>
        <w:ind w:right="220" w:firstLine="555"/>
        <w:spacing w:after="0" w:line="255" w:lineRule="auto"/>
        <w:rPr>
          <w:sz w:val="20"/>
          <w:szCs w:val="20"/>
          <w:color w:val="auto"/>
        </w:rPr>
      </w:pPr>
      <w:r>
        <w:rPr>
          <w:rFonts w:ascii="Arial" w:cs="Arial" w:eastAsia="Arial" w:hAnsi="Arial"/>
          <w:sz w:val="18"/>
          <w:szCs w:val="18"/>
          <w:color w:val="auto"/>
        </w:rPr>
        <w:t xml:space="preserve">During the first quarter of 2016, the Company adopted Accounting Standards Update 2015-17, </w:t>
      </w:r>
      <w:r>
        <w:rPr>
          <w:rFonts w:ascii="Arial" w:cs="Arial" w:eastAsia="Arial" w:hAnsi="Arial"/>
          <w:sz w:val="18"/>
          <w:szCs w:val="18"/>
          <w:i w:val="1"/>
          <w:iCs w:val="1"/>
          <w:color w:val="auto"/>
        </w:rPr>
        <w:t>Income Taxes (Topic 740) -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on a retrospective basis. ASU 2015-17 requires the presentation of deferred tax liabilities and assets be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non-current in a classified statement of financial position, which is a change from the Company’s historical presentation whereby certain of its deferred tax assets and liabilities were classified as current and the remainder were classified as non-current. Upon adoption of ASU 2015-17, current deferred tax assets of $6.2 million and current deferred tax liabilities of $0.5 million in the December 31, 2015 audited Consolidated Balance Sheet were reclassified as non-current.</w:t>
      </w:r>
    </w:p>
    <w:p>
      <w:pPr>
        <w:spacing w:after="0" w:line="85" w:lineRule="exact"/>
        <w:rPr>
          <w:sz w:val="20"/>
          <w:szCs w:val="20"/>
          <w:color w:val="auto"/>
        </w:rPr>
      </w:pPr>
    </w:p>
    <w:p>
      <w:pPr>
        <w:ind w:right="220" w:firstLine="555"/>
        <w:spacing w:after="0" w:line="257" w:lineRule="auto"/>
        <w:rPr>
          <w:sz w:val="20"/>
          <w:szCs w:val="20"/>
          <w:color w:val="auto"/>
        </w:rPr>
      </w:pPr>
      <w:r>
        <w:rPr>
          <w:rFonts w:ascii="Arial" w:cs="Arial" w:eastAsia="Arial" w:hAnsi="Arial"/>
          <w:sz w:val="18"/>
          <w:szCs w:val="18"/>
          <w:color w:val="auto"/>
        </w:rPr>
        <w:t xml:space="preserve">During the fourth quarter of 2016, the Company early adopted Accounting Standards Update 2016-09, </w:t>
      </w:r>
      <w:r>
        <w:rPr>
          <w:rFonts w:ascii="Arial" w:cs="Arial" w:eastAsia="Arial" w:hAnsi="Arial"/>
          <w:sz w:val="18"/>
          <w:szCs w:val="18"/>
          <w:i w:val="1"/>
          <w:iCs w:val="1"/>
          <w:color w:val="auto"/>
        </w:rPr>
        <w:t>Compensation-Stock Compensation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718): Improvements to Employee Share-Based Payment Accounting </w:t>
      </w:r>
      <w:r>
        <w:rPr>
          <w:rFonts w:ascii="Arial" w:cs="Arial" w:eastAsia="Arial" w:hAnsi="Arial"/>
          <w:sz w:val="18"/>
          <w:szCs w:val="18"/>
          <w:color w:val="auto"/>
        </w:rPr>
        <w:t>(“ASU 2016-09”). The updated guidance changes how companies account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aspects of share-based payment awards to employees, including the accounting for income taxes, forfeitures and statutory tax withholding requirements, as well as classification in the statement of cash flows. The adoption of ASU 2016-09 did not have a material impact on the audited Consolidated Financial Statements or notes thereto.</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60" w:firstLine="555"/>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605,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In August 2015, the FASB revised the effective date for this standard to annual and interim periods beginning on or after December 15, 2017, with early adoption permitted, but not earlier than the original effective date of annual and interim periods beginning after December 15, 2016, for public entities. ASU 2014-09 allows for either a full retrospective or a modified retrospective transition method. The Company expects to adopt this guidance using the modified retrospective transition method during the first quarter of 2018. The Company expects to identify the same performance obligations under ASU 2014-09 as compared with deliverables and separate units of account previously identified. The Company does not expect the effect of adopting this guidance to be material to the audited Consolidated Financial Statements, however, the Company does expect additional disclosures in its notes to the audited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 xml:space="preserve">In January 2016, the FASB issued Accounting Standards Update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(“ASU 2016-01”), which requires equity investments that are not accounted for under the equity method of accounting to be measured at fair value with changes recognized in earnings (rather than reported through other comprehensive income) and updates certain presentation and disclosure requirements. The guidance is effective for reporting periods (interim and annual) beginning after December 15, 2017, for public companies and should be adopted on a prospective basis. The Company is currently assessing the impact of ASU 2016-01 on the audited Consolidated Financial Statements or notes thereto.</w:t>
      </w:r>
    </w:p>
    <w:p>
      <w:pPr>
        <w:spacing w:after="0" w:line="50" w:lineRule="exact"/>
        <w:rPr>
          <w:sz w:val="20"/>
          <w:szCs w:val="20"/>
          <w:color w:val="auto"/>
        </w:rPr>
      </w:pPr>
    </w:p>
    <w:p>
      <w:pPr>
        <w:ind w:right="180" w:firstLine="555"/>
        <w:spacing w:after="0" w:line="272"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ASU 2016-02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assessing the impact of ASU 2016-02 on the audited Consolidated Financial Statements or notes thereto.</w:t>
      </w:r>
    </w:p>
    <w:p>
      <w:pPr>
        <w:spacing w:after="0" w:line="70"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 xml:space="preserve">In March 2016, the FASB issued Accounting Standards Update 2016-07, </w:t>
      </w:r>
      <w:r>
        <w:rPr>
          <w:rFonts w:ascii="Arial" w:cs="Arial" w:eastAsia="Arial" w:hAnsi="Arial"/>
          <w:sz w:val="16"/>
          <w:szCs w:val="16"/>
          <w:i w:val="1"/>
          <w:iCs w:val="1"/>
          <w:color w:val="auto"/>
        </w:rPr>
        <w:t>Investments- Equity Method and Joint Ventures: Simplifying the Transition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Equity Method of Accounting </w:t>
      </w:r>
      <w:r>
        <w:rPr>
          <w:rFonts w:ascii="Arial" w:cs="Arial" w:eastAsia="Arial" w:hAnsi="Arial"/>
          <w:sz w:val="16"/>
          <w:szCs w:val="16"/>
          <w:color w:val="auto"/>
        </w:rPr>
        <w:t>(“ASU 2016-07”). ASU 2016-07 eliminates the requirement to apply the equity method of accounting retrospectively when</w:t>
      </w:r>
      <w:r>
        <w:rPr>
          <w:rFonts w:ascii="Arial" w:cs="Arial" w:eastAsia="Arial" w:hAnsi="Arial"/>
          <w:sz w:val="16"/>
          <w:szCs w:val="16"/>
          <w:i w:val="1"/>
          <w:iCs w:val="1"/>
          <w:color w:val="auto"/>
        </w:rPr>
        <w:t xml:space="preserve"> </w:t>
      </w:r>
      <w:r>
        <w:rPr>
          <w:rFonts w:ascii="Arial" w:cs="Arial" w:eastAsia="Arial" w:hAnsi="Arial"/>
          <w:sz w:val="16"/>
          <w:szCs w:val="16"/>
          <w:color w:val="auto"/>
        </w:rPr>
        <w:t>a reporting entity obtains significant influence over a previously held investment. ASU 2016-07 is effective for fiscal years beginning after December 15, 2016, including interim periods within those fiscal years with early adoption permitted and is to be adopted on a prospective basis. The adoption of ASU 2016-07 is not expected to have a material effect on the audited Consolidated Financial Statements or notes thereto.</w:t>
      </w:r>
    </w:p>
    <w:p>
      <w:pPr>
        <w:spacing w:after="0" w:line="50"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Financial Statements </w:t>
      </w:r>
      <w:r>
        <w:rPr>
          <w:rFonts w:ascii="Arial" w:cs="Arial" w:eastAsia="Arial" w:hAnsi="Arial"/>
          <w:sz w:val="18"/>
          <w:szCs w:val="18"/>
          <w:color w:val="auto"/>
        </w:rPr>
        <w:t>(“ASU 2016-13”), which requires a financial asset (or group of financial assets) measured at amortized cost basis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The Company is currently evaluating the effect that adopting this guidance will have on the audited Consolidated Financial Statements or notes thereto.</w:t>
      </w:r>
    </w:p>
    <w:p>
      <w:pPr>
        <w:spacing w:after="0" w:line="8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 xml:space="preserve">In August 2016, the FASB issued Accounting Standards Update 2016-15, </w:t>
      </w:r>
      <w:r>
        <w:rPr>
          <w:rFonts w:ascii="Arial" w:cs="Arial" w:eastAsia="Arial" w:hAnsi="Arial"/>
          <w:sz w:val="18"/>
          <w:szCs w:val="18"/>
          <w:i w:val="1"/>
          <w:iCs w:val="1"/>
          <w:color w:val="auto"/>
        </w:rPr>
        <w:t>Statement of Cash Flows (Topic 230): Classification of Certain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Receipts and Cash Payments </w:t>
      </w:r>
      <w:r>
        <w:rPr>
          <w:rFonts w:ascii="Arial" w:cs="Arial" w:eastAsia="Arial" w:hAnsi="Arial"/>
          <w:sz w:val="18"/>
          <w:szCs w:val="18"/>
          <w:color w:val="auto"/>
        </w:rPr>
        <w:t>(“ASU 2016-15”), which provides guidance on how certain cash receipts and cash payments are to be presented and classified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statement of cash flows. ASU 2016-15 is effective for fiscal years beginning after December 15, 2017, including interim periods within those fiscal years, with early adoption permitted. The Company does not expect the effect of adopting this guidance to have a material effect on the audited Consolidated Financial Statements or notes thereto.</w:t>
      </w:r>
    </w:p>
    <w:p>
      <w:pPr>
        <w:spacing w:after="0" w:line="80"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 xml:space="preserve">In October 2016, the FASB issued Accounting Standards Update 2016-17, </w:t>
      </w:r>
      <w:r>
        <w:rPr>
          <w:rFonts w:ascii="Arial" w:cs="Arial" w:eastAsia="Arial" w:hAnsi="Arial"/>
          <w:sz w:val="16"/>
          <w:szCs w:val="16"/>
          <w:i w:val="1"/>
          <w:iCs w:val="1"/>
          <w:color w:val="auto"/>
        </w:rPr>
        <w:t>Consolidation (Topic 810): Interests Held through Related Parties That 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under Common Control </w:t>
      </w:r>
      <w:r>
        <w:rPr>
          <w:rFonts w:ascii="Arial" w:cs="Arial" w:eastAsia="Arial" w:hAnsi="Arial"/>
          <w:sz w:val="16"/>
          <w:szCs w:val="16"/>
          <w:color w:val="auto"/>
        </w:rPr>
        <w:t>(“ASU 2016-17”), which changes the evaluation of whether a reporting entity is the primary beneficiary of a variable interest entity</w:t>
      </w:r>
      <w:r>
        <w:rPr>
          <w:rFonts w:ascii="Arial" w:cs="Arial" w:eastAsia="Arial" w:hAnsi="Arial"/>
          <w:sz w:val="16"/>
          <w:szCs w:val="16"/>
          <w:i w:val="1"/>
          <w:iCs w:val="1"/>
          <w:color w:val="auto"/>
        </w:rPr>
        <w:t xml:space="preserve"> </w:t>
      </w:r>
      <w:r>
        <w:rPr>
          <w:rFonts w:ascii="Arial" w:cs="Arial" w:eastAsia="Arial" w:hAnsi="Arial"/>
          <w:sz w:val="16"/>
          <w:szCs w:val="16"/>
          <w:color w:val="auto"/>
        </w:rPr>
        <w:t>by changing how a reporting entity that is a single decision maker of a variable interest entity treats indirect interests in the entity held through related parties that are under common control with the reporting entity. If a reporting entity satisfies the first characteristic of a primary beneficiary (such that it is the single decision maker of a variable interest entity), the amendments require that reporting entity, in determining whether it satisfies the second characteristic of a primary beneficiary, to include all of its direct variable interests in a variable interest entity and, on a proportionate basis, its indirect variable interests in a variable interest entity held through related parties, including related parties that are under common control with the reporting entity. ASU 2016-17 is effective for fiscal years beginning after December 15, 2016, including interim periods within those fiscal years, with early adoption permitted. The Company is currently evaluating the effect that adopting this guidance will have on the audited Consolidated Financial Statements or notes thereto.</w:t>
      </w:r>
    </w:p>
    <w:p>
      <w:pPr>
        <w:spacing w:after="0" w:line="59"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 xml:space="preserve">In November 2016, the FASB issued Accounting Standards Update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which requires that the reconciliation of the beginning-of-period and end-of-period amounts shown in the statement of cash flows include restricted cash and restricted cash equivalents. If restricted cash is presented separately from cash and cash equivalents on the balance sheet, companies will have to reconcile the amounts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presented on the statement of cash flows to the amounts on the balance sheet. Companies will also need to disclose information about the nature of the restrictions. ASU 2016-18 is effective for fiscal years beginning after December 15, 2017, including interim periods within those fiscal years. The Company is currently evaluating the effect that adopting this guidance will have on the audited Consolidated Financial Statements or notes thereto.</w:t>
      </w:r>
    </w:p>
    <w:p>
      <w:pPr>
        <w:spacing w:after="0" w:line="57"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audited Consolidated Financial Statements or notes thereto.</w:t>
      </w:r>
    </w:p>
    <w:p>
      <w:pPr>
        <w:spacing w:after="0" w:line="58" w:lineRule="exact"/>
        <w:rPr>
          <w:sz w:val="20"/>
          <w:szCs w:val="20"/>
          <w:color w:val="auto"/>
        </w:rPr>
      </w:pPr>
    </w:p>
    <w:p>
      <w:pPr>
        <w:ind w:left="1120" w:hanging="1112"/>
        <w:spacing w:after="0"/>
        <w:tabs>
          <w:tab w:leader="none" w:pos="11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right="460" w:firstLine="555"/>
        <w:spacing w:after="0" w:line="312"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NCM, Inc. share are as follows:</w:t>
      </w:r>
    </w:p>
    <w:p>
      <w:pPr>
        <w:spacing w:after="0" w:line="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December 29, 2016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January 1,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NCM, Inc. (in millions)</w:t>
            </w:r>
          </w:p>
        </w:tc>
        <w:tc>
          <w:tcPr>
            <w:tcW w:w="2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59,788,026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58,979,508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58,709,534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Add: Dilutive effect of stock options and restricted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stock</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817,544</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609,791</w:t>
            </w:r>
          </w:p>
        </w:tc>
        <w:tc>
          <w:tcPr>
            <w:tcW w:w="1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295,786</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60,605,570</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59,589,299</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59,005,320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Earnings per NCM, Inc. share: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3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effect of the 77,020,686, 71,439,992 and 69,306,057 exchangeable NCM LLC common units held by the founding members for the years ended December 29, 2016, December 31, 2015 and January 1, 2015, respectively, have been excluded from the calculation of diluted weighted average shares and earnings per NCM, Inc. share as they were antidilutive. NCM LLC common units do not participate in dividends paid on NCM Inc.’s common shares. In addition, there were 16,657, 64,519 and 72,533 stock options and non-vested (restricted) shares for the years ended December 29, 2016, December 31, 2015 and January 1, 2015, respectively, excluded from the calculation as they were antidilutive, primarily because exercise prices associated with those shares were above the average market value. The Company’s non-vested (restricted) shares do not meet the definition of a participating security as the dividends will not be paid if the shares do not vest.</w:t>
      </w:r>
    </w:p>
    <w:p>
      <w:pPr>
        <w:spacing w:after="0" w:line="77" w:lineRule="exact"/>
        <w:rPr>
          <w:sz w:val="20"/>
          <w:szCs w:val="20"/>
          <w:color w:val="auto"/>
        </w:rPr>
      </w:pPr>
    </w:p>
    <w:p>
      <w:pPr>
        <w:ind w:left="1120" w:hanging="1112"/>
        <w:spacing w:after="0"/>
        <w:tabs>
          <w:tab w:leader="none" w:pos="11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property and equipment, at cost less accumulated depreciation (in millions):</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1"/>
              </w:rPr>
              <w:t>December 29, 2016</w:t>
            </w:r>
          </w:p>
        </w:tc>
        <w:tc>
          <w:tcPr>
            <w:tcW w:w="13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December 31, 2015</w:t>
            </w:r>
          </w:p>
        </w:tc>
        <w:tc>
          <w:tcPr>
            <w:tcW w:w="80" w:type="dxa"/>
            <w:vAlign w:val="bottom"/>
          </w:tcPr>
          <w:p>
            <w:pPr>
              <w:spacing w:after="0"/>
              <w:rPr>
                <w:sz w:val="13"/>
                <w:szCs w:val="13"/>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Equipment, computer hardware and software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(64.1)</w:t>
            </w:r>
          </w:p>
        </w:tc>
        <w:tc>
          <w:tcPr>
            <w:tcW w:w="5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(64.1)</w:t>
            </w:r>
          </w:p>
        </w:tc>
      </w:tr>
      <w:tr>
        <w:trPr>
          <w:trHeight w:val="223"/>
        </w:trPr>
        <w:tc>
          <w:tcPr>
            <w:tcW w:w="4980" w:type="dxa"/>
            <w:vAlign w:val="bottom"/>
          </w:tcPr>
          <w:p>
            <w:pPr>
              <w:ind w:left="24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FF0FC"/>
          </w:tcPr>
          <w:p>
            <w:pPr>
              <w:spacing w:after="0"/>
              <w:rPr>
                <w:sz w:val="19"/>
                <w:szCs w:val="19"/>
                <w:color w:val="auto"/>
              </w:rPr>
            </w:pPr>
          </w:p>
        </w:tc>
      </w:tr>
      <w:tr>
        <w:trPr>
          <w:trHeight w:val="223"/>
        </w:trPr>
        <w:tc>
          <w:tcPr>
            <w:tcW w:w="498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600"/>
        <w:spacing w:after="0" w:line="277" w:lineRule="auto"/>
        <w:rPr>
          <w:sz w:val="20"/>
          <w:szCs w:val="20"/>
          <w:color w:val="auto"/>
        </w:rPr>
      </w:pPr>
      <w:r>
        <w:rPr>
          <w:rFonts w:ascii="Arial" w:cs="Arial" w:eastAsia="Arial" w:hAnsi="Arial"/>
          <w:sz w:val="18"/>
          <w:szCs w:val="18"/>
          <w:color w:val="auto"/>
        </w:rPr>
        <w:t>For the years ended December 29, 2016, December 31, 2015 and January 1, 2015, the Company recorded depreciation expense of $8.6 million, $9.6 million, and $11.1 million, respectively.</w:t>
      </w:r>
    </w:p>
    <w:p>
      <w:pPr>
        <w:spacing w:after="0" w:line="58" w:lineRule="exact"/>
        <w:rPr>
          <w:sz w:val="20"/>
          <w:szCs w:val="20"/>
          <w:color w:val="auto"/>
        </w:rPr>
      </w:pPr>
    </w:p>
    <w:p>
      <w:pPr>
        <w:ind w:left="1120" w:hanging="1112"/>
        <w:spacing w:after="0"/>
        <w:tabs>
          <w:tab w:leader="none" w:pos="11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The Company’s intangible assets consist of contractual rights to provide its services within the theaters of the founding members and network affiliates. The Company records amortization using the straight-line method over the contractual life of the intangibles, corresponding to the term of the ESAs or the term of the contract with the network affiliate. The Company’s intangible assets with the founding members are recorded at the fair market value of NCM, Inc.’s publicly traded stock as of the date on which the common membership units were issued. The NCM LLC common membership units are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fully convertible into NCM, Inc.’s common stock. The Company also records intangible assets for upfront fees paid to network affiliates upon commencement of a network affiliate agreement. Pursuant to ASC 350-10—</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the Company’s intangible assets have a finite useful life and the Company amortizes the assets over the remaining useful life corresponding with the ESAs or the term of the contract with the network affiliate.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 In addition, if common membership units are issued to a founding member for theaters under an existing on-screen advertising agreement with an alternative provider, NCM LLC may receive payments from the founding member pursuant to the ESAs on a quarterly basis in arrears in accordance with certain run-out provisions (“integration payments”). Integration payments approximate the advertising cash flow that the Company would have generated if it had exclusive access to sell advertising in the theaters with pre-existing advertising agreements. The integration payments are recorded as a reduction to net intangible assets, and not as part of operating income.</w:t>
      </w:r>
    </w:p>
    <w:p>
      <w:pPr>
        <w:spacing w:after="0" w:line="70"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In accordance with NCM LLC’s Common Unit Adjustment Agreement with its founding members, on an annual basis 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of two percent or more in the total annual attendance of all founding members as of the last adjustment date.</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Company’s intangible assets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Integration</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Additions (1)</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Payments (3)</w:t>
            </w:r>
          </w:p>
        </w:tc>
        <w:tc>
          <w:tcPr>
            <w:tcW w:w="180" w:type="dxa"/>
            <w:vAlign w:val="bottom"/>
          </w:tcPr>
          <w:p>
            <w:pPr>
              <w:spacing w:after="0"/>
              <w:rPr>
                <w:sz w:val="14"/>
                <w:szCs w:val="14"/>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 net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Integration</w:t>
            </w: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Additions (2)</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Payments (3)</w:t>
            </w:r>
          </w:p>
        </w:tc>
        <w:tc>
          <w:tcPr>
            <w:tcW w:w="180" w:type="dxa"/>
            <w:vAlign w:val="bottom"/>
          </w:tcPr>
          <w:p>
            <w:pPr>
              <w:spacing w:after="0"/>
              <w:rPr>
                <w:sz w:val="14"/>
                <w:szCs w:val="14"/>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 net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375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30" w:lineRule="exact"/>
        <w:rPr>
          <w:sz w:val="20"/>
          <w:szCs w:val="20"/>
          <w:color w:val="auto"/>
        </w:rPr>
      </w:pPr>
    </w:p>
    <w:p>
      <w:pPr>
        <w:ind w:left="560" w:right="60" w:hanging="552"/>
        <w:spacing w:after="0" w:line="264" w:lineRule="auto"/>
        <w:tabs>
          <w:tab w:leader="none" w:pos="560" w:val="left"/>
        </w:tabs>
        <w:numPr>
          <w:ilvl w:val="0"/>
          <w:numId w:val="36"/>
        </w:numPr>
        <w:rPr>
          <w:rFonts w:ascii="Arial" w:cs="Arial" w:eastAsia="Arial" w:hAnsi="Arial"/>
          <w:sz w:val="18"/>
          <w:szCs w:val="18"/>
          <w:i w:val="1"/>
          <w:iCs w:val="1"/>
          <w:color w:val="auto"/>
        </w:rPr>
      </w:pPr>
      <w:r>
        <w:rPr>
          <w:rFonts w:ascii="Arial" w:cs="Arial" w:eastAsia="Arial" w:hAnsi="Arial"/>
          <w:sz w:val="18"/>
          <w:szCs w:val="18"/>
          <w:color w:val="auto"/>
        </w:rPr>
        <w:t>During the first quarter of 2016, NCM LLC issued 1,416,515 common membership units to its founding members for the rights to exclusive access to net new theater screens and attendees added by the founding members to NCM LLC’s network during 2015. NCM LLC recorded a net intangible asset of $21.1 million in the first quarter of 2016 as a result of the Common Unit Adjustment.</w:t>
      </w:r>
    </w:p>
    <w:p>
      <w:pPr>
        <w:spacing w:after="0" w:line="181"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During 2016, the Company purchased intangible assets for $2.3 million associated with network affiliate agreements.</w:t>
      </w:r>
    </w:p>
    <w:p>
      <w:pPr>
        <w:spacing w:after="0" w:line="225" w:lineRule="exact"/>
        <w:rPr>
          <w:rFonts w:ascii="Arial" w:cs="Arial" w:eastAsia="Arial" w:hAnsi="Arial"/>
          <w:sz w:val="18"/>
          <w:szCs w:val="18"/>
          <w:i w:val="1"/>
          <w:iCs w:val="1"/>
          <w:color w:val="auto"/>
        </w:rPr>
      </w:pPr>
    </w:p>
    <w:p>
      <w:pPr>
        <w:ind w:left="560" w:right="60" w:hanging="552"/>
        <w:spacing w:after="0" w:line="264" w:lineRule="auto"/>
        <w:tabs>
          <w:tab w:leader="none" w:pos="560" w:val="left"/>
        </w:tabs>
        <w:numPr>
          <w:ilvl w:val="0"/>
          <w:numId w:val="36"/>
        </w:numPr>
        <w:rPr>
          <w:rFonts w:ascii="Arial" w:cs="Arial" w:eastAsia="Arial" w:hAnsi="Arial"/>
          <w:sz w:val="18"/>
          <w:szCs w:val="18"/>
          <w:i w:val="1"/>
          <w:iCs w:val="1"/>
          <w:color w:val="auto"/>
        </w:rPr>
      </w:pPr>
      <w:r>
        <w:rPr>
          <w:rFonts w:ascii="Arial" w:cs="Arial" w:eastAsia="Arial" w:hAnsi="Arial"/>
          <w:sz w:val="18"/>
          <w:szCs w:val="18"/>
          <w:color w:val="auto"/>
        </w:rPr>
        <w:t>During the first quarter of 2015, NCM LLC issued 2,160,915 common membership units to its founding members for the rights to exclusive access to net new theater screens and attendees added by the founding members to NCM LLC’s network during 2014. NCM LLC recorded a net intangible asset of $31.4 million in the first quarter of 2015 as a result of the Common Unit Adjustment.</w:t>
      </w:r>
    </w:p>
    <w:p>
      <w:pPr>
        <w:spacing w:after="0" w:line="181" w:lineRule="exact"/>
        <w:rPr>
          <w:sz w:val="20"/>
          <w:szCs w:val="20"/>
          <w:color w:val="auto"/>
        </w:rPr>
      </w:pPr>
    </w:p>
    <w:p>
      <w:pPr>
        <w:ind w:left="560" w:right="300"/>
        <w:spacing w:after="0" w:line="264" w:lineRule="auto"/>
        <w:rPr>
          <w:sz w:val="20"/>
          <w:szCs w:val="20"/>
          <w:color w:val="auto"/>
        </w:rPr>
      </w:pPr>
      <w:r>
        <w:rPr>
          <w:rFonts w:ascii="Arial" w:cs="Arial" w:eastAsia="Arial" w:hAnsi="Arial"/>
          <w:sz w:val="18"/>
          <w:szCs w:val="18"/>
          <w:color w:val="auto"/>
        </w:rPr>
        <w:t>In December 2015, NCM LLC issued 4,399,324 common membership units to AMC for attendees added in connection with AMC’s acquisition of Starplex Cinemas and other newly built or acquired theaters. NCM LLC recorded a net intangible asset of approximately $69.3 million for this Common Unit Adjustment.</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2015, the Company purchased intangible assets for $2.7 million associated with network affiliate agreements.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560" w:right="120" w:hanging="552"/>
        <w:spacing w:after="0" w:line="276" w:lineRule="auto"/>
        <w:tabs>
          <w:tab w:leader="none" w:pos="560" w:val="left"/>
        </w:tabs>
        <w:numPr>
          <w:ilvl w:val="0"/>
          <w:numId w:val="37"/>
        </w:numPr>
        <w:rPr>
          <w:rFonts w:ascii="Arial" w:cs="Arial" w:eastAsia="Arial" w:hAnsi="Arial"/>
          <w:sz w:val="17"/>
          <w:szCs w:val="17"/>
          <w:i w:val="1"/>
          <w:iCs w:val="1"/>
          <w:color w:val="auto"/>
        </w:rPr>
      </w:pPr>
      <w:r>
        <w:rPr>
          <w:rFonts w:ascii="Arial" w:cs="Arial" w:eastAsia="Arial" w:hAnsi="Arial"/>
          <w:sz w:val="17"/>
          <w:szCs w:val="17"/>
          <w:color w:val="auto"/>
        </w:rPr>
        <w:t>Rave Cinemas had pre-existing advertising agreements for some of the theaters it owned prior to its acquisition by Cinemark, as well as, prior to the acquisition of certain Rave theaters by AMC. As a result, AMC and Cinemark will make integration payments over the remaining term of those agreements. During the year ended December 29, 2016 and December 31, 2015, NCM LLC recorded a reduction to net intangible assets of $2.6 million and $2.7 million, respectively, related to integration payments due from AMC and Cinemark. During the year ended December 29, 2016 and December 31, 2015, AMC and Cinemark paid $2.4 million and $2.6 million, respectively, in integration payments.</w:t>
      </w:r>
    </w:p>
    <w:p>
      <w:pPr>
        <w:spacing w:after="0" w:line="64"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As of December 29, 2016 and December 31, 2015, the Company’s intangible assets related to the founding members, net of accumulated amortization was $529.9 million and $535.9 million, respectively with weighted average remaining lives of 20.2 years and 21.2 years as of December 29, 2016 and December 31, 2015, respectively.</w:t>
      </w:r>
    </w:p>
    <w:p>
      <w:pPr>
        <w:spacing w:after="0" w:line="73"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As of December 29, 2016 and December 31, 2015, the Company’s intangible assets related to the network affiliates, net of accumulated amortization was $30.6 million and $30.8 million, respectively with weighted average remaining lives of 12.7 years and 13.9 years as of December 29, 2016 and December 31, 2015, respectively.</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years ended December 29, 2016, December 31, 2015 and January 1, 2015, the Company recorded amortization expense of $27.0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$22.6 million and $20.6 million, respectively. The estimated aggregate amortization expense for each of the five succeeding years is as follows (in millions):</w:t>
      </w:r>
    </w:p>
    <w:p>
      <w:pPr>
        <w:spacing w:after="0" w:line="239"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5.</w:t>
            </w:r>
          </w:p>
        </w:tc>
        <w:tc>
          <w:tcPr>
            <w:tcW w:w="6720" w:type="dxa"/>
            <w:vAlign w:val="bottom"/>
            <w:gridSpan w:val="2"/>
          </w:tcPr>
          <w:p>
            <w:pPr>
              <w:ind w:left="760"/>
              <w:spacing w:after="0"/>
              <w:rPr>
                <w:sz w:val="20"/>
                <w:szCs w:val="20"/>
                <w:color w:val="auto"/>
              </w:rPr>
            </w:pPr>
            <w:r>
              <w:rPr>
                <w:rFonts w:ascii="Arial" w:cs="Arial" w:eastAsia="Arial" w:hAnsi="Arial"/>
                <w:sz w:val="18"/>
                <w:szCs w:val="18"/>
                <w:b w:val="1"/>
                <w:bCs w:val="1"/>
                <w:color w:val="auto"/>
              </w:rPr>
              <w:t>ACCRUED EXPENSES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360" w:type="dxa"/>
            <w:vAlign w:val="bottom"/>
          </w:tcPr>
          <w:p>
            <w:pPr>
              <w:spacing w:after="0"/>
              <w:rPr>
                <w:sz w:val="24"/>
                <w:szCs w:val="24"/>
                <w:color w:val="auto"/>
              </w:rPr>
            </w:pPr>
          </w:p>
        </w:tc>
        <w:tc>
          <w:tcPr>
            <w:tcW w:w="6720" w:type="dxa"/>
            <w:vAlign w:val="bottom"/>
            <w:gridSpan w:val="2"/>
          </w:tcPr>
          <w:p>
            <w:pPr>
              <w:ind w:left="200"/>
              <w:spacing w:after="0"/>
              <w:rPr>
                <w:sz w:val="20"/>
                <w:szCs w:val="20"/>
                <w:color w:val="auto"/>
              </w:rPr>
            </w:pPr>
            <w:r>
              <w:rPr>
                <w:rFonts w:ascii="Arial" w:cs="Arial" w:eastAsia="Arial" w:hAnsi="Arial"/>
                <w:sz w:val="18"/>
                <w:szCs w:val="18"/>
                <w:color w:val="auto"/>
              </w:rPr>
              <w:t>The following is a summary of the Company’s accrued expenses (in millions):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97"/>
              </w:rPr>
              <w:t>As of</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3"/>
        </w:trPr>
        <w:tc>
          <w:tcPr>
            <w:tcW w:w="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1"/>
                <w:szCs w:val="11"/>
                <w:color w:val="auto"/>
              </w:rPr>
            </w:pPr>
          </w:p>
        </w:tc>
        <w:tc>
          <w:tcPr>
            <w:tcW w:w="100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1"/>
                <w:szCs w:val="11"/>
                <w:color w:val="auto"/>
              </w:rPr>
            </w:pPr>
          </w:p>
        </w:tc>
      </w:tr>
      <w:tr>
        <w:trPr>
          <w:trHeight w:val="171"/>
        </w:trPr>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360" w:type="dxa"/>
            <w:vAlign w:val="bottom"/>
            <w:tcBorders>
              <w:bottom w:val="single" w:sz="8" w:color="CFF2FA"/>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2FA"/>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2FA"/>
            </w:tcBorders>
          </w:tcPr>
          <w:p>
            <w:pPr>
              <w:spacing w:after="0"/>
              <w:rPr>
                <w:sz w:val="14"/>
                <w:szCs w:val="14"/>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360" w:type="dxa"/>
            <w:vAlign w:val="bottom"/>
            <w:shd w:val="clear" w:color="auto" w:fill="CFF2FA"/>
          </w:tcPr>
          <w:p>
            <w:pPr>
              <w:spacing w:after="0"/>
              <w:rPr>
                <w:sz w:val="20"/>
                <w:szCs w:val="20"/>
                <w:color w:val="auto"/>
              </w:rPr>
            </w:pPr>
            <w:r>
              <w:rPr>
                <w:rFonts w:ascii="Arial" w:cs="Arial" w:eastAsia="Arial" w:hAnsi="Arial"/>
                <w:sz w:val="18"/>
                <w:szCs w:val="18"/>
                <w:color w:val="auto"/>
              </w:rPr>
              <w:t>Make-good reserve</w:t>
            </w:r>
          </w:p>
        </w:tc>
        <w:tc>
          <w:tcPr>
            <w:tcW w:w="14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FF2FA"/>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360" w:type="dxa"/>
            <w:vAlign w:val="bottom"/>
            <w:shd w:val="clear" w:color="auto" w:fill="CFF2FA"/>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FF2FA"/>
          </w:tcPr>
          <w:p>
            <w:pPr>
              <w:spacing w:after="0"/>
              <w:rPr>
                <w:sz w:val="19"/>
                <w:szCs w:val="19"/>
                <w:color w:val="auto"/>
              </w:rPr>
            </w:pPr>
          </w:p>
        </w:tc>
        <w:tc>
          <w:tcPr>
            <w:tcW w:w="11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0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FF2FA"/>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36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2F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FF2FA"/>
            </w:tcBorders>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360" w:type="dxa"/>
            <w:vAlign w:val="bottom"/>
            <w:tcBorders>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Total accrued expenses</w:t>
            </w:r>
          </w:p>
        </w:tc>
        <w:tc>
          <w:tcPr>
            <w:tcW w:w="1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Borders>
              <w:bottom w:val="single" w:sz="8" w:color="CFF2FA"/>
            </w:tcBorders>
            <w:shd w:val="clear" w:color="auto" w:fill="CFF2FA"/>
          </w:tcPr>
          <w:p>
            <w:pPr>
              <w:spacing w:after="0"/>
              <w:rPr>
                <w:sz w:val="19"/>
                <w:szCs w:val="19"/>
                <w:color w:val="auto"/>
              </w:rPr>
            </w:pPr>
          </w:p>
        </w:tc>
        <w:tc>
          <w:tcPr>
            <w:tcW w:w="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19.8</w:t>
            </w:r>
          </w:p>
        </w:tc>
        <w:tc>
          <w:tcPr>
            <w:tcW w:w="60" w:type="dxa"/>
            <w:vAlign w:val="bottom"/>
            <w:tcBorders>
              <w:bottom w:val="single" w:sz="8" w:color="CFF2FA"/>
            </w:tcBorders>
            <w:shd w:val="clear" w:color="auto" w:fill="CFF2FA"/>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ind w:left="1120" w:hanging="1112"/>
        <w:spacing w:after="0"/>
        <w:tabs>
          <w:tab w:leader="none" w:pos="11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the IPO date, NCM, Inc. and the founding members entered into a tax receivable agreement. Under the terms of this agreement, NCM, Inc. will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make cash payments to the founding members in amounts equal to 90% of NCM, Inc.’s actual tax benefit realized from the tax amortization of the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described below. For purposes of the tax receivable agreement, cash savings in income and franchise tax will be computed by comparing NCM, Inc.’s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actual income and franchise tax liability to the amount of such taxes that NCM, Inc. would have been required to pay had there been no increase in NCM,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Inc.’s proportionate share of tax basis in NCM LLC’s tangible and intangible assets and had the tax receivable agreement not been entered into. The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agreement applies to NCM, Inc.’s taxable years up to and including the 30</w:t>
      </w:r>
      <w:r>
        <w:rPr>
          <w:rFonts w:ascii="Arial" w:cs="Arial" w:eastAsia="Arial" w:hAnsi="Arial"/>
          <w:sz w:val="13"/>
          <w:szCs w:val="13"/>
          <w:color w:val="auto"/>
        </w:rPr>
        <w:t>th</w:t>
      </w:r>
      <w:r>
        <w:rPr>
          <w:rFonts w:ascii="Arial" w:cs="Arial" w:eastAsia="Arial" w:hAnsi="Arial"/>
          <w:sz w:val="16"/>
          <w:szCs w:val="16"/>
          <w:color w:val="auto"/>
        </w:rPr>
        <w:t xml:space="preserve"> anniversary date of the offering. The Company paid the founding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members $27.1 million in 2014 ($0.1 million was for the 2012 tax year, $6.7 million was net operating loss carrybacks for the 2009, 2010 and 2011 tax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$20.3 million for the 2013 tax year), $21.1 million in 2015 ($0.9 million was net operating loss carrybacks for the 2009, 2010 and 2011 tax year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 million for the 2014 tax year) and $25.3 million in 2016 ($2.7 million was net operating loss carrybacks for the 2013 tax year and $22.6 million was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2015 tax year).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0" w:name="page81"/>
    <w:bookmarkEnd w:id="80"/>
    <w:p>
      <w:pPr>
        <w:jc w:val="center"/>
        <w:ind w:right="-1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provided total income taxes, as follows (in millions):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Years Ended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w w:val="98"/>
              </w:rPr>
              <w:t>January 1,</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446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9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Total current income tax expense/(benefit)</w:t>
            </w:r>
          </w:p>
        </w:tc>
        <w:tc>
          <w:tcPr>
            <w:tcW w:w="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9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income tax expense</w:t>
            </w: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FF0FC"/>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income tax provision on Consolidated</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Statements of Income</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20"/>
                <w:szCs w:val="20"/>
                <w:color w:val="auto"/>
              </w:rPr>
            </w:pPr>
          </w:p>
        </w:tc>
      </w:tr>
      <w:tr>
        <w:trPr>
          <w:trHeight w:val="209"/>
        </w:trPr>
        <w:tc>
          <w:tcPr>
            <w:tcW w:w="4480" w:type="dxa"/>
            <w:vAlign w:val="bottom"/>
            <w:gridSpan w:val="2"/>
          </w:tcPr>
          <w:p>
            <w:pPr>
              <w:spacing w:after="0"/>
              <w:rPr>
                <w:sz w:val="20"/>
                <w:szCs w:val="20"/>
                <w:color w:val="auto"/>
              </w:rPr>
            </w:pPr>
            <w:r>
              <w:rPr>
                <w:rFonts w:ascii="Arial" w:cs="Arial" w:eastAsia="Arial" w:hAnsi="Arial"/>
                <w:sz w:val="18"/>
                <w:szCs w:val="18"/>
                <w:color w:val="auto"/>
              </w:rPr>
              <w:t>Income tax expense on other</w:t>
            </w:r>
          </w:p>
        </w:tc>
        <w:tc>
          <w:tcPr>
            <w:tcW w:w="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comprehensive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income before taxes, less noncontrolling interest, by the U.S. federal statutory rate of 35% was (in millions):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w w:val="94"/>
              </w:rPr>
              <w:t>December 29,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ind w:right="193"/>
              <w:spacing w:after="0" w:line="133" w:lineRule="exact"/>
              <w:rPr>
                <w:sz w:val="20"/>
                <w:szCs w:val="20"/>
                <w:color w:val="auto"/>
              </w:rPr>
            </w:pPr>
            <w:r>
              <w:rPr>
                <w:rFonts w:ascii="Arial" w:cs="Arial" w:eastAsia="Arial" w:hAnsi="Arial"/>
                <w:sz w:val="14"/>
                <w:szCs w:val="14"/>
                <w:b w:val="1"/>
                <w:bCs w:val="1"/>
                <w:color w:val="auto"/>
              </w:rPr>
              <w:t>January 1,</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2100" w:type="dxa"/>
            <w:vAlign w:val="bottom"/>
            <w:tcBorders>
              <w:bottom w:val="single" w:sz="8" w:color="CFF0FC"/>
            </w:tcBorders>
          </w:tcPr>
          <w:p>
            <w:pPr>
              <w:spacing w:after="0"/>
              <w:rPr>
                <w:sz w:val="14"/>
                <w:szCs w:val="14"/>
                <w:color w:val="auto"/>
              </w:rPr>
            </w:pPr>
          </w:p>
        </w:tc>
        <w:tc>
          <w:tcPr>
            <w:tcW w:w="226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calculated at federal statutory income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tax rate:</w:t>
            </w: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Noncontrolling interests</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r>
      <w:tr>
        <w:trPr>
          <w:trHeight w:val="223"/>
        </w:trPr>
        <w:tc>
          <w:tcPr>
            <w:tcW w:w="20" w:type="dxa"/>
            <w:vAlign w:val="bottom"/>
          </w:tcPr>
          <w:p>
            <w:pPr>
              <w:spacing w:after="0"/>
              <w:rPr>
                <w:sz w:val="19"/>
                <w:szCs w:val="19"/>
                <w:color w:val="auto"/>
              </w:rPr>
            </w:pPr>
          </w:p>
        </w:tc>
        <w:tc>
          <w:tcPr>
            <w:tcW w:w="4360" w:type="dxa"/>
            <w:vAlign w:val="bottom"/>
            <w:gridSpan w:val="2"/>
          </w:tcPr>
          <w:p>
            <w:pPr>
              <w:ind w:left="480"/>
              <w:spacing w:after="0"/>
              <w:rPr>
                <w:sz w:val="20"/>
                <w:szCs w:val="20"/>
                <w:color w:val="auto"/>
              </w:rPr>
            </w:pPr>
            <w:r>
              <w:rPr>
                <w:rFonts w:ascii="Arial" w:cs="Arial" w:eastAsia="Arial" w:hAnsi="Arial"/>
                <w:sz w:val="18"/>
                <w:szCs w:val="18"/>
                <w:color w:val="auto"/>
              </w:rPr>
              <w:t>Income attributable to NCM, Inc.</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Current year change to enacted state rate</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State and local income taxes, net of federal</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tcPr>
          <w:p>
            <w:pPr>
              <w:ind w:left="380"/>
              <w:spacing w:after="0"/>
              <w:rPr>
                <w:sz w:val="20"/>
                <w:szCs w:val="20"/>
                <w:color w:val="auto"/>
              </w:rPr>
            </w:pPr>
            <w:r>
              <w:rPr>
                <w:rFonts w:ascii="Arial" w:cs="Arial" w:eastAsia="Arial" w:hAnsi="Arial"/>
                <w:sz w:val="18"/>
                <w:szCs w:val="18"/>
                <w:color w:val="auto"/>
              </w:rPr>
              <w:t>benefit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NCM LLC income taxes</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Allocation to founding members under tax</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receivable agreement</w:t>
            </w: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r>
      <w:tr>
        <w:trPr>
          <w:trHeight w:val="230"/>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18"/>
                <w:szCs w:val="18"/>
                <w:i w:val="1"/>
                <w:iCs w:val="1"/>
                <w:color w:val="auto"/>
              </w:rPr>
              <w:t>(1)</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4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NCM LLC membership unit issuance to NCM,</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w:t>
            </w: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income tax provision</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6" w:lineRule="exact"/>
        <w:rPr>
          <w:sz w:val="20"/>
          <w:szCs w:val="20"/>
          <w:color w:val="auto"/>
        </w:rPr>
      </w:pPr>
    </w:p>
    <w:p>
      <w:pPr>
        <w:ind w:left="1700" w:hanging="558"/>
        <w:spacing w:after="0" w:line="255" w:lineRule="auto"/>
        <w:tabs>
          <w:tab w:leader="none" w:pos="1700"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During the year ended December 31, 2015, the Company established a reserve for material, known tax exposures of $4.9 million, including accrued interest and penalties. The reserve relates to tax exposures from prior periods (2010 through 2014). The impact of this reserve was a total out of period impact of $4.9 million to income tax expense and income tax payable in the Consolidated Financial Statements during 2015. During the years ended December 29, 2016, the Company reversed approximately $2.9 million of its reserve ($2.3 million of income tax benefits and $0.6 million of accrued interest and penalties) because the statute of limitations expired. Further information is provided below.</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Significant components of the Company’s deferred tax assets and deferred tax liability consisted of the following (in millions):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ind w:left="72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75"/>
              <w:spacing w:after="0" w:line="133" w:lineRule="exact"/>
              <w:rPr>
                <w:sz w:val="20"/>
                <w:szCs w:val="20"/>
                <w:color w:val="auto"/>
              </w:rPr>
            </w:pPr>
            <w:r>
              <w:rPr>
                <w:rFonts w:ascii="Arial" w:cs="Arial" w:eastAsia="Arial" w:hAnsi="Arial"/>
                <w:sz w:val="14"/>
                <w:szCs w:val="14"/>
                <w:b w:val="1"/>
                <w:bCs w:val="1"/>
                <w:color w:val="auto"/>
                <w:w w:val="92"/>
              </w:rPr>
              <w:t>December 29,</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7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CFF0FC"/>
            </w:tcBorders>
          </w:tcPr>
          <w:p>
            <w:pPr>
              <w:spacing w:after="0"/>
              <w:rPr>
                <w:sz w:val="14"/>
                <w:szCs w:val="14"/>
                <w:color w:val="auto"/>
              </w:rPr>
            </w:pPr>
          </w:p>
        </w:tc>
        <w:tc>
          <w:tcPr>
            <w:tcW w:w="1460" w:type="dxa"/>
            <w:vAlign w:val="bottom"/>
            <w:tcBorders>
              <w:bottom w:val="single" w:sz="8" w:color="CFF0FC"/>
            </w:tcBorders>
          </w:tcPr>
          <w:p>
            <w:pPr>
              <w:spacing w:after="0"/>
              <w:rPr>
                <w:sz w:val="14"/>
                <w:szCs w:val="14"/>
                <w:color w:val="auto"/>
              </w:rPr>
            </w:pPr>
          </w:p>
        </w:tc>
        <w:tc>
          <w:tcPr>
            <w:tcW w:w="39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Investment in consolidated subsidiary NCM</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380" w:type="dxa"/>
            <w:vAlign w:val="bottom"/>
            <w:gridSpan w:val="2"/>
          </w:tcPr>
          <w:p>
            <w:pPr>
              <w:ind w:left="30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Net operating losses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Accrued bonus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CFF0FC"/>
            </w:tcBorders>
          </w:tcPr>
          <w:p>
            <w:pPr>
              <w:spacing w:after="0"/>
              <w:rPr>
                <w:sz w:val="19"/>
                <w:szCs w:val="19"/>
                <w:color w:val="auto"/>
              </w:rPr>
            </w:pPr>
          </w:p>
        </w:tc>
        <w:tc>
          <w:tcPr>
            <w:tcW w:w="538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Total deferred tax assets</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209.1</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CFF0FC"/>
          </w:tcPr>
          <w:p>
            <w:pPr>
              <w:spacing w:after="0"/>
              <w:rPr>
                <w:sz w:val="18"/>
                <w:szCs w:val="18"/>
                <w:color w:val="auto"/>
              </w:rPr>
            </w:pPr>
          </w:p>
        </w:tc>
        <w:tc>
          <w:tcPr>
            <w:tcW w:w="5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Discount on liability for income taxes payable to</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FF0FC"/>
          </w:tcPr>
          <w:p>
            <w:pPr>
              <w:spacing w:after="0"/>
              <w:rPr>
                <w:sz w:val="18"/>
                <w:szCs w:val="18"/>
                <w:color w:val="auto"/>
              </w:rPr>
            </w:pPr>
          </w:p>
        </w:tc>
        <w:tc>
          <w:tcPr>
            <w:tcW w:w="538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founding members under tax sharing</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FF0FC"/>
          </w:tcPr>
          <w:p>
            <w:pPr>
              <w:spacing w:after="0"/>
              <w:rPr>
                <w:sz w:val="20"/>
                <w:szCs w:val="20"/>
                <w:color w:val="auto"/>
              </w:rPr>
            </w:pPr>
          </w:p>
        </w:tc>
        <w:tc>
          <w:tcPr>
            <w:tcW w:w="538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i w:val="1"/>
                <w:iCs w:val="1"/>
                <w:color w:val="auto"/>
              </w:rPr>
              <w:t>(3)</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Notes receivable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CFF0FC"/>
            </w:tcBorders>
          </w:tcPr>
          <w:p>
            <w:pPr>
              <w:spacing w:after="0"/>
              <w:rPr>
                <w:sz w:val="19"/>
                <w:szCs w:val="19"/>
                <w:color w:val="auto"/>
              </w:rPr>
            </w:pPr>
          </w:p>
        </w:tc>
        <w:tc>
          <w:tcPr>
            <w:tcW w:w="538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Total deferred tax liabilities</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3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340" w:right="40" w:hanging="549"/>
        <w:spacing w:after="0" w:line="267" w:lineRule="auto"/>
        <w:tabs>
          <w:tab w:leader="none" w:pos="2340" w:val="left"/>
        </w:tabs>
        <w:numPr>
          <w:ilvl w:val="0"/>
          <w:numId w:val="40"/>
        </w:numPr>
        <w:rPr>
          <w:rFonts w:ascii="Arial" w:cs="Arial" w:eastAsia="Arial" w:hAnsi="Arial"/>
          <w:sz w:val="17"/>
          <w:szCs w:val="17"/>
          <w:i w:val="1"/>
          <w:iCs w:val="1"/>
          <w:color w:val="auto"/>
        </w:rPr>
      </w:pPr>
      <w:r>
        <w:rPr>
          <w:rFonts w:ascii="Arial" w:cs="Arial" w:eastAsia="Arial" w:hAnsi="Arial"/>
          <w:sz w:val="17"/>
          <w:szCs w:val="17"/>
          <w:color w:val="auto"/>
        </w:rPr>
        <w:t>NCM LLC made an election under Internal Revenue code (“IRC”) §754 of the Internal Revenue Code to step-up the Company’s outside basis in its share of NCM LLC’s inside basis of assets under IRC §743(b) resulting in a deferred tax asset for the Company’s acquired share of NCM LLC’s assets. The majority of this deferred tax asset is attributable to intangible assets that are amortized over the remainder of the 15-year period for federal income tax purposes and accounted for as distributions under U.S. generally accepted accounting principles. The Company recorded additional step-up in tax basis as a result of subsequent payments made by NCM, Inc. to the founding members under the tax receivable agreement resulting from amortization of the IRC §743(b) adjustment.</w:t>
      </w:r>
    </w:p>
    <w:p>
      <w:pPr>
        <w:spacing w:after="0" w:line="4" w:lineRule="exact"/>
        <w:rPr>
          <w:rFonts w:ascii="Arial" w:cs="Arial" w:eastAsia="Arial" w:hAnsi="Arial"/>
          <w:sz w:val="17"/>
          <w:szCs w:val="17"/>
          <w:i w:val="1"/>
          <w:iCs w:val="1"/>
          <w:color w:val="auto"/>
        </w:rPr>
      </w:pPr>
    </w:p>
    <w:p>
      <w:pPr>
        <w:ind w:left="2340" w:hanging="549"/>
        <w:spacing w:after="0" w:line="281" w:lineRule="auto"/>
        <w:tabs>
          <w:tab w:leader="none" w:pos="2340" w:val="left"/>
        </w:tabs>
        <w:numPr>
          <w:ilvl w:val="0"/>
          <w:numId w:val="40"/>
        </w:numPr>
        <w:rPr>
          <w:rFonts w:ascii="Arial" w:cs="Arial" w:eastAsia="Arial" w:hAnsi="Arial"/>
          <w:sz w:val="16"/>
          <w:szCs w:val="16"/>
          <w:i w:val="1"/>
          <w:iCs w:val="1"/>
          <w:color w:val="auto"/>
        </w:rPr>
      </w:pPr>
      <w:r>
        <w:rPr>
          <w:rFonts w:ascii="Arial" w:cs="Arial" w:eastAsia="Arial" w:hAnsi="Arial"/>
          <w:sz w:val="16"/>
          <w:szCs w:val="16"/>
          <w:color w:val="auto"/>
        </w:rPr>
        <w:t>For federal income tax purposes, an amortizable intangible asset was created on the tax-basis balance sheet of NCM LLC as a result of the founding members agreeing to modify NCM LLC’s payment obligations under the ESAs and as a result of the common unit adjustments, which are further described in Note 4—</w:t>
      </w:r>
      <w:r>
        <w:rPr>
          <w:rFonts w:ascii="Arial" w:cs="Arial" w:eastAsia="Arial" w:hAnsi="Arial"/>
          <w:sz w:val="16"/>
          <w:szCs w:val="16"/>
          <w:i w:val="1"/>
          <w:iCs w:val="1"/>
          <w:color w:val="auto"/>
        </w:rPr>
        <w:t>Intangible Assets</w:t>
      </w:r>
      <w:r>
        <w:rPr>
          <w:rFonts w:ascii="Arial" w:cs="Arial" w:eastAsia="Arial" w:hAnsi="Arial"/>
          <w:sz w:val="16"/>
          <w:szCs w:val="16"/>
          <w:color w:val="auto"/>
        </w:rPr>
        <w:t>. The tax effect of NCM, Inc.’s share of the intangible asset is amortized over the remainder of the 30-year life for federal income tax purposes. Additionally, units issued under Common Unit Adjustments and subsequent payments to the founding members under the tax receivable agreement, create additional layers of tax basis amortized over the remaining period of the ESA. The ESA deferred tax asset was adjusted to reflect the changes in ownership that occurred during the year due primarily to the common unit adjustments.</w:t>
      </w:r>
    </w:p>
    <w:p>
      <w:pPr>
        <w:spacing w:after="0" w:line="4" w:lineRule="exact"/>
        <w:rPr>
          <w:rFonts w:ascii="Arial" w:cs="Arial" w:eastAsia="Arial" w:hAnsi="Arial"/>
          <w:sz w:val="16"/>
          <w:szCs w:val="16"/>
          <w:i w:val="1"/>
          <w:iCs w:val="1"/>
          <w:color w:val="auto"/>
        </w:rPr>
      </w:pPr>
    </w:p>
    <w:p>
      <w:pPr>
        <w:ind w:left="2340" w:right="160" w:hanging="549"/>
        <w:spacing w:after="0" w:line="254" w:lineRule="auto"/>
        <w:tabs>
          <w:tab w:leader="none" w:pos="2340"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NCM, Inc. recorded a long-term payable to founding members related to the tax receivable agreement, which is recorded at its present value. The discount on this liability is a temporary difference that resulted in a deferred tax liability. The Company recorded accretion of interest on the discounted payable of $13.9 million and $14.1 million for the year ended December 29, 2016 and December 31, 2015, respectively.</w:t>
      </w:r>
    </w:p>
    <w:p>
      <w:pPr>
        <w:spacing w:after="0" w:line="82"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As of December 29, 2016, the Company had gross federal net operating loss carryforwards of approximately $27.6 million, which expire in 2034 through 2036. As of December 29, 2016, the Company had gross state net operating loss carryforwards of approximately $47.5 million, which expire at various dates between 2017 and 2036. The Company reversed a valuation allowance it had against its capital loss carryforwards as of December 26, 2013, as some of the carryforwards were utilized in 2013 and the remainder were utilized in 2014. As of December 29, 2016, the Company had gross capital loss carryforwards of approximately $1.3 million, which expire in 2020.</w:t>
      </w:r>
    </w:p>
    <w:p>
      <w:pPr>
        <w:spacing w:after="0" w:line="80" w:lineRule="exact"/>
        <w:rPr>
          <w:sz w:val="20"/>
          <w:szCs w:val="20"/>
          <w:color w:val="auto"/>
        </w:rPr>
      </w:pPr>
    </w:p>
    <w:p>
      <w:pPr>
        <w:jc w:val="both"/>
        <w:ind w:right="120" w:firstLine="555"/>
        <w:spacing w:after="0" w:line="264" w:lineRule="auto"/>
        <w:rPr>
          <w:sz w:val="20"/>
          <w:szCs w:val="20"/>
          <w:color w:val="auto"/>
        </w:rPr>
      </w:pPr>
      <w:r>
        <w:rPr>
          <w:rFonts w:ascii="Arial" w:cs="Arial" w:eastAsia="Arial" w:hAnsi="Arial"/>
          <w:sz w:val="18"/>
          <w:szCs w:val="18"/>
          <w:color w:val="auto"/>
        </w:rPr>
        <w:t>The Company is subject to taxation in the U.S. and various states. The Company’s tax returns for the calendar years 2013 through 2015 remain open to examination by the IRS in their entirety. With respect to state taxing jurisdictions, the Company’s tax returns for calendar years ended 2008 through 2015 are eligible for examination by various state revenue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The Company has established a reserve for material, known tax exposures. As of December 29, 2016 and December 31, 2015, the total amount of the tax reserve was $2.0 million and $4.9 million, including accrued interest and penalties, respectively. The Company’s reserve reflects management’s judgment as to the resolution of the issues involved if subject to judicial review or other settlement. While the Company believes its reserves are adequate to cover reasonably expected tax risks, there can be no assurance that, in all instances, an issue raised by a tax authority will be resolved at a financial cost that does not exceed its related reserve. With respect to the reserve, the Company’ income tax expense would include (i) any changes in tax reserves arising from material changes during the period in the facts and circumstances (i.e., new information) surrounding a tax issue and (ii) any difference from the Company’s tax position as recorded in the financial statements and the final resolution of a tax issue during the period. Such resolution could materially increase or decrease income tax expense in the Consolidated Financial Statements in future periods and could impact operating cash flows.</w:t>
      </w:r>
    </w:p>
    <w:p>
      <w:pPr>
        <w:spacing w:after="0" w:line="58" w:lineRule="exact"/>
        <w:rPr>
          <w:sz w:val="20"/>
          <w:szCs w:val="20"/>
          <w:color w:val="auto"/>
        </w:rPr>
      </w:pPr>
    </w:p>
    <w:p>
      <w:pPr>
        <w:jc w:val="both"/>
        <w:ind w:right="120" w:firstLine="555"/>
        <w:spacing w:after="0" w:line="264" w:lineRule="auto"/>
        <w:rPr>
          <w:sz w:val="20"/>
          <w:szCs w:val="20"/>
          <w:color w:val="auto"/>
        </w:rPr>
      </w:pPr>
      <w:r>
        <w:rPr>
          <w:rFonts w:ascii="Arial" w:cs="Arial" w:eastAsia="Arial" w:hAnsi="Arial"/>
          <w:sz w:val="18"/>
          <w:szCs w:val="18"/>
          <w:color w:val="auto"/>
        </w:rPr>
        <w:t>Unrecognized tax benefits represent the aggregate tax effect of differences between tax return positions and the amounts otherwise recognized in the Consolidated Financial Statements. A reconciliation of the beginning and ending amount of unrecognized tax benefits, excluding interest and penalties, is as follows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5"/>
          </w:tcPr>
          <w:p>
            <w:pPr>
              <w:jc w:val="right"/>
              <w:ind w:right="1254"/>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r>
      <w:tr>
        <w:trPr>
          <w:trHeight w:val="237"/>
        </w:trPr>
        <w:tc>
          <w:tcPr>
            <w:tcW w:w="7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December 29, 2016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7880" w:type="dxa"/>
            <w:vAlign w:val="bottom"/>
            <w:tcBorders>
              <w:top w:val="single" w:sz="8" w:color="CCF0FC"/>
            </w:tcBorders>
            <w:shd w:val="clear" w:color="auto" w:fill="CCF0FC"/>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top w:val="single" w:sz="8" w:color="CCF0FC"/>
            </w:tcBorders>
            <w:shd w:val="clear" w:color="auto" w:fill="CCF0FC"/>
          </w:tcPr>
          <w:p>
            <w:pPr>
              <w:spacing w:after="0"/>
              <w:rPr>
                <w:sz w:val="19"/>
                <w:szCs w:val="19"/>
                <w:color w:val="auto"/>
              </w:rPr>
            </w:pPr>
          </w:p>
        </w:tc>
        <w:tc>
          <w:tcPr>
            <w:tcW w:w="20" w:type="dxa"/>
            <w:vAlign w:val="bottom"/>
            <w:tcBorders>
              <w:top w:val="single" w:sz="8" w:color="CCF0FC"/>
            </w:tcBorders>
            <w:shd w:val="clear" w:color="auto" w:fill="CCF0FC"/>
          </w:tcPr>
          <w:p>
            <w:pPr>
              <w:spacing w:after="0"/>
              <w:rPr>
                <w:sz w:val="19"/>
                <w:szCs w:val="19"/>
                <w:color w:val="auto"/>
              </w:rPr>
            </w:pPr>
          </w:p>
        </w:tc>
        <w:tc>
          <w:tcPr>
            <w:tcW w:w="120" w:type="dxa"/>
            <w:vAlign w:val="bottom"/>
            <w:tcBorders>
              <w:top w:val="single" w:sz="8" w:color="auto"/>
            </w:tcBorders>
            <w:shd w:val="clear" w:color="auto" w:fill="CC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0FC"/>
            </w:tcBorders>
            <w:shd w:val="clear" w:color="auto" w:fill="CC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Additions based on tax positions related to prior years</w:t>
            </w:r>
          </w:p>
        </w:tc>
        <w:tc>
          <w:tcPr>
            <w:tcW w:w="14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r>
      <w:tr>
        <w:trPr>
          <w:trHeight w:val="230"/>
        </w:trPr>
        <w:tc>
          <w:tcPr>
            <w:tcW w:w="7880" w:type="dxa"/>
            <w:vAlign w:val="bottom"/>
            <w:shd w:val="clear" w:color="auto" w:fill="CCF0FC"/>
          </w:tcPr>
          <w:p>
            <w:pPr>
              <w:ind w:left="260"/>
              <w:spacing w:after="0"/>
              <w:rPr>
                <w:sz w:val="20"/>
                <w:szCs w:val="20"/>
                <w:color w:val="auto"/>
              </w:rPr>
            </w:pPr>
            <w:r>
              <w:rPr>
                <w:rFonts w:ascii="Arial" w:cs="Arial" w:eastAsia="Arial" w:hAnsi="Arial"/>
                <w:sz w:val="18"/>
                <w:szCs w:val="18"/>
                <w:color w:val="auto"/>
              </w:rPr>
              <w:t>Reductions based on the lapse of applicable statute of limitations</w:t>
            </w:r>
          </w:p>
        </w:tc>
        <w:tc>
          <w:tcPr>
            <w:tcW w:w="140" w:type="dxa"/>
            <w:vAlign w:val="bottom"/>
            <w:shd w:val="clear" w:color="auto" w:fill="CCF0FC"/>
          </w:tcPr>
          <w:p>
            <w:pPr>
              <w:spacing w:after="0"/>
              <w:rPr>
                <w:sz w:val="19"/>
                <w:szCs w:val="19"/>
                <w:color w:val="auto"/>
              </w:rPr>
            </w:pPr>
          </w:p>
        </w:tc>
        <w:tc>
          <w:tcPr>
            <w:tcW w:w="1720" w:type="dxa"/>
            <w:vAlign w:val="bottom"/>
            <w:gridSpan w:val="2"/>
            <w:shd w:val="clear" w:color="auto" w:fill="CCF0FC"/>
          </w:tcPr>
          <w:p>
            <w:pPr>
              <w:jc w:val="right"/>
              <w:ind w:right="24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F0FC"/>
          </w:tcPr>
          <w:p>
            <w:pPr>
              <w:spacing w:after="0"/>
              <w:rPr>
                <w:sz w:val="19"/>
                <w:szCs w:val="19"/>
                <w:color w:val="auto"/>
              </w:rPr>
            </w:pPr>
          </w:p>
        </w:tc>
        <w:tc>
          <w:tcPr>
            <w:tcW w:w="120" w:type="dxa"/>
            <w:vAlign w:val="bottom"/>
            <w:shd w:val="clear" w:color="auto" w:fill="CCF0FC"/>
          </w:tcPr>
          <w:p>
            <w:pPr>
              <w:spacing w:after="0"/>
              <w:rPr>
                <w:sz w:val="19"/>
                <w:szCs w:val="19"/>
                <w:color w:val="auto"/>
              </w:rPr>
            </w:pPr>
          </w:p>
        </w:tc>
        <w:tc>
          <w:tcPr>
            <w:tcW w:w="1540" w:type="dxa"/>
            <w:vAlign w:val="bottom"/>
            <w:gridSpan w:val="2"/>
            <w:shd w:val="clear" w:color="auto" w:fill="CC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The total amount of unrecognized tax benefits that, if recognized, would affect the effective tax rate was $1.6 million and $3.9 million as of December 29, 2016 and December 31, 2015, respectively, excluding interest and penalties. It is reasonably possible that the Company’s total unrecognized tax benefits will decrease by approximately $1.3 million during the next twelve months due to the expiration of certain statutes of limitations. The Company has accrued $0.4 million and $1.0 million for the payment of interest and penalties as of December 29, 2016 and December 31, 2015, respectively.</w:t>
      </w:r>
    </w:p>
    <w:p>
      <w:pPr>
        <w:spacing w:after="0" w:line="46" w:lineRule="exact"/>
        <w:rPr>
          <w:sz w:val="20"/>
          <w:szCs w:val="20"/>
          <w:color w:val="auto"/>
        </w:rPr>
      </w:pPr>
    </w:p>
    <w:p>
      <w:pPr>
        <w:ind w:right="80" w:firstLine="555"/>
        <w:spacing w:after="0" w:line="312" w:lineRule="auto"/>
        <w:rPr>
          <w:sz w:val="20"/>
          <w:szCs w:val="20"/>
          <w:color w:val="auto"/>
        </w:rPr>
      </w:pPr>
      <w:r>
        <w:rPr>
          <w:rFonts w:ascii="Arial" w:cs="Arial" w:eastAsia="Arial" w:hAnsi="Arial"/>
          <w:sz w:val="16"/>
          <w:szCs w:val="16"/>
          <w:color w:val="auto"/>
        </w:rPr>
        <w:t>The Company recognizes interest and penalties with respect to unrecognized tax benefits in income tax expense in the Consolidated Statements of Income and records the liability in income taxes payable in the Consolidated Balance Sheets. The Company recognized ($0.6) million, $1.0 million and $0.0 million in interest and penalties during the years ended December 29, 2016, December 31, 2015 and January 1, 2015, respectively.</w:t>
      </w:r>
    </w:p>
    <w:p>
      <w:pPr>
        <w:spacing w:after="0" w:line="129" w:lineRule="exact"/>
        <w:rPr>
          <w:sz w:val="20"/>
          <w:szCs w:val="20"/>
          <w:color w:val="auto"/>
        </w:rPr>
      </w:pPr>
    </w:p>
    <w:p>
      <w:pPr>
        <w:ind w:left="1120" w:hanging="1112"/>
        <w:spacing w:after="0"/>
        <w:tabs>
          <w:tab w:leader="none" w:pos="11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ind w:right="540" w:firstLine="555"/>
        <w:spacing w:after="0" w:line="286" w:lineRule="auto"/>
        <w:rPr>
          <w:sz w:val="20"/>
          <w:szCs w:val="20"/>
          <w:color w:val="auto"/>
        </w:rPr>
      </w:pPr>
      <w:r>
        <w:rPr>
          <w:rFonts w:ascii="Arial" w:cs="Arial" w:eastAsia="Arial" w:hAnsi="Arial"/>
          <w:sz w:val="17"/>
          <w:szCs w:val="17"/>
          <w:color w:val="auto"/>
        </w:rPr>
        <w:t>As of December 29, 2016, the Company has authorized capital stock of 175,000,000 shares of common stock, par value of $0.01 per share, and 10,000,000 shares of preferred stock, par value of $0.01 per share. There were no shares of preferred stock issued or outstanding as of December 29, 2016. There were 59,874,412 shares of common stock issued and outstanding as of December 29, 2016.</w:t>
      </w:r>
    </w:p>
    <w:p>
      <w:pPr>
        <w:spacing w:after="0" w:line="57"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holders of NCM Inc. common stock are entitled to one vote per share on all matters submitted for action by the NCM Inc. stockholders. Holders of common stock are entitled to share equally, share for share, in declared dividends.</w:t>
      </w:r>
    </w:p>
    <w:p>
      <w:pPr>
        <w:spacing w:after="0" w:line="62"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These additional shares may be used for a variety of corporate purposes, including share based compensation, future public offerings to raise additional capital, corporate acquisitions and exchange on a one-for-one basis under the founding members’ right to convert their NCM LLC membership units into Company common stock.</w:t>
      </w:r>
    </w:p>
    <w:p>
      <w:pPr>
        <w:spacing w:after="0" w:line="79"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NCM LLC’s founding members received all proceeds from NCM, Inc.’s IPO and related issuances of debt, except for amounts needed to pay out-of-pocket costs of the financings and other expenses. The ESAs with the founding members were amended and restated in conjunction with the IPO under which NCM LLC became the exclusive provider of advertising services to the founding members for a 30-year term. In conformity with accounting guidance of the SEC concerning monetary consideration paid to promoters, such as the founding members, in exchange for property conveyed by the promoters, the excess over predecessor cost was treated as a special distribution. Because the founding members had no cost basis in the ESAs, nearly all payments to the founding members with the proceeds of the IPO and related debt, have been accounted for as distributions. The distributions by NCM LLC to the founding members made at the date of the IPO resulted in a consolidated stockholders’ deficit. As a noncontrolling interest cannot be shown as an asset, the founding members’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interest in NCM LLC’s members equity is included in distributions in excess of paid in capital in the accompanying Consolidated Balance Sheets.</w:t>
      </w:r>
    </w:p>
    <w:p>
      <w:pPr>
        <w:spacing w:after="0" w:line="219" w:lineRule="exact"/>
        <w:rPr>
          <w:sz w:val="20"/>
          <w:szCs w:val="20"/>
          <w:color w:val="auto"/>
        </w:rPr>
      </w:pPr>
    </w:p>
    <w:p>
      <w:pPr>
        <w:ind w:left="1120" w:hanging="1112"/>
        <w:spacing w:after="0"/>
        <w:tabs>
          <w:tab w:leader="none" w:pos="11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b w:val="1"/>
          <w:bCs w:val="1"/>
          <w:i w:val="1"/>
          <w:iCs w:val="1"/>
          <w:color w:val="auto"/>
        </w:rPr>
        <w:t>Founding Member Transactions</w:t>
      </w:r>
      <w:r>
        <w:rPr>
          <w:rFonts w:ascii="Arial" w:cs="Arial" w:eastAsia="Arial" w:hAnsi="Arial"/>
          <w:sz w:val="18"/>
          <w:szCs w:val="18"/>
          <w:color w:val="auto"/>
        </w:rPr>
        <w:t>— In connection with the IPO, the Company entered into several agreements to define and regulate the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NCM, Inc., NCM LLC and the founding members. They include the following:</w:t>
      </w:r>
    </w:p>
    <w:p>
      <w:pPr>
        <w:spacing w:after="0" w:line="62" w:lineRule="exact"/>
        <w:rPr>
          <w:sz w:val="20"/>
          <w:szCs w:val="20"/>
          <w:color w:val="auto"/>
        </w:rPr>
      </w:pPr>
    </w:p>
    <w:p>
      <w:pPr>
        <w:ind w:left="1120" w:hanging="558"/>
        <w:spacing w:after="0" w:line="254"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ESAs. </w:t>
      </w:r>
      <w:r>
        <w:rPr>
          <w:rFonts w:ascii="Arial" w:cs="Arial" w:eastAsia="Arial" w:hAnsi="Arial"/>
          <w:sz w:val="18"/>
          <w:szCs w:val="18"/>
          <w:color w:val="auto"/>
        </w:rPr>
        <w:t>Under the ESAs, NCM LLC is the exclusive provider within the United States of advertising services in the founding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theaters (subject to pre-existing contractual obligations and other limited exceptions for the benefit of the founding members). The advertising services include the use of the DCN equipment required to deliver the on-screen advertising and other content included in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use of the LEN and rights to sell and display certain lobby promotions. Further, 30 to 60 seconds of advertising included in the </w:t>
      </w:r>
      <w:r>
        <w:rPr>
          <w:rFonts w:ascii="Arial" w:cs="Arial" w:eastAsia="Arial" w:hAnsi="Arial"/>
          <w:sz w:val="18"/>
          <w:szCs w:val="18"/>
          <w:i w:val="1"/>
          <w:iCs w:val="1"/>
          <w:color w:val="auto"/>
        </w:rPr>
        <w:t xml:space="preserve">FirstLook </w:t>
      </w:r>
      <w:r>
        <w:rPr>
          <w:rFonts w:ascii="Arial" w:cs="Arial" w:eastAsia="Arial" w:hAnsi="Arial"/>
          <w:sz w:val="18"/>
          <w:szCs w:val="18"/>
          <w:color w:val="auto"/>
        </w:rPr>
        <w:t>pre-show is sold to the founding members to satisfy the founding members’ on-screen advertising commitments under their</w:t>
      </w:r>
      <w:r>
        <w:rPr>
          <w:rFonts w:ascii="Arial" w:cs="Arial" w:eastAsia="Arial" w:hAnsi="Arial"/>
          <w:sz w:val="18"/>
          <w:szCs w:val="18"/>
          <w:i w:val="1"/>
          <w:iCs w:val="1"/>
          <w:color w:val="auto"/>
        </w:rPr>
        <w:t xml:space="preserve"> </w:t>
      </w:r>
      <w:r>
        <w:rPr>
          <w:rFonts w:ascii="Arial" w:cs="Arial" w:eastAsia="Arial" w:hAnsi="Arial"/>
          <w:sz w:val="18"/>
          <w:szCs w:val="18"/>
          <w:color w:val="auto"/>
        </w:rPr>
        <w:t>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w:t>
      </w:r>
    </w:p>
    <w:p>
      <w:pPr>
        <w:spacing w:after="0" w:line="84" w:lineRule="exact"/>
        <w:rPr>
          <w:rFonts w:ascii="Arial" w:cs="Arial" w:eastAsia="Arial" w:hAnsi="Arial"/>
          <w:sz w:val="18"/>
          <w:szCs w:val="18"/>
          <w:color w:val="auto"/>
        </w:rPr>
      </w:pPr>
    </w:p>
    <w:p>
      <w:pPr>
        <w:ind w:left="1120" w:right="100" w:hanging="558"/>
        <w:spacing w:after="0" w:line="264"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membership units held by the founding members based on the acquisition or construction of new theaters or sale of theaters that are operated by each founding member and included in NCM LLC’s network.</w:t>
      </w:r>
    </w:p>
    <w:p>
      <w:pPr>
        <w:spacing w:after="0" w:line="73" w:lineRule="exact"/>
        <w:rPr>
          <w:rFonts w:ascii="Arial" w:cs="Arial" w:eastAsia="Arial" w:hAnsi="Arial"/>
          <w:sz w:val="18"/>
          <w:szCs w:val="18"/>
          <w:color w:val="auto"/>
        </w:rPr>
      </w:pPr>
    </w:p>
    <w:p>
      <w:pPr>
        <w:ind w:left="1120" w:right="80" w:hanging="558"/>
        <w:spacing w:after="0" w:line="259"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Receivable Agreement. </w:t>
      </w:r>
      <w:r>
        <w:rPr>
          <w:rFonts w:ascii="Arial" w:cs="Arial" w:eastAsia="Arial" w:hAnsi="Arial"/>
          <w:sz w:val="18"/>
          <w:szCs w:val="18"/>
          <w:color w:val="auto"/>
        </w:rPr>
        <w:t>The tax receivable agreement provides for the effective payment by NCM, Inc. to the founding members of 90%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amount of 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78" w:lineRule="exact"/>
        <w:rPr>
          <w:rFonts w:ascii="Arial" w:cs="Arial" w:eastAsia="Arial" w:hAnsi="Arial"/>
          <w:sz w:val="18"/>
          <w:szCs w:val="18"/>
          <w:color w:val="auto"/>
        </w:rPr>
      </w:pPr>
    </w:p>
    <w:p>
      <w:pPr>
        <w:ind w:left="1120" w:right="100" w:hanging="558"/>
        <w:spacing w:after="0" w:line="279" w:lineRule="auto"/>
        <w:tabs>
          <w:tab w:leader="none" w:pos="112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Software License Agreement. </w:t>
      </w:r>
      <w:r>
        <w:rPr>
          <w:rFonts w:ascii="Arial" w:cs="Arial" w:eastAsia="Arial" w:hAnsi="Arial"/>
          <w:sz w:val="17"/>
          <w:szCs w:val="17"/>
          <w:color w:val="auto"/>
        </w:rPr>
        <w:t>At the date of the Company’s IPO, NCM LLC was granted a perpetual, royalty-free license from the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is a summary of the transactions between the Company and the founding members (in millions):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Years Ended</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Included in the Consolidated Statements of Income: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94"/>
              </w:rPr>
              <w:t>December 29,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ind w:right="194"/>
              <w:spacing w:after="0" w:line="133" w:lineRule="exact"/>
              <w:rPr>
                <w:sz w:val="20"/>
                <w:szCs w:val="20"/>
                <w:color w:val="auto"/>
              </w:rPr>
            </w:pPr>
            <w:r>
              <w:rPr>
                <w:rFonts w:ascii="Arial" w:cs="Arial" w:eastAsia="Arial" w:hAnsi="Arial"/>
                <w:sz w:val="14"/>
                <w:szCs w:val="14"/>
                <w:b w:val="1"/>
                <w:bCs w:val="1"/>
                <w:color w:val="auto"/>
              </w:rPr>
              <w:t>January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940" w:type="dxa"/>
            <w:vAlign w:val="bottom"/>
            <w:tcBorders>
              <w:bottom w:val="single" w:sz="8" w:color="auto"/>
            </w:tcBorders>
            <w:gridSpan w:val="5"/>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FF0FC"/>
          </w:tcPr>
          <w:p>
            <w:pPr>
              <w:spacing w:after="0"/>
              <w:rPr>
                <w:sz w:val="15"/>
                <w:szCs w:val="15"/>
                <w:color w:val="auto"/>
              </w:rPr>
            </w:pPr>
          </w:p>
        </w:tc>
        <w:tc>
          <w:tcPr>
            <w:tcW w:w="5700" w:type="dxa"/>
            <w:vAlign w:val="bottom"/>
            <w:gridSpan w:val="4"/>
            <w:shd w:val="clear" w:color="auto" w:fill="CFF0FC"/>
          </w:tcPr>
          <w:p>
            <w:pPr>
              <w:spacing w:after="0" w:line="182"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5700" w:type="dxa"/>
            <w:vAlign w:val="bottom"/>
            <w:gridSpan w:val="4"/>
          </w:tcPr>
          <w:p>
            <w:pPr>
              <w:ind w:left="260"/>
              <w:spacing w:after="0"/>
              <w:rPr>
                <w:sz w:val="20"/>
                <w:szCs w:val="20"/>
                <w:color w:val="auto"/>
              </w:rPr>
            </w:pPr>
            <w:r>
              <w:rPr>
                <w:rFonts w:ascii="Arial" w:cs="Arial" w:eastAsia="Arial" w:hAnsi="Arial"/>
                <w:sz w:val="18"/>
                <w:szCs w:val="18"/>
                <w:color w:val="auto"/>
              </w:rPr>
              <w:t>Beverage concessionaire revenue (included in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0FC"/>
          </w:tcPr>
          <w:p>
            <w:pPr>
              <w:spacing w:after="0"/>
              <w:rPr>
                <w:sz w:val="18"/>
                <w:szCs w:val="18"/>
                <w:color w:val="auto"/>
              </w:rPr>
            </w:pPr>
          </w:p>
        </w:tc>
        <w:tc>
          <w:tcPr>
            <w:tcW w:w="5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Advertising inventory revenue (included in advertising</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20"/>
                <w:szCs w:val="20"/>
                <w:color w:val="auto"/>
              </w:rPr>
            </w:pPr>
          </w:p>
        </w:tc>
        <w:tc>
          <w:tcPr>
            <w:tcW w:w="570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8"/>
                <w:szCs w:val="18"/>
                <w:i w:val="1"/>
                <w:iCs w:val="1"/>
                <w:color w:val="auto"/>
              </w:rPr>
              <w:t>(2)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940" w:type="dxa"/>
            <w:vAlign w:val="bottom"/>
            <w:gridSpan w:val="5"/>
          </w:tcPr>
          <w:p>
            <w:pPr>
              <w:ind w:left="240"/>
              <w:spacing w:after="0" w:line="189"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5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xml:space="preserve">Theater access fee </w:t>
            </w:r>
            <w:r>
              <w:rPr>
                <w:rFonts w:ascii="Arial" w:cs="Arial" w:eastAsia="Arial" w:hAnsi="Arial"/>
                <w:sz w:val="18"/>
                <w:szCs w:val="18"/>
                <w:i w:val="1"/>
                <w:iCs w:val="1"/>
                <w:color w:val="auto"/>
              </w:rPr>
              <w:t>(3)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5700" w:type="dxa"/>
            <w:vAlign w:val="bottom"/>
            <w:gridSpan w:val="4"/>
          </w:tcPr>
          <w:p>
            <w:pPr>
              <w:ind w:left="260"/>
              <w:spacing w:after="0"/>
              <w:rPr>
                <w:sz w:val="20"/>
                <w:szCs w:val="20"/>
                <w:color w:val="auto"/>
              </w:rPr>
            </w:pPr>
            <w:r>
              <w:rPr>
                <w:rFonts w:ascii="Arial" w:cs="Arial" w:eastAsia="Arial" w:hAnsi="Arial"/>
                <w:sz w:val="18"/>
                <w:szCs w:val="18"/>
                <w:color w:val="auto"/>
              </w:rPr>
              <w:t>Purchase of movie tickets and concession products 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rental of theater space (included in selling 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 xml:space="preserve">marketing costs) </w:t>
            </w:r>
            <w:r>
              <w:rPr>
                <w:rFonts w:ascii="Arial" w:cs="Arial" w:eastAsia="Arial" w:hAnsi="Arial"/>
                <w:sz w:val="18"/>
                <w:szCs w:val="18"/>
                <w:i w:val="1"/>
                <w:iCs w:val="1"/>
                <w:color w:val="auto"/>
              </w:rPr>
              <w:t>(4)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0FC"/>
          </w:tcPr>
          <w:p>
            <w:pPr>
              <w:spacing w:after="0"/>
              <w:rPr>
                <w:sz w:val="18"/>
                <w:szCs w:val="18"/>
                <w:color w:val="auto"/>
              </w:rPr>
            </w:pPr>
          </w:p>
        </w:tc>
        <w:tc>
          <w:tcPr>
            <w:tcW w:w="5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Purchase of movie tickets and concession products and</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FF0FC"/>
          </w:tcPr>
          <w:p>
            <w:pPr>
              <w:spacing w:after="0"/>
              <w:rPr>
                <w:sz w:val="18"/>
                <w:szCs w:val="18"/>
                <w:color w:val="auto"/>
              </w:rPr>
            </w:pPr>
          </w:p>
        </w:tc>
        <w:tc>
          <w:tcPr>
            <w:tcW w:w="570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rental of theater space (included in other</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20"/>
                <w:szCs w:val="20"/>
                <w:color w:val="auto"/>
              </w:rPr>
            </w:pPr>
          </w:p>
        </w:tc>
        <w:tc>
          <w:tcPr>
            <w:tcW w:w="570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administrative and other costs)</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940" w:type="dxa"/>
            <w:vAlign w:val="bottom"/>
            <w:gridSpan w:val="5"/>
          </w:tcPr>
          <w:p>
            <w:pPr>
              <w:ind w:left="240"/>
              <w:spacing w:after="0" w:line="189" w:lineRule="exact"/>
              <w:rPr>
                <w:sz w:val="20"/>
                <w:szCs w:val="20"/>
                <w:color w:val="auto"/>
              </w:rPr>
            </w:pPr>
            <w:r>
              <w:rPr>
                <w:rFonts w:ascii="Arial" w:cs="Arial" w:eastAsia="Arial" w:hAnsi="Arial"/>
                <w:sz w:val="18"/>
                <w:szCs w:val="18"/>
                <w:color w:val="auto"/>
              </w:rPr>
              <w:t>Non-operating expenses: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shd w:val="clear" w:color="auto" w:fill="CFF0FC"/>
          </w:tcPr>
          <w:p>
            <w:pPr>
              <w:spacing w:after="0"/>
              <w:rPr>
                <w:sz w:val="18"/>
                <w:szCs w:val="18"/>
                <w:color w:val="auto"/>
              </w:rPr>
            </w:pPr>
          </w:p>
        </w:tc>
        <w:tc>
          <w:tcPr>
            <w:tcW w:w="5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Interest income from notes receivable (included in</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20"/>
                <w:szCs w:val="20"/>
                <w:color w:val="auto"/>
              </w:rPr>
            </w:pPr>
          </w:p>
        </w:tc>
        <w:tc>
          <w:tcPr>
            <w:tcW w:w="570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8"/>
                <w:szCs w:val="18"/>
                <w:i w:val="1"/>
                <w:iCs w:val="1"/>
                <w:color w:val="auto"/>
              </w:rPr>
              <w:t>(5)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85725</wp:posOffset>
            </wp:positionV>
            <wp:extent cx="17151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55" w:lineRule="exact"/>
        <w:rPr>
          <w:sz w:val="20"/>
          <w:szCs w:val="20"/>
          <w:color w:val="auto"/>
        </w:rPr>
      </w:pPr>
    </w:p>
    <w:p>
      <w:pPr>
        <w:ind w:left="1120" w:hanging="558"/>
        <w:spacing w:after="0" w:line="259" w:lineRule="auto"/>
        <w:tabs>
          <w:tab w:leader="none" w:pos="112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For the six months ended December 31, 2015 and full year ended December 29, 2016,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CPM rate specified by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1" w:lineRule="exact"/>
        <w:rPr>
          <w:sz w:val="20"/>
          <w:szCs w:val="20"/>
          <w:color w:val="auto"/>
        </w:rPr>
      </w:pPr>
    </w:p>
    <w:p>
      <w:pPr>
        <w:ind w:left="1120" w:right="520"/>
        <w:spacing w:after="0" w:line="258" w:lineRule="auto"/>
        <w:rPr>
          <w:sz w:val="20"/>
          <w:szCs w:val="20"/>
          <w:color w:val="auto"/>
        </w:rPr>
      </w:pPr>
      <w:r>
        <w:rPr>
          <w:rFonts w:ascii="Arial" w:cs="Arial" w:eastAsia="Arial" w:hAnsi="Arial"/>
          <w:sz w:val="18"/>
          <w:szCs w:val="18"/>
          <w:color w:val="auto"/>
        </w:rPr>
        <w:t>ESA. For the first six months of 2015 and for the year January 1, 2015, all of the founding members purchased 60 seconds of on-screen advertising time.</w:t>
      </w:r>
    </w:p>
    <w:p>
      <w:pPr>
        <w:spacing w:after="0" w:line="1" w:lineRule="exact"/>
        <w:rPr>
          <w:sz w:val="20"/>
          <w:szCs w:val="20"/>
          <w:color w:val="auto"/>
        </w:rPr>
      </w:pPr>
    </w:p>
    <w:p>
      <w:pPr>
        <w:ind w:left="1120" w:hanging="558"/>
        <w:spacing w:after="0"/>
        <w:tabs>
          <w:tab w:leader="none" w:pos="112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1120" w:right="660" w:hanging="558"/>
        <w:spacing w:after="0" w:line="250" w:lineRule="auto"/>
        <w:tabs>
          <w:tab w:leader="none" w:pos="112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theater attendee, payments per digital screen with respect to the founding member theaters included in the Company’s network and payments for access to higher quality digital cinema equipment.</w:t>
      </w:r>
    </w:p>
    <w:p>
      <w:pPr>
        <w:ind w:left="1120" w:hanging="558"/>
        <w:spacing w:after="0"/>
        <w:tabs>
          <w:tab w:leader="none" w:pos="112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1120" w:hanging="558"/>
        <w:spacing w:after="0"/>
        <w:tabs>
          <w:tab w:leader="none" w:pos="112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Refer to the discussion of the Fathom Events sale under AC JV, LLC transactions below</w:t>
      </w:r>
      <w:r>
        <w:rPr>
          <w:rFonts w:ascii="Arial" w:cs="Arial" w:eastAsia="Arial" w:hAnsi="Arial"/>
          <w:sz w:val="18"/>
          <w:szCs w:val="18"/>
          <w:i w:val="1"/>
          <w:iCs w:val="1"/>
          <w:color w:val="auto"/>
        </w:rPr>
        <w:t>.</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Included in the Consolidated Balance Sheets:</w:t>
            </w:r>
          </w:p>
        </w:tc>
        <w:tc>
          <w:tcPr>
            <w:tcW w:w="120" w:type="dxa"/>
            <w:vAlign w:val="bottom"/>
          </w:tcPr>
          <w:p>
            <w:pPr>
              <w:spacing w:after="0"/>
              <w:rPr>
                <w:sz w:val="11"/>
                <w:szCs w:val="11"/>
                <w:color w:val="auto"/>
              </w:rPr>
            </w:pPr>
          </w:p>
        </w:tc>
        <w:tc>
          <w:tcPr>
            <w:tcW w:w="1020" w:type="dxa"/>
            <w:vAlign w:val="bottom"/>
          </w:tcPr>
          <w:p>
            <w:pPr>
              <w:jc w:val="right"/>
              <w:ind w:right="76"/>
              <w:spacing w:after="0" w:line="133" w:lineRule="exact"/>
              <w:rPr>
                <w:sz w:val="20"/>
                <w:szCs w:val="20"/>
                <w:color w:val="auto"/>
              </w:rPr>
            </w:pPr>
            <w:r>
              <w:rPr>
                <w:rFonts w:ascii="Arial" w:cs="Arial" w:eastAsia="Arial" w:hAnsi="Arial"/>
                <w:sz w:val="14"/>
                <w:szCs w:val="14"/>
                <w:b w:val="1"/>
                <w:bCs w:val="1"/>
                <w:color w:val="auto"/>
                <w:w w:val="92"/>
              </w:rPr>
              <w:t>December 29,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Current portion of note receivable - founding members</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Long-term portion of note receivable - founding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380"/>
              <w:spacing w:after="0"/>
              <w:rPr>
                <w:sz w:val="20"/>
                <w:szCs w:val="20"/>
                <w:color w:val="auto"/>
              </w:rPr>
            </w:pPr>
            <w:r>
              <w:rPr>
                <w:rFonts w:ascii="Arial" w:cs="Arial" w:eastAsia="Arial" w:hAnsi="Arial"/>
                <w:sz w:val="18"/>
                <w:szCs w:val="18"/>
                <w:color w:val="auto"/>
              </w:rPr>
              <w:t xml:space="preserve">members </w:t>
            </w:r>
            <w:r>
              <w:rPr>
                <w:rFonts w:ascii="Arial" w:cs="Arial" w:eastAsia="Arial" w:hAnsi="Arial"/>
                <w:sz w:val="18"/>
                <w:szCs w:val="18"/>
                <w:i w:val="1"/>
                <w:iCs w:val="1"/>
                <w:color w:val="auto"/>
              </w:rPr>
              <w:t>(1)</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receivable on notes receivable (included in</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Common unit adjustments, net of amortization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380"/>
              <w:spacing w:after="0"/>
              <w:rPr>
                <w:sz w:val="20"/>
                <w:szCs w:val="20"/>
                <w:color w:val="auto"/>
              </w:rPr>
            </w:pPr>
            <w:r>
              <w:rPr>
                <w:rFonts w:ascii="Arial" w:cs="Arial" w:eastAsia="Arial" w:hAnsi="Arial"/>
                <w:sz w:val="18"/>
                <w:szCs w:val="18"/>
                <w:color w:val="auto"/>
              </w:rPr>
              <w:t>integration payments (included in intangible assets)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Current payable to founding members under tax</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receivable agreement</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Long-term payable to founding members under tax</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380"/>
              <w:spacing w:after="0"/>
              <w:rPr>
                <w:sz w:val="20"/>
                <w:szCs w:val="20"/>
                <w:color w:val="auto"/>
              </w:rPr>
            </w:pPr>
            <w:r>
              <w:rPr>
                <w:rFonts w:ascii="Arial" w:cs="Arial" w:eastAsia="Arial" w:hAnsi="Arial"/>
                <w:sz w:val="18"/>
                <w:szCs w:val="18"/>
                <w:color w:val="auto"/>
              </w:rPr>
              <w:t>receivable agreement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85725</wp:posOffset>
            </wp:positionV>
            <wp:extent cx="9779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55" w:lineRule="exact"/>
        <w:rPr>
          <w:sz w:val="20"/>
          <w:szCs w:val="20"/>
          <w:color w:val="auto"/>
        </w:rPr>
      </w:pPr>
    </w:p>
    <w:p>
      <w:pPr>
        <w:ind w:left="2260" w:hanging="550"/>
        <w:spacing w:after="0"/>
        <w:tabs>
          <w:tab w:leader="none" w:pos="2260"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Refer to the discussion of the Fathom Events sale under AC JV, LLC transactions below</w:t>
      </w:r>
      <w:r>
        <w:rPr>
          <w:rFonts w:ascii="Arial" w:cs="Arial" w:eastAsia="Arial" w:hAnsi="Arial"/>
          <w:sz w:val="18"/>
          <w:szCs w:val="18"/>
          <w:i w:val="1"/>
          <w:iCs w:val="1"/>
          <w:color w:val="auto"/>
        </w:rPr>
        <w:t>.</w:t>
      </w:r>
    </w:p>
    <w:p>
      <w:pPr>
        <w:spacing w:after="0" w:line="117" w:lineRule="exact"/>
        <w:rPr>
          <w:sz w:val="20"/>
          <w:szCs w:val="20"/>
          <w:color w:val="auto"/>
        </w:rPr>
      </w:pPr>
    </w:p>
    <w:p>
      <w:pPr>
        <w:ind w:right="240" w:firstLine="555"/>
        <w:spacing w:after="0" w:line="259" w:lineRule="auto"/>
        <w:rPr>
          <w:sz w:val="20"/>
          <w:szCs w:val="20"/>
          <w:color w:val="auto"/>
        </w:rPr>
      </w:pPr>
      <w:r>
        <w:rPr>
          <w:rFonts w:ascii="Arial" w:cs="Arial" w:eastAsia="Arial" w:hAnsi="Arial"/>
          <w:sz w:val="18"/>
          <w:szCs w:val="18"/>
          <w:color w:val="auto"/>
        </w:rPr>
        <w:t>At the date of the Company’s IPO, NCM LLC was granted a perpetual, royalty-free license from the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79"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color w:val="auto"/>
        </w:rPr>
        <w:t>On March 16, 2015, the Company announced the termination of the Merger Agreement with Screenvision. After the Merger Agreement was terminated, NCM LLC reimbursed NCM, Inc. for certain expenses pursuant to an indemnification agreement among NCM LLC, NCM, Inc. and the founding members. On March 17, 2015, NCM LLC paid Screenvision an approximate $26.8 million termination payment on behalf of NCM, Inc. During the year ended December 31, 2015, NCM LLC also either paid directly or reimbursed NCM, Inc. for the legal and other merger-related costs of approximately $15.0 million ($7.5 million incurred by NCM, Inc. during the year ended January 1, 2015 and approximately $7.5 million incurred by NCM LLC during the year ended December 31, 2015). The Company and the founding members each bore a pro rata portion of the termination fee and the related merger expenses based on their aggregate ownership percentages in NCM LLC when the expenses were incurred.</w:t>
      </w:r>
    </w:p>
    <w:p>
      <w:pPr>
        <w:spacing w:after="0" w:line="70" w:lineRule="exact"/>
        <w:rPr>
          <w:sz w:val="20"/>
          <w:szCs w:val="20"/>
          <w:color w:val="auto"/>
        </w:rPr>
      </w:pPr>
    </w:p>
    <w:p>
      <w:pPr>
        <w:ind w:right="380" w:firstLine="555"/>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Mandatory distributions for the years ended December 29, 2016, December 31, 2015 and January 1, 2015 are as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Years Ended</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33"/>
        </w:trPr>
        <w:tc>
          <w:tcPr>
            <w:tcW w:w="1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34"/>
              <w:spacing w:after="0" w:line="133" w:lineRule="exact"/>
              <w:rPr>
                <w:sz w:val="20"/>
                <w:szCs w:val="20"/>
                <w:color w:val="auto"/>
              </w:rPr>
            </w:pPr>
            <w:r>
              <w:rPr>
                <w:rFonts w:ascii="Arial" w:cs="Arial" w:eastAsia="Arial" w:hAnsi="Arial"/>
                <w:sz w:val="14"/>
                <w:szCs w:val="14"/>
                <w:b w:val="1"/>
                <w:bCs w:val="1"/>
                <w:color w:val="auto"/>
                <w:w w:val="92"/>
              </w:rPr>
              <w:t>December 29,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16"/>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w w:val="98"/>
              </w:rPr>
              <w:t>January 1,</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1"/>
        </w:trPr>
        <w:tc>
          <w:tcPr>
            <w:tcW w:w="1160" w:type="dxa"/>
            <w:vAlign w:val="bottom"/>
          </w:tcPr>
          <w:p>
            <w:pPr>
              <w:spacing w:after="0"/>
              <w:rPr>
                <w:sz w:val="14"/>
                <w:szCs w:val="14"/>
                <w:color w:val="auto"/>
              </w:rPr>
            </w:pPr>
          </w:p>
        </w:tc>
        <w:tc>
          <w:tcPr>
            <w:tcW w:w="3200" w:type="dxa"/>
            <w:vAlign w:val="bottom"/>
            <w:tcBorders>
              <w:bottom w:val="single" w:sz="8" w:color="CFF0FC"/>
            </w:tcBorders>
          </w:tcPr>
          <w:p>
            <w:pPr>
              <w:spacing w:after="0"/>
              <w:rPr>
                <w:sz w:val="14"/>
                <w:szCs w:val="14"/>
                <w:color w:val="auto"/>
              </w:rPr>
            </w:pPr>
          </w:p>
        </w:tc>
        <w:tc>
          <w:tcPr>
            <w:tcW w:w="2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AMC</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Cinemark</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Regal</w:t>
            </w:r>
          </w:p>
        </w:tc>
        <w:tc>
          <w:tcPr>
            <w:tcW w:w="2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Total founding members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NCM, Inc.</w:t>
            </w:r>
          </w:p>
        </w:tc>
        <w:tc>
          <w:tcPr>
            <w:tcW w:w="2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200" w:type="dxa"/>
            <w:vAlign w:val="bottom"/>
          </w:tcPr>
          <w:p>
            <w:pPr>
              <w:ind w:left="480"/>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80" w:type="dxa"/>
            <w:vAlign w:val="bottom"/>
            <w:gridSpan w:val="2"/>
          </w:tcPr>
          <w:p>
            <w:pPr>
              <w:jc w:val="right"/>
              <w:ind w:right="685"/>
              <w:spacing w:after="0"/>
              <w:rPr>
                <w:sz w:val="20"/>
                <w:szCs w:val="20"/>
                <w:color w:val="auto"/>
              </w:rPr>
            </w:pPr>
            <w:r>
              <w:rPr>
                <w:rFonts w:ascii="Arial" w:cs="Arial" w:eastAsia="Arial" w:hAnsi="Arial"/>
                <w:sz w:val="18"/>
                <w:szCs w:val="18"/>
                <w:color w:val="auto"/>
              </w:rPr>
              <w:t>F-24</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Due to the merger termination fee and related merger expenses, the mandatory distributions of available cash by NCM LLC to its founding members and NCM, Inc. for the three months ended April 2, 2015 was calculated as negative $25.5 million ($14.0 million for the founding members and $11.5 million for NCM, Inc.). Therefore, there was no payment made in the second quarter of 2015. Under the terms of the NCM LLC Operating Agreement, this negative amount was netted against the available cash distributions for the second quarter of 2016. The mandatory distributions of available cash by NCM LLC to its founding members for the quarter ended December 29, 2016 of $39.9 million, is included in amounts due to founding members in the Consolidated Balance Sheets as of December 29, 2016 and will be made in the first quarter of 2017. The distributions to NCM, Inc. are eliminated in consolidation.</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December 29, 2016 were comprised of the following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Regal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23"/>
        </w:trPr>
        <w:tc>
          <w:tcPr>
            <w:tcW w:w="534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Theater access fees, net of beverage revenues</w:t>
            </w:r>
          </w:p>
        </w:tc>
        <w:tc>
          <w:tcPr>
            <w:tcW w:w="700" w:type="dxa"/>
            <w:vAlign w:val="bottom"/>
            <w:tcBorders>
              <w:top w:val="single" w:sz="8" w:color="auto"/>
            </w:tcBorders>
            <w:shd w:val="clear" w:color="auto" w:fill="CFF2FA"/>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60" w:type="dxa"/>
            <w:vAlign w:val="bottom"/>
            <w:tcBorders>
              <w:top w:val="single" w:sz="8" w:color="auto"/>
            </w:tcBorders>
            <w:gridSpan w:val="2"/>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220" w:type="dxa"/>
            <w:vAlign w:val="bottom"/>
            <w:tcBorders>
              <w:top w:val="single" w:sz="8" w:color="auto"/>
            </w:tcBorders>
            <w:gridSpan w:val="2"/>
            <w:shd w:val="clear" w:color="auto" w:fill="CFF2FA"/>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FF2FA"/>
            </w:tcBorders>
            <w:shd w:val="clear" w:color="auto" w:fill="CFF2FA"/>
          </w:tcPr>
          <w:p>
            <w:pPr>
              <w:spacing w:after="0"/>
              <w:rPr>
                <w:sz w:val="19"/>
                <w:szCs w:val="19"/>
                <w:color w:val="auto"/>
              </w:rPr>
            </w:pPr>
          </w:p>
        </w:tc>
        <w:tc>
          <w:tcPr>
            <w:tcW w:w="180" w:type="dxa"/>
            <w:vAlign w:val="bottom"/>
            <w:tcBorders>
              <w:top w:val="single" w:sz="8" w:color="CFF2FA"/>
            </w:tcBorders>
            <w:shd w:val="clear" w:color="auto" w:fill="CFF2FA"/>
          </w:tcPr>
          <w:p>
            <w:pPr>
              <w:spacing w:after="0"/>
              <w:rPr>
                <w:sz w:val="19"/>
                <w:szCs w:val="19"/>
                <w:color w:val="auto"/>
              </w:rPr>
            </w:pPr>
          </w:p>
        </w:tc>
        <w:tc>
          <w:tcPr>
            <w:tcW w:w="240" w:type="dxa"/>
            <w:vAlign w:val="bottom"/>
            <w:tcBorders>
              <w:top w:val="single" w:sz="8" w:color="auto"/>
            </w:tcBorders>
            <w:gridSpan w:val="2"/>
            <w:shd w:val="clear" w:color="auto" w:fill="CFF2FA"/>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r>
      <w:tr>
        <w:trPr>
          <w:trHeight w:val="230"/>
        </w:trPr>
        <w:tc>
          <w:tcPr>
            <w:tcW w:w="5340" w:type="dxa"/>
            <w:vAlign w:val="bottom"/>
            <w:shd w:val="clear" w:color="auto" w:fill="CFF2FA"/>
          </w:tcPr>
          <w:p>
            <w:pPr>
              <w:spacing w:after="0"/>
              <w:rPr>
                <w:sz w:val="20"/>
                <w:szCs w:val="20"/>
                <w:color w:val="auto"/>
              </w:rPr>
            </w:pPr>
            <w:r>
              <w:rPr>
                <w:rFonts w:ascii="Arial" w:cs="Arial" w:eastAsia="Arial" w:hAnsi="Arial"/>
                <w:sz w:val="18"/>
                <w:szCs w:val="18"/>
                <w:color w:val="auto"/>
              </w:rPr>
              <w:t>Distributions payable to founding members</w:t>
            </w:r>
          </w:p>
        </w:tc>
        <w:tc>
          <w:tcPr>
            <w:tcW w:w="700" w:type="dxa"/>
            <w:vAlign w:val="bottom"/>
            <w:tcBorders>
              <w:bottom w:val="single" w:sz="8" w:color="auto"/>
            </w:tcBorders>
            <w:shd w:val="clear" w:color="auto" w:fill="CFF2FA"/>
          </w:tcPr>
          <w:p>
            <w:pPr>
              <w:spacing w:after="0"/>
              <w:rPr>
                <w:sz w:val="19"/>
                <w:szCs w:val="19"/>
                <w:color w:val="auto"/>
              </w:rPr>
            </w:pPr>
          </w:p>
        </w:tc>
        <w:tc>
          <w:tcPr>
            <w:tcW w:w="3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85"/>
              </w:rPr>
              <w:t>12.3</w:t>
            </w:r>
          </w:p>
        </w:tc>
        <w:tc>
          <w:tcPr>
            <w:tcW w:w="1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0" w:type="dxa"/>
            <w:vAlign w:val="bottom"/>
            <w:tcBorders>
              <w:bottom w:val="single" w:sz="8" w:color="auto"/>
            </w:tcBorders>
            <w:shd w:val="clear" w:color="auto" w:fill="CFF2FA"/>
          </w:tcPr>
          <w:p>
            <w:pPr>
              <w:spacing w:after="0"/>
              <w:rPr>
                <w:sz w:val="19"/>
                <w:szCs w:val="19"/>
                <w:color w:val="auto"/>
              </w:rPr>
            </w:pPr>
          </w:p>
        </w:tc>
        <w:tc>
          <w:tcPr>
            <w:tcW w:w="140" w:type="dxa"/>
            <w:vAlign w:val="bottom"/>
            <w:tcBorders>
              <w:bottom w:val="single" w:sz="8" w:color="auto"/>
            </w:tcBorders>
            <w:shd w:val="clear" w:color="auto" w:fill="CFF2FA"/>
          </w:tcPr>
          <w:p>
            <w:pPr>
              <w:spacing w:after="0"/>
              <w:rPr>
                <w:sz w:val="19"/>
                <w:szCs w:val="19"/>
                <w:color w:val="auto"/>
              </w:rPr>
            </w:pP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0" w:type="dxa"/>
            <w:vAlign w:val="bottom"/>
            <w:tcBorders>
              <w:bottom w:val="single" w:sz="8" w:color="auto"/>
            </w:tcBorders>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8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20" w:type="dxa"/>
            <w:vAlign w:val="bottom"/>
            <w:tcBorders>
              <w:bottom w:val="single" w:sz="8" w:color="auto"/>
            </w:tcBorders>
            <w:shd w:val="clear" w:color="auto" w:fill="CFF2FA"/>
          </w:tcPr>
          <w:p>
            <w:pPr>
              <w:spacing w:after="0"/>
              <w:rPr>
                <w:sz w:val="19"/>
                <w:szCs w:val="19"/>
                <w:color w:val="auto"/>
              </w:rPr>
            </w:pPr>
          </w:p>
        </w:tc>
        <w:tc>
          <w:tcPr>
            <w:tcW w:w="220" w:type="dxa"/>
            <w:vAlign w:val="bottom"/>
            <w:tcBorders>
              <w:bottom w:val="single" w:sz="8" w:color="auto"/>
            </w:tcBorders>
            <w:shd w:val="clear" w:color="auto" w:fill="CFF2FA"/>
          </w:tcPr>
          <w:p>
            <w:pPr>
              <w:spacing w:after="0"/>
              <w:rPr>
                <w:sz w:val="19"/>
                <w:szCs w:val="19"/>
                <w:color w:val="auto"/>
              </w:rPr>
            </w:pPr>
          </w:p>
        </w:tc>
        <w:tc>
          <w:tcPr>
            <w:tcW w:w="8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39.9</w:t>
            </w:r>
          </w:p>
        </w:tc>
        <w:tc>
          <w:tcPr>
            <w:tcW w:w="2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23"/>
        </w:trPr>
        <w:tc>
          <w:tcPr>
            <w:tcW w:w="5340" w:type="dxa"/>
            <w:vAlign w:val="bottom"/>
          </w:tcPr>
          <w:p>
            <w:pPr>
              <w:ind w:left="24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8900" w:type="dxa"/>
            <w:vAlign w:val="bottom"/>
            <w:gridSpan w:val="13"/>
          </w:tcPr>
          <w:p>
            <w:pPr>
              <w:jc w:val="right"/>
              <w:ind w:right="354"/>
              <w:spacing w:after="0"/>
              <w:rPr>
                <w:sz w:val="20"/>
                <w:szCs w:val="20"/>
                <w:color w:val="auto"/>
              </w:rPr>
            </w:pPr>
            <w:r>
              <w:rPr>
                <w:rFonts w:ascii="Arial" w:cs="Arial" w:eastAsia="Arial" w:hAnsi="Arial"/>
                <w:sz w:val="18"/>
                <w:szCs w:val="18"/>
                <w:color w:val="auto"/>
                <w:w w:val="99"/>
              </w:rPr>
              <w:t>Amounts due to founding members as of December 31, 2015 were comprised of the following (in millions):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Regal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Theater access fees, net of beverage revenues</w:t>
            </w: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payable to founding members</w:t>
            </w: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340" w:type="dxa"/>
            <w:vAlign w:val="bottom"/>
          </w:tcPr>
          <w:p>
            <w:pPr>
              <w:ind w:left="240"/>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11.1</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600"/>
        <w:spacing w:after="0" w:line="286" w:lineRule="auto"/>
        <w:rPr>
          <w:sz w:val="20"/>
          <w:szCs w:val="20"/>
          <w:color w:val="auto"/>
        </w:rPr>
      </w:pPr>
      <w:r>
        <w:rPr>
          <w:rFonts w:ascii="Arial" w:cs="Arial" w:eastAsia="Arial" w:hAnsi="Arial"/>
          <w:sz w:val="16"/>
          <w:szCs w:val="16"/>
          <w:b w:val="1"/>
          <w:bCs w:val="1"/>
          <w:i w:val="1"/>
          <w:iCs w:val="1"/>
          <w:color w:val="auto"/>
        </w:rPr>
        <w:t>Common Unit Membership Redemption</w:t>
      </w:r>
      <w:r>
        <w:rPr>
          <w:rFonts w:ascii="Arial" w:cs="Arial" w:eastAsia="Arial" w:hAnsi="Arial"/>
          <w:sz w:val="16"/>
          <w:szCs w:val="16"/>
          <w:color w:val="auto"/>
        </w:rPr>
        <w:t>— The NCM LLC Operating Agreement provides a redemption right of the founding members to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membership units of NCM LLC for shares of the Company’s common stock on a one-for-one basis, or at the Company’s option, a cash payment equal to the market price of one share of NCM, Inc. common stock. During the fourth quarter of 2015, AMC exercised the redemption right of an aggregate 200,000 common membership units for a like number of shares of NCM, Inc.’s common stock. These shares were not sold and as of December 29, 2016 AMC owned 200,000 shares of NCM, Inc. common stock. During the year ended December 29, 2016, AMC received a cash dividend of $0.2 million on these shares of NCM, Inc. common stock. Pursuant to ASC 810-10-45, the Company accounted for the change in its ownership interest in NCM LLC from these redemptions as equity transactions and no gain or loss was recognized in the Consolidated Statements of Income. During the year ended December 31, 2015, the Company recorded deferred tax assets of $1.4 million for its additional ownership interest in NCM LLC as a result of these redemptions to reflect the tax effective difference between the tax basis and the book basis, the majority of which will be amortized over a 15-year period for federal income tax purposes. In addition, the Company recorded an increase of $0.7 million during the year ended December 31, 2015 in its long-term payable to founding members for the estimated payment to the founding members of 90% of the amount of cash savings, if any, in U.S. federal, state and local income tax or franchise tax that the Company expects to realize as a result of the deferred tax asset, which is recorded at its present value. The discount on this liability is a temporary difference that resulted in an additional $0.2 million deferred tax liability during the year ended December 31, 2015.</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40" w:firstLine="555"/>
        <w:spacing w:after="0" w:line="286" w:lineRule="auto"/>
        <w:rPr>
          <w:sz w:val="20"/>
          <w:szCs w:val="20"/>
          <w:color w:val="auto"/>
        </w:rPr>
      </w:pPr>
      <w:r>
        <w:rPr>
          <w:rFonts w:ascii="Arial" w:cs="Arial" w:eastAsia="Arial" w:hAnsi="Arial"/>
          <w:sz w:val="16"/>
          <w:szCs w:val="16"/>
          <w:color w:val="auto"/>
        </w:rPr>
        <w:t>As discussed within Item 7—“Management’s Discussion and Analysis of Financial Condition and Results of Operations</w:t>
      </w:r>
      <w:r>
        <w:rPr>
          <w:rFonts w:ascii="Arial" w:cs="Arial" w:eastAsia="Arial" w:hAnsi="Arial"/>
          <w:sz w:val="16"/>
          <w:szCs w:val="16"/>
          <w:i w:val="1"/>
          <w:iCs w:val="1"/>
          <w:color w:val="auto"/>
        </w:rPr>
        <w:t>”</w:t>
      </w:r>
      <w:r>
        <w:rPr>
          <w:rFonts w:ascii="Arial" w:cs="Arial" w:eastAsia="Arial" w:hAnsi="Arial"/>
          <w:sz w:val="16"/>
          <w:szCs w:val="16"/>
          <w:color w:val="auto"/>
        </w:rPr>
        <w:t xml:space="preserve"> included elsewhere in this document, AMC and the DOJ entered into a settlement regarding certain actions that AMC must take in order to complete its acquisition of Carmike. Among those, AMC is required to divest the majority of its equity interests in NCM LLC, so that by June 20, 2019 it owns no more than 4.99% of NCM LLC’s outstanding membership units. AMC was also required to relinquish its governance rights in NCM LLC, including its seats on the NCM, Inc. Board of Directors as well as its rights to nominate any person to serve on the NCM, Inc. Board of Directors. As of December 29, 2016, AMC’s non-independent designee to the Board of Directors had resigned. Further, AMC is required to change the pre-show advertising provider for 24 identified theaters comprising 384 screens from NCM LLC to Screenvision or sell those theaters to a non-NCM network buyer. Seven of those 24 theaters either did not have a cinema advertising provider, they were already being sold by AMC or it was an encumbered theater that we were receiving integration payment for, such that 17 of the 24 theaters currently need to be transferred or sold. AMC is also required to divest 15 AMC or Carmike theaters covering 15 local markets. As of the date of this filing, the Company is not aware which of those 15 theaters will be in the Company’s network or if they would be sold to another founding member or network affiliate. These theater transfers or sales represent approximately 2% of NCM LLC’s total network of theaters as of December 29, 2016. AMC may choose to have common membership units redeemed, and NCM, Inc. may elect to redeem through either a cash payment or the issuance of shares of its common stock on a one-for-one basis. Further, the sale of AMC theaters or transfer of advertising on those theaters, may require AMC to transfer and surrender, and NCM LLC to cancel, common membership units related to the theater dispositions.</w:t>
      </w:r>
    </w:p>
    <w:p>
      <w:pPr>
        <w:spacing w:after="0" w:line="64" w:lineRule="exact"/>
        <w:rPr>
          <w:sz w:val="20"/>
          <w:szCs w:val="20"/>
          <w:color w:val="auto"/>
        </w:rPr>
      </w:pPr>
    </w:p>
    <w:p>
      <w:pPr>
        <w:ind w:right="180" w:firstLine="555"/>
        <w:spacing w:after="0" w:line="255" w:lineRule="auto"/>
        <w:rPr>
          <w:sz w:val="20"/>
          <w:szCs w:val="20"/>
          <w:color w:val="auto"/>
        </w:rPr>
      </w:pPr>
      <w:r>
        <w:rPr>
          <w:rFonts w:ascii="Arial" w:cs="Arial" w:eastAsia="Arial" w:hAnsi="Arial"/>
          <w:sz w:val="18"/>
          <w:szCs w:val="18"/>
          <w:b w:val="1"/>
          <w:bCs w:val="1"/>
          <w:i w:val="1"/>
          <w:iCs w:val="1"/>
          <w:color w:val="auto"/>
        </w:rPr>
        <w:t>AC JV, LLC Transactions</w:t>
      </w:r>
      <w:r>
        <w:rPr>
          <w:rFonts w:ascii="Arial" w:cs="Arial" w:eastAsia="Arial" w:hAnsi="Arial"/>
          <w:sz w:val="18"/>
          <w:szCs w:val="18"/>
          <w:color w:val="auto"/>
        </w:rPr>
        <w:t>— In December 2013, NCM LLC sold its Fathom Events business to a newly formed limited liability company (“AC JV,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owned 32% by each of the founding members and 4% by NCM LLC. In consideration for the sale, NCM LLC received a total of $25.0 million in promissory notes from its founding members (one-third or approximately $8.3 million from each founding member). The notes receivable bear interest at a fixed rate of 5.0% per annum, compounded annually. Interest and principal payments are due annually in six equal installments commencing on the first anniversary of the closing. Future minimum principal payments under the notes receivable as of December 29, 2016 are approximately as follows (in millions):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7"/>
              </w:rPr>
              <w:t>Minimum</w:t>
            </w:r>
          </w:p>
        </w:tc>
        <w:tc>
          <w:tcPr>
            <w:tcW w:w="0" w:type="dxa"/>
            <w:vAlign w:val="bottom"/>
          </w:tcPr>
          <w:p>
            <w:pPr>
              <w:spacing w:after="0"/>
              <w:rPr>
                <w:sz w:val="1"/>
                <w:szCs w:val="1"/>
                <w:color w:val="auto"/>
              </w:rPr>
            </w:pPr>
          </w:p>
        </w:tc>
      </w:tr>
      <w:tr>
        <w:trPr>
          <w:trHeight w:val="149"/>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1"/>
        </w:trPr>
        <w:tc>
          <w:tcPr>
            <w:tcW w:w="5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gridSpan w:val="2"/>
          </w:tcPr>
          <w:p>
            <w:pPr>
              <w:jc w:val="right"/>
              <w:ind w:right="405"/>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firstLine="555"/>
        <w:spacing w:after="0" w:line="270" w:lineRule="auto"/>
        <w:rPr>
          <w:sz w:val="20"/>
          <w:szCs w:val="20"/>
          <w:color w:val="auto"/>
        </w:rPr>
      </w:pPr>
      <w:r>
        <w:rPr>
          <w:rFonts w:ascii="Arial" w:cs="Arial" w:eastAsia="Arial" w:hAnsi="Arial"/>
          <w:sz w:val="17"/>
          <w:szCs w:val="17"/>
          <w:color w:val="auto"/>
        </w:rPr>
        <w:t>NCM LLC’s investment in AC JV, LLC was $1.0 million and $1.2 million as of December 29, 2016 and December 31, 2015, respectively. The Company accounts for its investment in AC JV, LLC under the equity method of accounting in accordance with ASC 323-30</w:t>
      </w:r>
      <w:r>
        <w:rPr>
          <w:rFonts w:ascii="Arial" w:cs="Arial" w:eastAsia="Arial" w:hAnsi="Arial"/>
          <w:sz w:val="17"/>
          <w:szCs w:val="17"/>
          <w:i w:val="1"/>
          <w:iCs w:val="1"/>
          <w:color w:val="auto"/>
        </w:rPr>
        <w:t>, Investments—Equity Method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Joint Ventures </w:t>
      </w:r>
      <w:r>
        <w:rPr>
          <w:rFonts w:ascii="Arial" w:cs="Arial" w:eastAsia="Arial" w:hAnsi="Arial"/>
          <w:sz w:val="17"/>
          <w:szCs w:val="17"/>
          <w:color w:val="auto"/>
        </w:rPr>
        <w:t>(“ASC 323-30”) because AC JV, LLC is a limited liability company with the characteristics of a limited partnership and ASC 323-30</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During the years ended December 29, 2016, December 31, 2015 and January 1, 2015, NCM LLC received a cash distribution from AC JV, LLC of $0.2 million, $0.2 million and $0.0 million, respectively. NCM LLC recorded equity in earnings for AC JV, LLC of $0.0 million, $0.1 million and $0.2 million during the years ended December 29, 2016, December 31, 2015 and January 1, 2015, respectively, which are included in other non-operating expense in the audited Consolidated Statements of Income.</w:t>
      </w:r>
    </w:p>
    <w:p>
      <w:pPr>
        <w:spacing w:after="0" w:line="70"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In connection with the sale, NCM LLC amended and restated its existing ESAs with each of the founding members to remove those provisions addressing the rights and obligations related to the digital programming services of the Fathom Events business. These rights and obligations were conveyed to AC JV, LLC in connection with the sale. In connection with the sale,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In addition, NCM LLC entered into a services agreement with a term coinciding with the ESAs, which grants the newly formed limited liability company advertising on-screen and on the LEN and a pre-feature program prior to Fathom events reasonably consistent with what was previously dedicated to Fathom. NCM LLC has also agreed to provide creative and media production services for a fee. NCM LLC received $0.2 million,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$0.1 million and $0.2 million during the years ended December 29, 2016, December 31, 2015 and January 1, 2015, respectively, for these services, which are included as an offset to network costs in the audited Consolidated Statements of Income.</w:t>
      </w:r>
    </w:p>
    <w:p>
      <w:pPr>
        <w:spacing w:after="0" w:line="62"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b w:val="1"/>
          <w:bCs w:val="1"/>
          <w:i w:val="1"/>
          <w:iCs w:val="1"/>
          <w:color w:val="auto"/>
        </w:rPr>
        <w:t>Related Party Affiliates</w:t>
      </w:r>
      <w:r>
        <w:rPr>
          <w:rFonts w:ascii="Arial" w:cs="Arial" w:eastAsia="Arial" w:hAnsi="Arial"/>
          <w:sz w:val="18"/>
          <w:szCs w:val="18"/>
          <w:color w:val="auto"/>
        </w:rPr>
        <w:t>— NCM LLC has an agreement with LA Live, an affiliate of The Anschutz Corporation to provide in-theater advertising.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Anschutz Corporation is a wholly-owned subsidiary of the Anschutz Company, which is the controlling stockholder of Regal. During the years ended December 29, 2016, December 31, 2015 and January 1, 2015, there was approximately $0.3 million, $0.2 million and $0.2 million, respectively, included in advertising operating costs related to LA Live, and there was approximately $0.1 million and $0.1 million of accounts payable with this company as of December 29, 2016 and December 31, 2015, respectively.</w:t>
      </w:r>
    </w:p>
    <w:p>
      <w:pPr>
        <w:spacing w:after="0" w:line="80" w:lineRule="exact"/>
        <w:rPr>
          <w:sz w:val="20"/>
          <w:szCs w:val="20"/>
          <w:color w:val="auto"/>
        </w:rPr>
      </w:pPr>
    </w:p>
    <w:p>
      <w:pPr>
        <w:ind w:right="260" w:firstLine="555"/>
        <w:spacing w:after="0" w:line="279" w:lineRule="auto"/>
        <w:rPr>
          <w:sz w:val="20"/>
          <w:szCs w:val="20"/>
          <w:color w:val="auto"/>
        </w:rPr>
      </w:pPr>
      <w:r>
        <w:rPr>
          <w:rFonts w:ascii="Arial" w:cs="Arial" w:eastAsia="Arial" w:hAnsi="Arial"/>
          <w:sz w:val="17"/>
          <w:szCs w:val="17"/>
          <w:b w:val="1"/>
          <w:bCs w:val="1"/>
          <w:i w:val="1"/>
          <w:iCs w:val="1"/>
          <w:color w:val="auto"/>
        </w:rPr>
        <w:t>Other Transactions</w:t>
      </w:r>
      <w:r>
        <w:rPr>
          <w:rFonts w:ascii="Arial" w:cs="Arial" w:eastAsia="Arial" w:hAnsi="Arial"/>
          <w:sz w:val="17"/>
          <w:szCs w:val="17"/>
          <w:color w:val="auto"/>
        </w:rPr>
        <w:t>— NCM LLC had an agreement with an interactive media company to sell some of its online inventory. One of NCM, Inc.’s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is also a director of this media company. During the years ended December 29, 2016, December 31, 2015 and January 1, 2015, this company generated approximately $0.0 million, $0.0 million and $0.3 million, respectively, in revenue for NCM LLC and there was approximately $0.0 million and $0.3 million, respectively, of accounts receivable due from this company as of December 29, 2016 and December 31, 2015.</w:t>
      </w:r>
    </w:p>
    <w:p>
      <w:pPr>
        <w:spacing w:after="0" w:line="63"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 xml:space="preserve">NCM LLC has an agreement with AEG Live, an affiliate of The Anschutz Corporation, for AEG Live to showcase musical artists in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During the years ended December 29, 2016, December 31, 2015 and January 1, 2015, NCM LLC received approximately $1.7 million, $1.6 million and $0.7 million, respectively, in revenue from AEG Live and as of December 29, 2016 and December 31, 2015, had $0.2 million and $0.4 million, respectively, of accounts receivable from AEG Live.</w:t>
      </w:r>
    </w:p>
    <w:p>
      <w:pPr>
        <w:spacing w:after="0" w:line="169" w:lineRule="exact"/>
        <w:rPr>
          <w:sz w:val="20"/>
          <w:szCs w:val="20"/>
          <w:color w:val="auto"/>
        </w:rPr>
      </w:pPr>
    </w:p>
    <w:p>
      <w:pPr>
        <w:ind w:left="1120" w:hanging="1112"/>
        <w:spacing w:after="0"/>
        <w:tabs>
          <w:tab w:leader="none" w:pos="11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 following table summarizes NCM LLC’s total outstanding debt as of December 29, 2016 and December 31, 2015 and the significant terms of its borrowing arrangements: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Outstanding Balance as of</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Borrowings ($ in millions)</w:t>
            </w: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4"/>
              </w:rPr>
              <w:t>December 29,</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74"/>
              <w:spacing w:after="0" w:line="133" w:lineRule="exact"/>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1"/>
                <w:szCs w:val="11"/>
                <w:color w:val="auto"/>
              </w:rPr>
            </w:pPr>
          </w:p>
        </w:tc>
        <w:tc>
          <w:tcPr>
            <w:tcW w:w="1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Maturity Date</w:t>
            </w: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71"/>
        </w:trPr>
        <w:tc>
          <w:tcPr>
            <w:tcW w:w="5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November 26, 2019</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393"/>
              <w:spacing w:after="0"/>
              <w:rPr>
                <w:sz w:val="20"/>
                <w:szCs w:val="20"/>
                <w:color w:val="auto"/>
              </w:rPr>
            </w:pPr>
            <w:r>
              <w:rPr>
                <w:rFonts w:ascii="Arial" w:cs="Arial" w:eastAsia="Arial" w:hAnsi="Arial"/>
                <w:sz w:val="18"/>
                <w:szCs w:val="18"/>
                <w:i w:val="1"/>
                <w:iCs w:val="1"/>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Term loans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Pr>
          <w:p>
            <w:pPr>
              <w:spacing w:after="0"/>
              <w:rPr>
                <w:sz w:val="19"/>
                <w:szCs w:val="19"/>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November 26, 2019</w:t>
            </w:r>
          </w:p>
        </w:tc>
        <w:tc>
          <w:tcPr>
            <w:tcW w:w="1160" w:type="dxa"/>
            <w:vAlign w:val="bottom"/>
          </w:tcPr>
          <w:p>
            <w:pPr>
              <w:jc w:val="right"/>
              <w:ind w:right="393"/>
              <w:spacing w:after="0"/>
              <w:rPr>
                <w:sz w:val="20"/>
                <w:szCs w:val="20"/>
                <w:color w:val="auto"/>
              </w:rPr>
            </w:pPr>
            <w:r>
              <w:rPr>
                <w:rFonts w:ascii="Arial" w:cs="Arial" w:eastAsia="Arial" w:hAnsi="Arial"/>
                <w:sz w:val="18"/>
                <w:szCs w:val="18"/>
                <w:i w:val="1"/>
                <w:iCs w:val="1"/>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Senior unsecured notes due 2021</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July 15, 2021</w:t>
            </w:r>
          </w:p>
        </w:tc>
        <w:tc>
          <w:tcPr>
            <w:tcW w:w="116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rPr>
              <w:t>7.875%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Senior secured notes due 2022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9"/>
                <w:szCs w:val="19"/>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15, 2022</w:t>
            </w:r>
          </w:p>
        </w:tc>
        <w:tc>
          <w:tcPr>
            <w:tcW w:w="1160" w:type="dxa"/>
            <w:vAlign w:val="bottom"/>
          </w:tcPr>
          <w:p>
            <w:pPr>
              <w:jc w:val="right"/>
              <w:ind w:right="173"/>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Senior unsecured notes due 2026</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August 15, 2026</w:t>
            </w:r>
          </w:p>
        </w:tc>
        <w:tc>
          <w:tcPr>
            <w:tcW w:w="116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3"/>
          </w:tcPr>
          <w:p>
            <w:pPr>
              <w:ind w:left="500"/>
              <w:spacing w:after="0"/>
              <w:rPr>
                <w:sz w:val="20"/>
                <w:szCs w:val="20"/>
                <w:color w:val="auto"/>
              </w:rPr>
            </w:pPr>
            <w:r>
              <w:rPr>
                <w:rFonts w:ascii="Arial" w:cs="Arial" w:eastAsia="Arial" w:hAnsi="Arial"/>
                <w:sz w:val="18"/>
                <w:szCs w:val="18"/>
                <w:color w:val="auto"/>
              </w:rPr>
              <w:t>Total borrowings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935.0</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936.0</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Less: Debt issuance costs related to term loans and senior</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(10.6)</w:t>
            </w:r>
          </w:p>
        </w:tc>
        <w:tc>
          <w:tcPr>
            <w:tcW w:w="1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gridSpan w:val="3"/>
          </w:tcPr>
          <w:p>
            <w:pPr>
              <w:ind w:left="500"/>
              <w:spacing w:after="0"/>
              <w:rPr>
                <w:sz w:val="20"/>
                <w:szCs w:val="20"/>
                <w:color w:val="auto"/>
              </w:rPr>
            </w:pPr>
            <w:r>
              <w:rPr>
                <w:rFonts w:ascii="Arial" w:cs="Arial" w:eastAsia="Arial" w:hAnsi="Arial"/>
                <w:sz w:val="18"/>
                <w:szCs w:val="18"/>
                <w:color w:val="auto"/>
              </w:rPr>
              <w:t>Carrying value of long-term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925.4</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60" w:type="dxa"/>
            <w:vAlign w:val="bottom"/>
            <w:tcBorders>
              <w:bottom w:val="single" w:sz="8" w:color="auto"/>
            </w:tcBorders>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hanging="552"/>
        <w:spacing w:after="0"/>
        <w:tabs>
          <w:tab w:leader="none" w:pos="560" w:val="left"/>
        </w:tabs>
        <w:numPr>
          <w:ilvl w:val="0"/>
          <w:numId w:val="48"/>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117"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b w:val="1"/>
          <w:bCs w:val="1"/>
          <w:i w:val="1"/>
          <w:iCs w:val="1"/>
          <w:color w:val="auto"/>
        </w:rPr>
        <w:t xml:space="preserve">Senior Secured Credit Facility </w:t>
      </w:r>
      <w:r>
        <w:rPr>
          <w:rFonts w:ascii="Arial" w:cs="Arial" w:eastAsia="Arial" w:hAnsi="Arial"/>
          <w:sz w:val="18"/>
          <w:szCs w:val="18"/>
          <w:color w:val="auto"/>
        </w:rPr>
        <w:t>– As of December 29, 2016, NCM LLC’s senior secured credit facility consisted of a $175.0 million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and a $270.0 million term loan. On May 26, 2016, NCM LLC entered into an incremental amendment of its senior secure credit facility whereby the revolving credit facility was increased $40.0 million from $135.0 million to $175.0 million. On June 18, 2014, NCM LLC entered into an incremental amendment of its senior secured credit facility whereby the revolving credit facility was increased by $25.0 million. In addition, on July 2, 2014, NCM LLC entered into an amendment of its senior secured credit facility whereby the maturity date was extended by two years to November 26, 2019, which corresponds to the maturity date of the $270 million term loans. The obligations under the senior secured credit facility are secured by a lien on substantially all of the assets of NCM LLC.</w:t>
      </w:r>
    </w:p>
    <w:p>
      <w:pPr>
        <w:spacing w:after="0" w:line="81" w:lineRule="exact"/>
        <w:rPr>
          <w:sz w:val="20"/>
          <w:szCs w:val="20"/>
          <w:color w:val="auto"/>
        </w:rPr>
      </w:pPr>
    </w:p>
    <w:p>
      <w:pPr>
        <w:jc w:val="both"/>
        <w:ind w:right="40" w:firstLine="555"/>
        <w:spacing w:after="0" w:line="264"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The revolving credit facility portion of NCM LLC’s total borrowings is available, subject to certain conditions, for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purposes of NCM LLC in the ordinary course of business and for other transactions permitted under the senior secured credit facility, and a portion is available for letters of credit.</w:t>
      </w:r>
    </w:p>
    <w:p>
      <w:pPr>
        <w:spacing w:after="0" w:line="73" w:lineRule="exact"/>
        <w:rPr>
          <w:sz w:val="20"/>
          <w:szCs w:val="20"/>
          <w:color w:val="auto"/>
        </w:rPr>
      </w:pPr>
    </w:p>
    <w:p>
      <w:pPr>
        <w:ind w:right="220" w:firstLine="555"/>
        <w:spacing w:after="0" w:line="264" w:lineRule="auto"/>
        <w:rPr>
          <w:sz w:val="20"/>
          <w:szCs w:val="20"/>
          <w:color w:val="auto"/>
        </w:rPr>
      </w:pPr>
      <w:r>
        <w:rPr>
          <w:rFonts w:ascii="Arial" w:cs="Arial" w:eastAsia="Arial" w:hAnsi="Arial"/>
          <w:sz w:val="18"/>
          <w:szCs w:val="18"/>
          <w:color w:val="auto"/>
        </w:rPr>
        <w:t>As of December 29, 2016, NCM LLC’s total availability under the $175.0 million revolving credit facility was $158.8 million, net of a $1.2 million letter of credit. The unused line fee is 0.50% per annum. Borrowings under the revolving credit facility bear interest at NCM LLC’s option of either the LIBOR index plus an applicable margin or the base rate (Prime 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NCM LLC (the ratio of secured funded debt less unrestricted cash and cash equivalents, over a non-GAAP measure defined in the senior secured credit facility). The applicable margins on the revolving credit facility are the LIBOR index plus 2.00% or the base rate plus 1.00%. The weighted-average interest rate on the outstanding balance on the revolving credit facility as of December 29, 2016 was 4.55%.</w:t>
      </w:r>
    </w:p>
    <w:p>
      <w:pPr>
        <w:spacing w:after="0" w:line="80" w:lineRule="exact"/>
        <w:rPr>
          <w:sz w:val="20"/>
          <w:szCs w:val="20"/>
          <w:color w:val="auto"/>
        </w:rPr>
      </w:pPr>
    </w:p>
    <w:p>
      <w:pPr>
        <w:jc w:val="both"/>
        <w:ind w:right="40" w:firstLine="555"/>
        <w:spacing w:after="0" w:line="264"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 The interest rate on the term loans is a rate chosen at NCM LLC’s option of either the LIBOR index plus 2.75% or the base rate (Prime</w:t>
      </w:r>
      <w:r>
        <w:rPr>
          <w:rFonts w:ascii="Arial" w:cs="Arial" w:eastAsia="Arial" w:hAnsi="Arial"/>
          <w:sz w:val="18"/>
          <w:szCs w:val="18"/>
          <w:i w:val="1"/>
          <w:iCs w:val="1"/>
          <w:color w:val="auto"/>
        </w:rPr>
        <w:t xml:space="preserve"> </w:t>
      </w:r>
      <w:r>
        <w:rPr>
          <w:rFonts w:ascii="Arial" w:cs="Arial" w:eastAsia="Arial" w:hAnsi="Arial"/>
          <w:sz w:val="18"/>
          <w:szCs w:val="18"/>
          <w:color w:val="auto"/>
        </w:rPr>
        <w:t>Rate or the Federal Funds Effective Rate, as defined in the senior secured credit facility) plus 1.75%. The weighted-average interest rate on the term loans as of December 29, 2016 was 3.36%. Interest on the term loans is currently paid monthly.</w:t>
      </w:r>
    </w:p>
    <w:p>
      <w:pPr>
        <w:spacing w:after="0" w:line="73"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The senior secured credit facility contains a number of covenants and financial ratio requirements, with which NCM LLC was in compliance at December 29, 2016, including maintaining a consolidated net senior secured leverage ratio of 6.5 times on a quarterly basis. NCM LLC is permitted to make quarterly dividend payments and other payments based on leverage ratios for NCM LLC and its subsidiaries so long as no default or event of default has occurred and continues to occur. The quarterly dividend payments and other distributions are made even if consolidated net senior secured leverage ratio is less than or equal to 6.5 times. In addition, there are no borrower distribution restrictions as long as NCM LLC’s consolidated net senior secured leverage ratio is below 6.5 times and NCM LLC is in compliance with its debt covenants. If there are limitations on the restricted payments, NCM LLC may not declare or pay any dividends, or make any payments on account of NCM LLC, or set aside assets for the retirement or other acquisition of capital stock of the borrower or any subsidiaries, or make any other distribution for obligations of NCM LLC. When these restrictions are effective, NCM LLC may still pay the services fee and reimbursable costs pursuant to terms of the management agreement. NCM LLC can also make payments pursuant to the tax receivable agreement in the amount, and at the time necessary to satisfy the contractual obligations with respect to the actual cash tax benefits payable to NCM LLC’s founding members. As of December 29, 2016, the NCM LLC’s consolidated net senior secured leverage ratio was 3.0 times (versus the covenant of 6.5 times).</w:t>
      </w:r>
    </w:p>
    <w:p>
      <w:pPr>
        <w:spacing w:after="0" w:line="72"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b w:val="1"/>
          <w:bCs w:val="1"/>
          <w:i w:val="1"/>
          <w:iCs w:val="1"/>
          <w:color w:val="auto"/>
        </w:rPr>
        <w:t xml:space="preserve">Senior Unsecured Notes due 2021 </w:t>
      </w:r>
      <w:r>
        <w:rPr>
          <w:rFonts w:ascii="Arial" w:cs="Arial" w:eastAsia="Arial" w:hAnsi="Arial"/>
          <w:sz w:val="16"/>
          <w:szCs w:val="16"/>
          <w:color w:val="auto"/>
        </w:rPr>
        <w:t>– On July 5, 2011, NCM LLC completed a private placement of $200.0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7.875% Senior Unsecured Notes (the “Notes due 2021”) for which the registered exchange offering was completed on September 22, 2011. The Senior Unsecured Notes pay interest semi-annually in arrears on January 15 and July 15 of each year, which commenced January 15, 2012. On September 19, 2016, NCM LLC redeemed its Notes due 2021 at a redemption price of 103.938% of the principal amount plus accrued and unpaid interest. As a result of the redemption, NCM LLC wrote-off approximately $2.5 million in unamortized debt issuance costs and paid a redemption premium of approximately $7.9 million, which are reflected in the loss on early retirement of debt on the Consolidated Statements of Income during the year ended December 29, 2016.</w:t>
      </w:r>
    </w:p>
    <w:p>
      <w:pPr>
        <w:spacing w:after="0" w:line="57"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b w:val="1"/>
          <w:bCs w:val="1"/>
          <w:i w:val="1"/>
          <w:iCs w:val="1"/>
          <w:color w:val="auto"/>
        </w:rPr>
        <w:t xml:space="preserve">Senior Secured Notes due 2022 </w:t>
      </w:r>
      <w:r>
        <w:rPr>
          <w:rFonts w:ascii="Arial" w:cs="Arial" w:eastAsia="Arial" w:hAnsi="Arial"/>
          <w:sz w:val="17"/>
          <w:szCs w:val="17"/>
          <w:color w:val="auto"/>
        </w:rPr>
        <w:t>– On April 27, 2012, NCM LLC completed a private placement of $400.0 million in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6.00% Senior Secured Notes (the “Notes due 2022”) for which the registered exchange offering was completed on November 26, 2012. The Notes due 2022 pay interest semi-annually in arrears on April 15 and October 15 of each year, which commenced October 15, 2012. The Notes due 2022 are senior secured obligations of NCM LLC, rank the same as NCM LLC’s senior secured credit facility, subject to certain exceptions, and share in the same collateral that secures NCM LLC’s obligations under the senior secured credit facility.</w:t>
      </w:r>
    </w:p>
    <w:p>
      <w:pPr>
        <w:spacing w:after="0" w:line="64"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color w:val="auto"/>
        </w:rPr>
        <w:t>NCM LLC may redeem all or any portion of the Notes due 2022, at once or over time, on or after April 15, 2017 at specified redemption prices, plus accrued and unpaid interest, if any, to the redemption date. Upon the occurrence of a Change of Control (as defined in the Indenture), NCM LLC will be required to make an offer to each holder of Notes due 2022 to repurchase all of such holder’s Notes due 2022 for a cash payment equal to 101.00% of the aggregate principal amount of the Notes due 2022 repurchased, plus accrued and unpaid interest, if any, to the date of repurchase.</w:t>
      </w:r>
    </w:p>
    <w:p>
      <w:pPr>
        <w:spacing w:after="0" w:line="63"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The indenture contains covenants that, among other things, restrict NCM LLC’s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 NCM LLC has the ability to distribute all of its quarterly available cash as a restricted payment or as an investment, if it meets a minimum net senior secured leverage ratio. NCM LLC was in compliance with these non-maintenance covenants as of December 29, 2016.</w:t>
      </w:r>
    </w:p>
    <w:p>
      <w:pPr>
        <w:spacing w:after="0" w:line="50"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b w:val="1"/>
          <w:bCs w:val="1"/>
          <w:i w:val="1"/>
          <w:iCs w:val="1"/>
          <w:color w:val="auto"/>
        </w:rPr>
        <w:t>Senior Unsecured Notes due 2026</w:t>
      </w:r>
      <w:r>
        <w:rPr>
          <w:rFonts w:ascii="Arial" w:cs="Arial" w:eastAsia="Arial" w:hAnsi="Arial"/>
          <w:sz w:val="18"/>
          <w:szCs w:val="18"/>
          <w:color w:val="auto"/>
        </w:rPr>
        <w:t>—On August 19, 2016, NCM LLC completed a private placement of $250.0 million in aggregate principal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5.750% Senior Unsecured Notes (the “Notes due 2026”) for which the registered exchange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offering was completed on November 8, 2016. The Notes due 2026 pay interest semi-annually in arrears on February 15 and August 15 of each year, commencing on February 15, 2017. The Notes due 2026 were issued at 100% of the face amount thereof and are the senior unsecured obligations of NCM LLC and will be effectively subordinated to all existing and future secured debt, including the Notes due 2022, its senior secured credit facility and any future asset backed loan facility. The Notes due 2026 will rank equally in right of payment with all of NCM LLC’s existing and future senior indebtedness, including the Notes due 2022, NCM LLC’s existing senior secured credit facility, any future asset backed loan facility, in each case, without giving effect to collateral arrangements. The Notes due 2026 will be effectively subordinated to all liabilities of any subsidiaries that NCM LLC may form or acquire in the future, unless those subsidiaries become guarantors of the Notes due 2026. NCM LLC does not currently have any subsidiaries, and the Notes due 2026 will not be guaranteed by any subsidiaries that NCM LLC may form or acquire in the future except in very limited circumstances.</w:t>
      </w:r>
    </w:p>
    <w:p>
      <w:pPr>
        <w:spacing w:after="0" w:line="58"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NCM LLC may redeem all or any portion of the Notes due 2026 prior to August 15, 2021, at once or over time, at 100% of the principal amount plus the applicable make-whole premium, plus accrued and unpaid interest, if any, to the redemption date. NCM LLC may redeem all or any portion of the Notes due 2026, at once or over time, on or after August 15, 2021 at specified redemption prices, plus accrued and unpaid interest, if any, to the redemption date. In addition, at any time prior to August 15, 2019, NCM LLC may on any one or more occasions redeem up to 35% of the original aggregate principal amount of Notes due 2026 from the net proceeds of certain equity offerings at a redemption price equal to 105.750% of the principal amount of Notes due 2026 redeemed, plus accrued and unpaid interest, if any to the redemption date. Upon the occurrence of a Change of Control (as defined in the indenture), NCM LLC will be required to make an offer to each holder of Notes due 2026 to repurchase all of such holder’s Notes due 2026 for a cash payment equal to 101.00% of the aggregate principal amount of the Notes due 2026 repurchased, plus accrued and unpaid interest, if any, to the date of repurchase.</w:t>
      </w:r>
    </w:p>
    <w:p>
      <w:pPr>
        <w:spacing w:after="0" w:line="58"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The indenture contains covenants that, among other things, restrict NCM LLC’s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 NCM LLC has the ability to distribute all of its quarterly available cash as a restricted payment or as an investment, if it meets a minimum net senior secured leverage ratio. NCM LLC was in compliance with these non-maintenance covenants as of December 29, 2016.</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Future Maturities of Borrowings </w:t>
      </w:r>
      <w:r>
        <w:rPr>
          <w:rFonts w:ascii="Arial" w:cs="Arial" w:eastAsia="Arial" w:hAnsi="Arial"/>
          <w:sz w:val="16"/>
          <w:szCs w:val="16"/>
          <w:color w:val="auto"/>
        </w:rPr>
        <w:t>– The scheduled annual maturities on the Senior Secured Credit Facility, Notes due 2022 and Notes due 2026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2016 are as follows (in millions):</w:t>
      </w:r>
    </w:p>
    <w:p>
      <w:pPr>
        <w:spacing w:after="0" w:line="21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440" w:type="dxa"/>
            <w:vAlign w:val="bottom"/>
          </w:tcPr>
          <w:p>
            <w:pPr>
              <w:ind w:left="256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285.0</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6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ind w:left="1120" w:hanging="1112"/>
        <w:spacing w:after="0"/>
        <w:tabs>
          <w:tab w:leader="none" w:pos="11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80" w:firstLine="555"/>
        <w:spacing w:after="0" w:line="290" w:lineRule="auto"/>
        <w:rPr>
          <w:sz w:val="20"/>
          <w:szCs w:val="20"/>
          <w:color w:val="auto"/>
        </w:rPr>
      </w:pPr>
      <w:r>
        <w:rPr>
          <w:rFonts w:ascii="Arial" w:cs="Arial" w:eastAsia="Arial" w:hAnsi="Arial"/>
          <w:sz w:val="16"/>
          <w:szCs w:val="16"/>
          <w:color w:val="auto"/>
        </w:rPr>
        <w:t>The NCM, Inc. 2016 Equity Incentive Plan (the “2016 Plan”) reserves 4,400,000 shares of common stock available for issuance or delivery under the 2016 Plan, of which 4,371,745 shares remain available for future grants as of December 29, 2016 (assuming 100% achievement of targets on performance-based restricted stock). The Company began issuing shares under the 2016 Plan in the second quarter of 2016, following its approval by NCM, Inc.’s stockholders. The 2016 Plan replaced NCM, Inc.’s 2007 Equity Incentive Plan (the “2007 Plan”), which was set to expire by its terms in February 2017. The shares of common stock that were available for issuance under the 2007 Plan are no longer available for issuance following the approval of the 2016 Plan. Any forfeitures of shares granted pursuant to the 2007 Plan will be cancelled and not available for future grant. The types of awards that may be granted under the 2016 Plan include stock options, stock appreciation rights, restricted stock, restricted stock units or other stock based awards. Certain option and share awards provide for accelerated vesting if there is a change in control, as defined in the 2007 Plan and the 2016 Plan. Upon vesting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restricted stock awards or exercise of options, NCM LLC will issue common membership units to the Company equal to the number of shares of the Company’s common stock represented by such awards.</w:t>
      </w:r>
    </w:p>
    <w:p>
      <w:pPr>
        <w:spacing w:after="0" w:line="62" w:lineRule="exact"/>
        <w:rPr>
          <w:sz w:val="20"/>
          <w:szCs w:val="20"/>
          <w:color w:val="auto"/>
        </w:rPr>
      </w:pPr>
    </w:p>
    <w:p>
      <w:pPr>
        <w:jc w:val="both"/>
        <w:ind w:right="80" w:firstLine="555"/>
        <w:spacing w:after="0" w:line="262" w:lineRule="auto"/>
        <w:rPr>
          <w:sz w:val="20"/>
          <w:szCs w:val="20"/>
          <w:color w:val="auto"/>
        </w:rPr>
      </w:pPr>
      <w:r>
        <w:rPr>
          <w:rFonts w:ascii="Arial" w:cs="Arial" w:eastAsia="Arial" w:hAnsi="Arial"/>
          <w:sz w:val="18"/>
          <w:szCs w:val="18"/>
          <w:b w:val="1"/>
          <w:bCs w:val="1"/>
          <w:i w:val="1"/>
          <w:iCs w:val="1"/>
          <w:color w:val="auto"/>
        </w:rPr>
        <w:t>Compensation Cost</w:t>
      </w:r>
      <w:r>
        <w:rPr>
          <w:rFonts w:ascii="Arial" w:cs="Arial" w:eastAsia="Arial" w:hAnsi="Arial"/>
          <w:sz w:val="18"/>
          <w:szCs w:val="18"/>
          <w:color w:val="auto"/>
        </w:rPr>
        <w:t>—The Company recognized $18.3 million, $14.8 million and $7.7 million for the years ended December 29, 2016,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and January 1, 2015, respectively, of share-based compensation expense within network costs, selling and marketing costs and administrative and other costs in the Consolidated Statements of Income as shown in the table below.</w:t>
      </w:r>
    </w:p>
    <w:p>
      <w:pPr>
        <w:spacing w:after="0" w:line="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Years Ended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23"/>
        </w:trPr>
        <w:tc>
          <w:tcPr>
            <w:tcW w:w="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29, 2016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December 31, 2015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1, 2015</w:t>
            </w:r>
          </w:p>
        </w:tc>
      </w:tr>
      <w:tr>
        <w:trPr>
          <w:trHeight w:val="209"/>
        </w:trPr>
        <w:tc>
          <w:tcPr>
            <w:tcW w:w="4340" w:type="dxa"/>
            <w:vAlign w:val="bottom"/>
            <w:tcBorders>
              <w:top w:val="single" w:sz="8" w:color="CFF2FA"/>
            </w:tcBorders>
            <w:gridSpan w:val="3"/>
            <w:shd w:val="clear" w:color="auto" w:fill="CFF2FA"/>
          </w:tcPr>
          <w:p>
            <w:pPr>
              <w:spacing w:after="0"/>
              <w:rPr>
                <w:sz w:val="20"/>
                <w:szCs w:val="20"/>
                <w:color w:val="auto"/>
              </w:rPr>
            </w:pPr>
            <w:r>
              <w:rPr>
                <w:rFonts w:ascii="Arial" w:cs="Arial" w:eastAsia="Arial" w:hAnsi="Arial"/>
                <w:sz w:val="18"/>
                <w:szCs w:val="18"/>
                <w:color w:val="auto"/>
              </w:rPr>
              <w:t>Share-based compensation costs included in network</w:t>
            </w:r>
          </w:p>
        </w:tc>
        <w:tc>
          <w:tcPr>
            <w:tcW w:w="520" w:type="dxa"/>
            <w:vAlign w:val="bottom"/>
            <w:tcBorders>
              <w:top w:val="single" w:sz="8" w:color="CFF2FA"/>
            </w:tcBorders>
            <w:shd w:val="clear" w:color="auto" w:fill="CFF2FA"/>
          </w:tcPr>
          <w:p>
            <w:pPr>
              <w:spacing w:after="0"/>
              <w:rPr>
                <w:sz w:val="18"/>
                <w:szCs w:val="18"/>
                <w:color w:val="auto"/>
              </w:rPr>
            </w:pPr>
          </w:p>
        </w:tc>
        <w:tc>
          <w:tcPr>
            <w:tcW w:w="140" w:type="dxa"/>
            <w:vAlign w:val="bottom"/>
            <w:tcBorders>
              <w:top w:val="single" w:sz="8" w:color="auto"/>
            </w:tcBorders>
            <w:shd w:val="clear" w:color="auto" w:fill="CFF2FA"/>
          </w:tcPr>
          <w:p>
            <w:pPr>
              <w:spacing w:after="0"/>
              <w:rPr>
                <w:sz w:val="18"/>
                <w:szCs w:val="18"/>
                <w:color w:val="auto"/>
              </w:rPr>
            </w:pPr>
          </w:p>
        </w:tc>
        <w:tc>
          <w:tcPr>
            <w:tcW w:w="1440" w:type="dxa"/>
            <w:vAlign w:val="bottom"/>
            <w:tcBorders>
              <w:top w:val="single" w:sz="8" w:color="auto"/>
            </w:tcBorders>
            <w:shd w:val="clear" w:color="auto" w:fill="CFF2FA"/>
          </w:tcPr>
          <w:p>
            <w:pPr>
              <w:spacing w:after="0"/>
              <w:rPr>
                <w:sz w:val="18"/>
                <w:szCs w:val="18"/>
                <w:color w:val="auto"/>
              </w:rPr>
            </w:pPr>
          </w:p>
        </w:tc>
        <w:tc>
          <w:tcPr>
            <w:tcW w:w="260" w:type="dxa"/>
            <w:vAlign w:val="bottom"/>
            <w:tcBorders>
              <w:top w:val="single" w:sz="8" w:color="CFF2FA"/>
            </w:tcBorders>
            <w:shd w:val="clear" w:color="auto" w:fill="CFF2FA"/>
          </w:tcPr>
          <w:p>
            <w:pPr>
              <w:spacing w:after="0"/>
              <w:rPr>
                <w:sz w:val="18"/>
                <w:szCs w:val="18"/>
                <w:color w:val="auto"/>
              </w:rPr>
            </w:pPr>
          </w:p>
        </w:tc>
        <w:tc>
          <w:tcPr>
            <w:tcW w:w="160" w:type="dxa"/>
            <w:vAlign w:val="bottom"/>
            <w:tcBorders>
              <w:top w:val="single" w:sz="8" w:color="auto"/>
            </w:tcBorders>
            <w:shd w:val="clear" w:color="auto" w:fill="CFF2FA"/>
          </w:tcPr>
          <w:p>
            <w:pPr>
              <w:spacing w:after="0"/>
              <w:rPr>
                <w:sz w:val="18"/>
                <w:szCs w:val="18"/>
                <w:color w:val="auto"/>
              </w:rPr>
            </w:pPr>
          </w:p>
        </w:tc>
        <w:tc>
          <w:tcPr>
            <w:tcW w:w="1440" w:type="dxa"/>
            <w:vAlign w:val="bottom"/>
            <w:tcBorders>
              <w:top w:val="single" w:sz="8" w:color="auto"/>
            </w:tcBorders>
            <w:shd w:val="clear" w:color="auto" w:fill="CFF2FA"/>
          </w:tcPr>
          <w:p>
            <w:pPr>
              <w:spacing w:after="0"/>
              <w:rPr>
                <w:sz w:val="18"/>
                <w:szCs w:val="18"/>
                <w:color w:val="auto"/>
              </w:rPr>
            </w:pPr>
          </w:p>
        </w:tc>
        <w:tc>
          <w:tcPr>
            <w:tcW w:w="260" w:type="dxa"/>
            <w:vAlign w:val="bottom"/>
            <w:tcBorders>
              <w:top w:val="single" w:sz="8" w:color="CFF2FA"/>
            </w:tcBorders>
            <w:shd w:val="clear" w:color="auto" w:fill="CFF2FA"/>
          </w:tcPr>
          <w:p>
            <w:pPr>
              <w:spacing w:after="0"/>
              <w:rPr>
                <w:sz w:val="18"/>
                <w:szCs w:val="18"/>
                <w:color w:val="auto"/>
              </w:rPr>
            </w:pPr>
          </w:p>
        </w:tc>
        <w:tc>
          <w:tcPr>
            <w:tcW w:w="20" w:type="dxa"/>
            <w:vAlign w:val="bottom"/>
            <w:tcBorders>
              <w:top w:val="single" w:sz="8" w:color="CFF2FA"/>
            </w:tcBorders>
            <w:shd w:val="clear" w:color="auto" w:fill="CFF2FA"/>
          </w:tcPr>
          <w:p>
            <w:pPr>
              <w:spacing w:after="0"/>
              <w:rPr>
                <w:sz w:val="18"/>
                <w:szCs w:val="18"/>
                <w:color w:val="auto"/>
              </w:rPr>
            </w:pPr>
          </w:p>
        </w:tc>
        <w:tc>
          <w:tcPr>
            <w:tcW w:w="180" w:type="dxa"/>
            <w:vAlign w:val="bottom"/>
            <w:tcBorders>
              <w:top w:val="single" w:sz="8" w:color="auto"/>
            </w:tcBorders>
            <w:shd w:val="clear" w:color="auto" w:fill="CFF2FA"/>
          </w:tcPr>
          <w:p>
            <w:pPr>
              <w:spacing w:after="0"/>
              <w:rPr>
                <w:sz w:val="18"/>
                <w:szCs w:val="18"/>
                <w:color w:val="auto"/>
              </w:rPr>
            </w:pPr>
          </w:p>
        </w:tc>
        <w:tc>
          <w:tcPr>
            <w:tcW w:w="1400" w:type="dxa"/>
            <w:vAlign w:val="bottom"/>
            <w:tcBorders>
              <w:top w:val="single" w:sz="8" w:color="auto"/>
            </w:tcBorders>
            <w:shd w:val="clear" w:color="auto" w:fill="CFF2FA"/>
          </w:tcPr>
          <w:p>
            <w:pPr>
              <w:spacing w:after="0"/>
              <w:rPr>
                <w:sz w:val="18"/>
                <w:szCs w:val="18"/>
                <w:color w:val="auto"/>
              </w:rPr>
            </w:pPr>
          </w:p>
        </w:tc>
        <w:tc>
          <w:tcPr>
            <w:tcW w:w="120" w:type="dxa"/>
            <w:vAlign w:val="bottom"/>
            <w:tcBorders>
              <w:top w:val="single" w:sz="8" w:color="CFF2FA"/>
            </w:tcBorders>
            <w:shd w:val="clear" w:color="auto" w:fill="CFF2FA"/>
          </w:tcPr>
          <w:p>
            <w:pPr>
              <w:spacing w:after="0"/>
              <w:rPr>
                <w:sz w:val="18"/>
                <w:szCs w:val="18"/>
                <w:color w:val="auto"/>
              </w:rPr>
            </w:pPr>
          </w:p>
        </w:tc>
      </w:tr>
      <w:tr>
        <w:trPr>
          <w:trHeight w:val="230"/>
        </w:trPr>
        <w:tc>
          <w:tcPr>
            <w:tcW w:w="80" w:type="dxa"/>
            <w:vAlign w:val="bottom"/>
            <w:shd w:val="clear" w:color="auto" w:fill="CFF2FA"/>
          </w:tcPr>
          <w:p>
            <w:pPr>
              <w:spacing w:after="0"/>
              <w:rPr>
                <w:sz w:val="20"/>
                <w:szCs w:val="20"/>
                <w:color w:val="auto"/>
              </w:rPr>
            </w:pPr>
          </w:p>
        </w:tc>
        <w:tc>
          <w:tcPr>
            <w:tcW w:w="4260" w:type="dxa"/>
            <w:vAlign w:val="bottom"/>
            <w:gridSpan w:val="2"/>
            <w:shd w:val="clear" w:color="auto" w:fill="CFF2FA"/>
          </w:tcPr>
          <w:p>
            <w:pPr>
              <w:ind w:left="60"/>
              <w:spacing w:after="0"/>
              <w:rPr>
                <w:sz w:val="20"/>
                <w:szCs w:val="20"/>
                <w:color w:val="auto"/>
              </w:rPr>
            </w:pPr>
            <w:r>
              <w:rPr>
                <w:rFonts w:ascii="Arial" w:cs="Arial" w:eastAsia="Arial" w:hAnsi="Arial"/>
                <w:sz w:val="18"/>
                <w:szCs w:val="18"/>
                <w:color w:val="auto"/>
              </w:rPr>
              <w:t>costs</w:t>
            </w:r>
          </w:p>
        </w:tc>
        <w:tc>
          <w:tcPr>
            <w:tcW w:w="66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w:t>
            </w:r>
          </w:p>
        </w:tc>
        <w:tc>
          <w:tcPr>
            <w:tcW w:w="42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FF2FA"/>
          </w:tcPr>
          <w:p>
            <w:pPr>
              <w:spacing w:after="0"/>
              <w:rPr>
                <w:sz w:val="20"/>
                <w:szCs w:val="20"/>
                <w:color w:val="auto"/>
              </w:rPr>
            </w:pPr>
          </w:p>
        </w:tc>
        <w:tc>
          <w:tcPr>
            <w:tcW w:w="200" w:type="dxa"/>
            <w:vAlign w:val="bottom"/>
            <w:gridSpan w:val="2"/>
            <w:shd w:val="clear" w:color="auto" w:fill="CFF2FA"/>
          </w:tcPr>
          <w:p>
            <w:pPr>
              <w:jc w:val="right"/>
              <w:ind w:right="2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2FA"/>
          </w:tcPr>
          <w:p>
            <w:pPr>
              <w:spacing w:after="0"/>
              <w:rPr>
                <w:sz w:val="20"/>
                <w:szCs w:val="20"/>
                <w:color w:val="auto"/>
              </w:rPr>
            </w:pPr>
          </w:p>
        </w:tc>
      </w:tr>
      <w:tr>
        <w:trPr>
          <w:trHeight w:val="215"/>
        </w:trPr>
        <w:tc>
          <w:tcPr>
            <w:tcW w:w="4340" w:type="dxa"/>
            <w:vAlign w:val="bottom"/>
            <w:gridSpan w:val="3"/>
          </w:tcPr>
          <w:p>
            <w:pPr>
              <w:spacing w:after="0"/>
              <w:rPr>
                <w:sz w:val="20"/>
                <w:szCs w:val="20"/>
                <w:color w:val="auto"/>
              </w:rPr>
            </w:pPr>
            <w:r>
              <w:rPr>
                <w:rFonts w:ascii="Arial" w:cs="Arial" w:eastAsia="Arial" w:hAnsi="Arial"/>
                <w:sz w:val="18"/>
                <w:szCs w:val="18"/>
                <w:color w:val="auto"/>
              </w:rPr>
              <w:t>Share-based compensation costs included in selling</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and marketing costs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r>
      <w:tr>
        <w:trPr>
          <w:trHeight w:val="215"/>
        </w:trPr>
        <w:tc>
          <w:tcPr>
            <w:tcW w:w="4340" w:type="dxa"/>
            <w:vAlign w:val="bottom"/>
            <w:gridSpan w:val="3"/>
            <w:shd w:val="clear" w:color="auto" w:fill="CFF2FA"/>
          </w:tcPr>
          <w:p>
            <w:pPr>
              <w:spacing w:after="0"/>
              <w:rPr>
                <w:sz w:val="20"/>
                <w:szCs w:val="20"/>
                <w:color w:val="auto"/>
              </w:rPr>
            </w:pPr>
            <w:r>
              <w:rPr>
                <w:rFonts w:ascii="Arial" w:cs="Arial" w:eastAsia="Arial" w:hAnsi="Arial"/>
                <w:sz w:val="18"/>
                <w:szCs w:val="18"/>
                <w:color w:val="auto"/>
              </w:rPr>
              <w:t>Share-based compensation costs included in</w:t>
            </w:r>
          </w:p>
        </w:tc>
        <w:tc>
          <w:tcPr>
            <w:tcW w:w="52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44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144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80" w:type="dxa"/>
            <w:vAlign w:val="bottom"/>
            <w:shd w:val="clear" w:color="auto" w:fill="CFF2FA"/>
          </w:tcPr>
          <w:p>
            <w:pPr>
              <w:spacing w:after="0"/>
              <w:rPr>
                <w:sz w:val="18"/>
                <w:szCs w:val="18"/>
                <w:color w:val="auto"/>
              </w:rPr>
            </w:pPr>
          </w:p>
        </w:tc>
        <w:tc>
          <w:tcPr>
            <w:tcW w:w="140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r>
      <w:tr>
        <w:trPr>
          <w:trHeight w:val="230"/>
        </w:trPr>
        <w:tc>
          <w:tcPr>
            <w:tcW w:w="80" w:type="dxa"/>
            <w:vAlign w:val="bottom"/>
            <w:shd w:val="clear" w:color="auto" w:fill="CFF2FA"/>
          </w:tcPr>
          <w:p>
            <w:pPr>
              <w:spacing w:after="0"/>
              <w:rPr>
                <w:sz w:val="20"/>
                <w:szCs w:val="20"/>
                <w:color w:val="auto"/>
              </w:rPr>
            </w:pPr>
          </w:p>
        </w:tc>
        <w:tc>
          <w:tcPr>
            <w:tcW w:w="4260" w:type="dxa"/>
            <w:vAlign w:val="bottom"/>
            <w:gridSpan w:val="2"/>
            <w:shd w:val="clear" w:color="auto" w:fill="CFF2FA"/>
          </w:tcPr>
          <w:p>
            <w:pPr>
              <w:ind w:left="60"/>
              <w:spacing w:after="0"/>
              <w:rPr>
                <w:sz w:val="20"/>
                <w:szCs w:val="20"/>
                <w:color w:val="auto"/>
              </w:rPr>
            </w:pPr>
            <w:r>
              <w:rPr>
                <w:rFonts w:ascii="Arial" w:cs="Arial" w:eastAsia="Arial" w:hAnsi="Arial"/>
                <w:sz w:val="18"/>
                <w:szCs w:val="18"/>
                <w:color w:val="auto"/>
              </w:rPr>
              <w:t xml:space="preserve">administrative and other costs </w:t>
            </w:r>
            <w:r>
              <w:rPr>
                <w:rFonts w:ascii="Arial" w:cs="Arial" w:eastAsia="Arial" w:hAnsi="Arial"/>
                <w:sz w:val="18"/>
                <w:szCs w:val="18"/>
                <w:i w:val="1"/>
                <w:iCs w:val="1"/>
                <w:color w:val="auto"/>
              </w:rPr>
              <w:t>(1)</w:t>
            </w:r>
          </w:p>
        </w:tc>
        <w:tc>
          <w:tcPr>
            <w:tcW w:w="520" w:type="dxa"/>
            <w:vAlign w:val="bottom"/>
            <w:shd w:val="clear" w:color="auto" w:fill="CFF2FA"/>
          </w:tcPr>
          <w:p>
            <w:pPr>
              <w:spacing w:after="0"/>
              <w:rPr>
                <w:sz w:val="20"/>
                <w:szCs w:val="20"/>
                <w:color w:val="auto"/>
              </w:rPr>
            </w:pPr>
          </w:p>
        </w:tc>
        <w:tc>
          <w:tcPr>
            <w:tcW w:w="140" w:type="dxa"/>
            <w:vAlign w:val="bottom"/>
            <w:tcBorders>
              <w:bottom w:val="single" w:sz="8" w:color="auto"/>
            </w:tcBorders>
            <w:shd w:val="clear" w:color="auto" w:fill="CFF2FA"/>
          </w:tcPr>
          <w:p>
            <w:pPr>
              <w:spacing w:after="0"/>
              <w:rPr>
                <w:sz w:val="20"/>
                <w:szCs w:val="20"/>
                <w:color w:val="auto"/>
              </w:rPr>
            </w:pPr>
          </w:p>
        </w:tc>
        <w:tc>
          <w:tcPr>
            <w:tcW w:w="14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FF2FA"/>
          </w:tcPr>
          <w:p>
            <w:pPr>
              <w:spacing w:after="0"/>
              <w:rPr>
                <w:sz w:val="20"/>
                <w:szCs w:val="20"/>
                <w:color w:val="auto"/>
              </w:rPr>
            </w:pPr>
          </w:p>
        </w:tc>
        <w:tc>
          <w:tcPr>
            <w:tcW w:w="160" w:type="dxa"/>
            <w:vAlign w:val="bottom"/>
            <w:tcBorders>
              <w:bottom w:val="single" w:sz="8" w:color="auto"/>
            </w:tcBorders>
            <w:shd w:val="clear" w:color="auto" w:fill="CFF2FA"/>
          </w:tcPr>
          <w:p>
            <w:pPr>
              <w:spacing w:after="0"/>
              <w:rPr>
                <w:sz w:val="20"/>
                <w:szCs w:val="20"/>
                <w:color w:val="auto"/>
              </w:rPr>
            </w:pPr>
          </w:p>
        </w:tc>
        <w:tc>
          <w:tcPr>
            <w:tcW w:w="14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180" w:type="dxa"/>
            <w:vAlign w:val="bottom"/>
            <w:tcBorders>
              <w:bottom w:val="single" w:sz="8" w:color="auto"/>
            </w:tcBorders>
            <w:shd w:val="clear" w:color="auto" w:fill="CFF2FA"/>
          </w:tcPr>
          <w:p>
            <w:pPr>
              <w:spacing w:after="0"/>
              <w:rPr>
                <w:sz w:val="20"/>
                <w:szCs w:val="20"/>
                <w:color w:val="auto"/>
              </w:rPr>
            </w:pPr>
          </w:p>
        </w:tc>
        <w:tc>
          <w:tcPr>
            <w:tcW w:w="14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2FA"/>
          </w:tcPr>
          <w:p>
            <w:pPr>
              <w:spacing w:after="0"/>
              <w:rPr>
                <w:sz w:val="20"/>
                <w:szCs w:val="20"/>
                <w:color w:val="auto"/>
              </w:rPr>
            </w:pPr>
          </w:p>
        </w:tc>
      </w:tr>
      <w:tr>
        <w:trPr>
          <w:trHeight w:val="223"/>
        </w:trPr>
        <w:tc>
          <w:tcPr>
            <w:tcW w:w="80" w:type="dxa"/>
            <w:vAlign w:val="bottom"/>
          </w:tcPr>
          <w:p>
            <w:pPr>
              <w:spacing w:after="0"/>
              <w:rPr>
                <w:sz w:val="19"/>
                <w:szCs w:val="19"/>
                <w:color w:val="auto"/>
              </w:rPr>
            </w:pPr>
          </w:p>
        </w:tc>
        <w:tc>
          <w:tcPr>
            <w:tcW w:w="4260" w:type="dxa"/>
            <w:vAlign w:val="bottom"/>
            <w:gridSpan w:val="2"/>
          </w:tcPr>
          <w:p>
            <w:pPr>
              <w:ind w:left="300"/>
              <w:spacing w:after="0"/>
              <w:rPr>
                <w:sz w:val="20"/>
                <w:szCs w:val="20"/>
                <w:color w:val="auto"/>
              </w:rPr>
            </w:pPr>
            <w:r>
              <w:rPr>
                <w:rFonts w:ascii="Arial" w:cs="Arial" w:eastAsia="Arial" w:hAnsi="Arial"/>
                <w:sz w:val="18"/>
                <w:szCs w:val="18"/>
                <w:color w:val="auto"/>
              </w:rPr>
              <w:t>Total share-based compensation costs</w:t>
            </w:r>
          </w:p>
        </w:tc>
        <w:tc>
          <w:tcPr>
            <w:tcW w:w="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80" w:type="dxa"/>
            <w:vAlign w:val="bottom"/>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1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94" w:lineRule="exact"/>
        <w:rPr>
          <w:sz w:val="20"/>
          <w:szCs w:val="20"/>
          <w:color w:val="auto"/>
        </w:rPr>
      </w:pPr>
    </w:p>
    <w:p>
      <w:pPr>
        <w:ind w:left="960" w:hanging="398"/>
        <w:spacing w:after="0" w:line="277" w:lineRule="auto"/>
        <w:tabs>
          <w:tab w:leader="none" w:pos="960" w:val="left"/>
        </w:tabs>
        <w:numPr>
          <w:ilvl w:val="0"/>
          <w:numId w:val="50"/>
        </w:numPr>
        <w:rPr>
          <w:rFonts w:ascii="Arial" w:cs="Arial" w:eastAsia="Arial" w:hAnsi="Arial"/>
          <w:sz w:val="18"/>
          <w:szCs w:val="18"/>
          <w:i w:val="1"/>
          <w:iCs w:val="1"/>
          <w:color w:val="auto"/>
        </w:rPr>
      </w:pPr>
      <w:r>
        <w:rPr>
          <w:rFonts w:ascii="Arial" w:cs="Arial" w:eastAsia="Arial" w:hAnsi="Arial"/>
          <w:sz w:val="18"/>
          <w:szCs w:val="18"/>
          <w:color w:val="auto"/>
        </w:rPr>
        <w:t>Includes $2.3 million of expense associated with the modification of certain former executive equity awards during the year ended December 29, 2016, as described further below.</w:t>
      </w:r>
    </w:p>
    <w:p>
      <w:pPr>
        <w:spacing w:after="0" w:line="62" w:lineRule="exact"/>
        <w:rPr>
          <w:sz w:val="20"/>
          <w:szCs w:val="20"/>
          <w:color w:val="auto"/>
        </w:rPr>
      </w:pPr>
    </w:p>
    <w:p>
      <w:pPr>
        <w:ind w:right="60" w:firstLine="555"/>
        <w:spacing w:after="0" w:line="293" w:lineRule="auto"/>
        <w:rPr>
          <w:sz w:val="20"/>
          <w:szCs w:val="20"/>
          <w:color w:val="auto"/>
        </w:rPr>
      </w:pPr>
      <w:r>
        <w:rPr>
          <w:rFonts w:ascii="Arial" w:cs="Arial" w:eastAsia="Arial" w:hAnsi="Arial"/>
          <w:sz w:val="16"/>
          <w:szCs w:val="16"/>
          <w:color w:val="auto"/>
        </w:rPr>
        <w:t>During the years ended December 29, 2016, December 31, 2015 and January 1, 2015, $0.5 million, $0.3 million and $0.1 million was capitalized, respectively, in a corresponding manner to the capitalization of employee’s salaries for capitalized labor. The income tax benefit recognized in the income statement for share-based compensation was approximately $2.5 million, $2.5 million, and $1.4 million for the years ended December 29, 2016, December 31, 2015 and January 1, 2015, respectively. As of December 29, 2016, there was no unrecognized compensation cost related to unvested options, as stock options were fully vested as of December 29, 2016. As of December 29, 2016, unrecognized compensation cost related to restricted stock and restricted stock units was approximately $16.9 million, which will be recognized over a weighted average remaining period of 1.7 years.</w:t>
      </w:r>
    </w:p>
    <w:p>
      <w:pPr>
        <w:spacing w:after="0" w:line="57" w:lineRule="exact"/>
        <w:rPr>
          <w:sz w:val="20"/>
          <w:szCs w:val="20"/>
          <w:color w:val="auto"/>
        </w:rPr>
      </w:pPr>
    </w:p>
    <w:p>
      <w:pPr>
        <w:ind w:right="160" w:firstLine="555"/>
        <w:spacing w:after="0" w:line="267" w:lineRule="auto"/>
        <w:rPr>
          <w:sz w:val="20"/>
          <w:szCs w:val="20"/>
          <w:color w:val="auto"/>
        </w:rPr>
      </w:pP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 The Company has not granted stock options since 2012 and as of December 29, 2016 all options are fully vested. Stock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awarded under the 2007 Plan were granted with an exercise price equal to the closing market price of NCM, Inc. common stock on the date the Company’s Board of Directors approved the grant. Options have either 10-year or 15-year contractual terms. The fair value of each option award was estimated on the date of grant using the Black-Scholes option pricing valuation model. An annual forfeiture rate of 2-3% was estimated to reflect the potential separation of employees. The intrinsic value of options exercised during the year was $0.1 million, $0.4 million and $0.2 million for the years ended December 29, 2016, December 31, 2015 and January 1, 2015, respectively. The total fair value of awards vested during the years ended December 29, 2016, December 31, 2015 and January 1, 2015 was $0.0 million, $0.7 million and $2.2 million, respectively. A summary of option award activity under the 2007 Plan as of December 29, 2016, and changes during the year then ended are presented below:</w:t>
      </w:r>
    </w:p>
    <w:tbl>
      <w:tblPr>
        <w:tblLayout w:type="fixed"/>
        <w:tblInd w:w="580" w:type="dxa"/>
        <w:tblCellMar>
          <w:top w:w="0" w:type="dxa"/>
          <w:left w:w="0" w:type="dxa"/>
          <w:bottom w:w="0" w:type="dxa"/>
          <w:right w:w="0" w:type="dxa"/>
        </w:tblCellMar>
      </w:tblPr>
      <w:tr>
        <w:trPr>
          <w:trHeight w:val="143"/>
        </w:trPr>
        <w:tc>
          <w:tcPr>
            <w:tcW w:w="5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2015</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2,707,752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300"/>
              <w:spacing w:after="0"/>
              <w:rPr>
                <w:sz w:val="20"/>
                <w:szCs w:val="20"/>
                <w:color w:val="auto"/>
              </w:rPr>
            </w:pPr>
            <w:r>
              <w:rPr>
                <w:rFonts w:ascii="Arial" w:cs="Arial" w:eastAsia="Arial" w:hAnsi="Arial"/>
                <w:sz w:val="18"/>
                <w:szCs w:val="18"/>
                <w:color w:val="auto"/>
              </w:rPr>
              <w:t>4.8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(39,290)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(93,918)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18.17</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as of December 29, 2016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2,574,544</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16.59</w:t>
            </w:r>
          </w:p>
        </w:tc>
        <w:tc>
          <w:tcPr>
            <w:tcW w:w="220" w:type="dxa"/>
            <w:vAlign w:val="bottom"/>
            <w:tcBorders>
              <w:bottom w:val="single" w:sz="8" w:color="CFF0FC"/>
            </w:tcBorders>
          </w:tcPr>
          <w:p>
            <w:pPr>
              <w:spacing w:after="0"/>
              <w:rPr>
                <w:sz w:val="22"/>
                <w:szCs w:val="22"/>
                <w:color w:val="auto"/>
              </w:rPr>
            </w:pPr>
          </w:p>
        </w:tc>
        <w:tc>
          <w:tcPr>
            <w:tcW w:w="1040" w:type="dxa"/>
            <w:vAlign w:val="bottom"/>
            <w:tcBorders>
              <w:bottom w:val="single" w:sz="8" w:color="CFF0FC"/>
            </w:tcBorders>
          </w:tcPr>
          <w:p>
            <w:pPr>
              <w:jc w:val="right"/>
              <w:ind w:right="300"/>
              <w:spacing w:after="0"/>
              <w:rPr>
                <w:sz w:val="20"/>
                <w:szCs w:val="20"/>
                <w:color w:val="auto"/>
              </w:rPr>
            </w:pPr>
            <w:r>
              <w:rPr>
                <w:rFonts w:ascii="Arial" w:cs="Arial" w:eastAsia="Arial" w:hAnsi="Arial"/>
                <w:sz w:val="18"/>
                <w:szCs w:val="18"/>
                <w:color w:val="auto"/>
              </w:rPr>
              <w:t>3.8</w:t>
            </w:r>
          </w:p>
        </w:tc>
        <w:tc>
          <w:tcPr>
            <w:tcW w:w="3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ind w:right="279"/>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Exercisable as of December 29, 2016</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2,574,544</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0"/>
              <w:spacing w:after="0"/>
              <w:rPr>
                <w:sz w:val="20"/>
                <w:szCs w:val="20"/>
                <w:color w:val="auto"/>
              </w:rPr>
            </w:pPr>
            <w:r>
              <w:rPr>
                <w:rFonts w:ascii="Arial" w:cs="Arial" w:eastAsia="Arial" w:hAnsi="Arial"/>
                <w:sz w:val="18"/>
                <w:szCs w:val="18"/>
                <w:color w:val="auto"/>
              </w:rPr>
              <w:t>3.8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279"/>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Vested and expected to vest as of December 29, 2016</w:t>
            </w:r>
          </w:p>
        </w:tc>
        <w:tc>
          <w:tcPr>
            <w:tcW w:w="1020" w:type="dxa"/>
            <w:vAlign w:val="bottom"/>
          </w:tcPr>
          <w:p>
            <w:pPr>
              <w:jc w:val="right"/>
              <w:spacing w:after="0"/>
              <w:rPr>
                <w:sz w:val="20"/>
                <w:szCs w:val="20"/>
                <w:color w:val="auto"/>
              </w:rPr>
            </w:pPr>
            <w:r>
              <w:rPr>
                <w:rFonts w:ascii="Arial" w:cs="Arial" w:eastAsia="Arial" w:hAnsi="Arial"/>
                <w:sz w:val="18"/>
                <w:szCs w:val="18"/>
                <w:color w:val="auto"/>
              </w:rPr>
              <w:t>2,574,544</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16.59</w:t>
            </w:r>
          </w:p>
        </w:tc>
        <w:tc>
          <w:tcPr>
            <w:tcW w:w="220" w:type="dxa"/>
            <w:vAlign w:val="bottom"/>
          </w:tcPr>
          <w:p>
            <w:pPr>
              <w:spacing w:after="0"/>
              <w:rPr>
                <w:sz w:val="20"/>
                <w:szCs w:val="20"/>
                <w:color w:val="auto"/>
              </w:rPr>
            </w:pPr>
          </w:p>
        </w:tc>
        <w:tc>
          <w:tcPr>
            <w:tcW w:w="1040" w:type="dxa"/>
            <w:vAlign w:val="bottom"/>
          </w:tcPr>
          <w:p>
            <w:pPr>
              <w:jc w:val="right"/>
              <w:ind w:right="300"/>
              <w:spacing w:after="0"/>
              <w:rPr>
                <w:sz w:val="20"/>
                <w:szCs w:val="20"/>
                <w:color w:val="auto"/>
              </w:rPr>
            </w:pPr>
            <w:r>
              <w:rPr>
                <w:rFonts w:ascii="Arial" w:cs="Arial" w:eastAsia="Arial" w:hAnsi="Arial"/>
                <w:sz w:val="18"/>
                <w:szCs w:val="18"/>
                <w:color w:val="auto"/>
              </w:rPr>
              <w:t>3.8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9"/>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b w:val="1"/>
          <w:bCs w:val="1"/>
          <w:i w:val="1"/>
          <w:iCs w:val="1"/>
          <w:color w:val="auto"/>
        </w:rPr>
        <w:t>Restricted Stock and Restricted Stock Units</w:t>
      </w:r>
      <w:r>
        <w:rPr>
          <w:rFonts w:ascii="Arial" w:cs="Arial" w:eastAsia="Arial" w:hAnsi="Arial"/>
          <w:sz w:val="18"/>
          <w:szCs w:val="18"/>
          <w:color w:val="auto"/>
        </w:rPr>
        <w:t>—Under the non-vested stock program, common stock of the Company may be granted at no cost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independent directors and employees, subject to requisite service and/or financial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performance targets. As such restrictions lapse, the award vests in that proportion. The participants are entitled to dividend equivalents and to vote their respective shares (in the case of restricted stock), although the sale and transfer of such shares is prohibited and the shares are subject to forfeiture during the restricted period. Additionally, the accrued dividend equivalents are subject to forfeiture during the restricted period should the underlying shares not</w:t>
      </w:r>
    </w:p>
    <w:p>
      <w:pPr>
        <w:spacing w:after="0" w:line="286" w:lineRule="auto"/>
        <w:rPr>
          <w:sz w:val="20"/>
          <w:szCs w:val="20"/>
          <w:color w:val="auto"/>
        </w:rPr>
      </w:pPr>
      <w:r>
        <w:rPr>
          <w:rFonts w:ascii="Arial" w:cs="Arial" w:eastAsia="Arial" w:hAnsi="Arial"/>
          <w:sz w:val="16"/>
          <w:szCs w:val="16"/>
          <w:color w:val="auto"/>
        </w:rPr>
        <w:t>vest. As of December 29, 2016 and December 31, 2015, accrued dividend equivalents totaled $3.9 million and $3.7 million, respectively and during the years ended December 29, 2016, December 31, 2015 and January 1, 2015, the Company paid $1.9 million, $0.4 million and $0.4 million, respectively, for dividend equivalents upon vesting of the restricted stock and restricted stock units. The Company has issued time-based restricted stock to its employees which vests over a three-year period with 1/3 vesting on each anniversary of the date of grant and performance-based restricted stock which vests following a three-year measurement period to the extent that the Company achieves specified non-GAAP targets at the end of the measurement period. The Company also grants restricted stock units to its non-employee directors that vest after approximately one year. The grant date fair value of restricted stock and restricted stock units is based on the closing market price of NCM, Inc. common stock on the date of grant. An annual forfeiture rate of 2-3% was estimated to reflect the potential separation of employees. The weighted average grant date fair value of non-vested stock was $15.03, $14.76, and $19.18 for the years ended December 29, 2016, December 31, 2015 and January 1, 2015, respectively. The total fair value of awards vested was $14.7 million, $11.6 million and $3.6 million during the years ended December 29, 2016, December 31, 2015 and January 1, 2015, respectively.</w:t>
      </w:r>
    </w:p>
    <w:p>
      <w:pPr>
        <w:spacing w:after="0" w:line="62" w:lineRule="exact"/>
        <w:rPr>
          <w:sz w:val="20"/>
          <w:szCs w:val="20"/>
          <w:color w:val="auto"/>
        </w:rPr>
      </w:pPr>
    </w:p>
    <w:p>
      <w:pPr>
        <w:ind w:right="440" w:firstLine="555"/>
        <w:spacing w:after="0" w:line="258" w:lineRule="auto"/>
        <w:rPr>
          <w:sz w:val="20"/>
          <w:szCs w:val="20"/>
          <w:color w:val="auto"/>
        </w:rPr>
      </w:pPr>
      <w:r>
        <w:rPr>
          <w:rFonts w:ascii="Arial" w:cs="Arial" w:eastAsia="Arial" w:hAnsi="Arial"/>
          <w:sz w:val="18"/>
          <w:szCs w:val="18"/>
          <w:color w:val="auto"/>
        </w:rPr>
        <w:t>A summary of restricted stock award and restricted stock unit activity under the 2007 Plan and 2016 Plan as of December 29, 2016, and changes during the year then ended are presented below:</w:t>
      </w:r>
    </w:p>
    <w:tbl>
      <w:tblPr>
        <w:tblLayout w:type="fixed"/>
        <w:tblInd w:w="1720" w:type="dxa"/>
        <w:tblCellMar>
          <w:top w:w="0" w:type="dxa"/>
          <w:left w:w="0" w:type="dxa"/>
          <w:bottom w:w="0" w:type="dxa"/>
          <w:right w:w="0" w:type="dxa"/>
        </w:tblCellMar>
      </w:tblPr>
      <w:tr>
        <w:trPr>
          <w:trHeight w:val="141"/>
        </w:trPr>
        <w:tc>
          <w:tcPr>
            <w:tcW w:w="15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ind w:left="200"/>
              <w:spacing w:after="0" w:line="141"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Restricted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Shares and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Restricted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 Units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balance as of December 31, 2015</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2,563,637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1,281,053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18"/>
                <w:szCs w:val="18"/>
                <w:i w:val="1"/>
                <w:iCs w:val="1"/>
                <w:color w:val="auto"/>
              </w:rPr>
              <w:t>(1)</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(927,722)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(326,706)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balance as of December 29, 2016</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2,590,262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3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40" w:hanging="411"/>
        <w:spacing w:after="0"/>
        <w:tabs>
          <w:tab w:leader="none" w:pos="2040" w:val="left"/>
        </w:tabs>
        <w:numPr>
          <w:ilvl w:val="0"/>
          <w:numId w:val="51"/>
        </w:numPr>
        <w:rPr>
          <w:rFonts w:ascii="Arial" w:cs="Arial" w:eastAsia="Arial" w:hAnsi="Arial"/>
          <w:sz w:val="18"/>
          <w:szCs w:val="18"/>
          <w:i w:val="1"/>
          <w:iCs w:val="1"/>
          <w:color w:val="auto"/>
        </w:rPr>
      </w:pPr>
      <w:r>
        <w:rPr>
          <w:rFonts w:ascii="Arial" w:cs="Arial" w:eastAsia="Arial" w:hAnsi="Arial"/>
          <w:sz w:val="18"/>
          <w:szCs w:val="18"/>
          <w:color w:val="auto"/>
        </w:rPr>
        <w:t>Includes 331,754 vested shares that were withheld to cover tax obligations and were subsequently canceled.</w:t>
      </w:r>
    </w:p>
    <w:p>
      <w:pPr>
        <w:spacing w:after="0" w:line="117"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The above table reflects performance-based restricted stock granted at 100% achievement of performance conditions and as such does not reflect the maximum or minimum number of shares of performance-based restricted stock contingently issuable. An additional 588,401 shares of restricted stock could be issued if the performance criteria maximums are met. As of December 29, 2016, the total number of restricted stock and restricted stock units that are ultimately expected to vest, after consideration of expected forfeitures and current projections of estimated vesting of performance-based restricted stock is 2,491,043 shares.</w:t>
      </w:r>
    </w:p>
    <w:p>
      <w:pPr>
        <w:spacing w:after="0" w:line="80"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b w:val="1"/>
          <w:bCs w:val="1"/>
          <w:i w:val="1"/>
          <w:iCs w:val="1"/>
          <w:color w:val="auto"/>
        </w:rPr>
        <w:t>Executive Equity Modification</w:t>
      </w:r>
      <w:r>
        <w:rPr>
          <w:rFonts w:ascii="Arial" w:cs="Arial" w:eastAsia="Arial" w:hAnsi="Arial"/>
          <w:sz w:val="16"/>
          <w:szCs w:val="16"/>
          <w:color w:val="auto"/>
        </w:rPr>
        <w:t>—On January 1, 2016, the Company’s former Chief Executive Officer resigned and in connection with his resignation,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NCM, Inc. entered into a Separation and General Release Agreement and a Consulting Agreement, whereby, the executive will continue to perform consulting services through January 31, 2018 and certain modifications were made to the executive’s outstanding stock awards. The executive’s outstanding stock options were modified such that the timeframe to exercise the options was extended to the original expiration date and certain performance-based restricted stock awards were converted to time-based restricted stock, with all restricted stock continuing to vest during the consulting period.</w:t>
      </w:r>
    </w:p>
    <w:p>
      <w:pPr>
        <w:spacing w:after="0" w:line="50"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Per ASC Topic 718-10-35-3, a modification of the terms or conditions of an equity award shall be treated as an exchange of the original award for a new award. The effects of a modification should be measured as follows: (a) incremental compensation cost shall be measured as the excess, if any, of the fair value of the modified award over the fair value of the original award immediately before its terms are modified, (b) total recognized compensation cost for an equity shall at least equal the fair value of the award at the grant date unless at the date of the modification the performance or service conditions of the original award are not expected to be satisfied and (c) a change in compensation cost for an equity award measured at intrinsic value shall be measured by comparing the intrinsic value of the modified award, if any, with the intrinsic value of the original award, if any, immediately before the modification. These modifications resulted in compensation expense of $2.3 million during the year ended December 29, 2016. Further, the Company continues to recognize share-based compensation costs on the awards related to service during the consulting period and re-measures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fair value of the outstanding awards at each reporting period during the term of the consulting services, in accordance with ASC Topic 505-50, </w:t>
      </w:r>
      <w:r>
        <w:rPr>
          <w:rFonts w:ascii="Arial" w:cs="Arial" w:eastAsia="Arial" w:hAnsi="Arial"/>
          <w:sz w:val="18"/>
          <w:szCs w:val="18"/>
          <w:i w:val="1"/>
          <w:iCs w:val="1"/>
          <w:color w:val="auto"/>
        </w:rPr>
        <w:t>Equity-Based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to Non-Employees</w:t>
      </w:r>
      <w:r>
        <w:rPr>
          <w:rFonts w:ascii="Arial" w:cs="Arial" w:eastAsia="Arial" w:hAnsi="Arial"/>
          <w:sz w:val="18"/>
          <w:szCs w:val="18"/>
          <w:color w:val="auto"/>
        </w:rPr>
        <w:t>.</w:t>
      </w:r>
    </w:p>
    <w:p>
      <w:pPr>
        <w:spacing w:after="0" w:line="153" w:lineRule="exact"/>
        <w:rPr>
          <w:sz w:val="20"/>
          <w:szCs w:val="20"/>
          <w:color w:val="auto"/>
        </w:rPr>
      </w:pPr>
    </w:p>
    <w:p>
      <w:pPr>
        <w:ind w:left="1120" w:hanging="1112"/>
        <w:spacing w:after="0"/>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Company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$1.3 million, $1.3 million and $1.0 million during the years ended December 29, 2016, December 31, 2015 and January 1, 2015, respectively.</w:t>
      </w:r>
    </w:p>
    <w:p>
      <w:pPr>
        <w:spacing w:after="0" w:line="76" w:lineRule="exact"/>
        <w:rPr>
          <w:sz w:val="20"/>
          <w:szCs w:val="20"/>
          <w:color w:val="auto"/>
        </w:rPr>
      </w:pPr>
    </w:p>
    <w:p>
      <w:pPr>
        <w:ind w:left="1120" w:hanging="1112"/>
        <w:spacing w:after="0"/>
        <w:tabs>
          <w:tab w:leader="none" w:pos="11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right="220" w:firstLine="555"/>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aggregate, on its financial position, results of operations or cash flows.</w:t>
      </w:r>
    </w:p>
    <w:p>
      <w:pPr>
        <w:spacing w:after="0" w:line="62" w:lineRule="exact"/>
        <w:rPr>
          <w:sz w:val="20"/>
          <w:szCs w:val="20"/>
          <w:color w:val="auto"/>
        </w:rPr>
      </w:pPr>
    </w:p>
    <w:p>
      <w:pPr>
        <w:jc w:val="both"/>
        <w:ind w:right="220" w:firstLine="555"/>
        <w:spacing w:after="0" w:line="259" w:lineRule="auto"/>
        <w:rPr>
          <w:sz w:val="20"/>
          <w:szCs w:val="20"/>
          <w:color w:val="auto"/>
        </w:rPr>
      </w:pPr>
      <w:r>
        <w:rPr>
          <w:rFonts w:ascii="Arial" w:cs="Arial" w:eastAsia="Arial" w:hAnsi="Arial"/>
          <w:sz w:val="18"/>
          <w:szCs w:val="18"/>
          <w:b w:val="1"/>
          <w:bCs w:val="1"/>
          <w:i w:val="1"/>
          <w:iCs w:val="1"/>
          <w:color w:val="auto"/>
        </w:rPr>
        <w:t>Operating Commitments</w:t>
      </w:r>
      <w:r>
        <w:rPr>
          <w:rFonts w:ascii="Arial" w:cs="Arial" w:eastAsia="Arial" w:hAnsi="Arial"/>
          <w:sz w:val="18"/>
          <w:szCs w:val="18"/>
          <w:color w:val="auto"/>
        </w:rPr>
        <w:t>— The Company leases office facilities for its headquarters in Centennial, Colorado and also in various cities for its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marketing and software development personnel. Total lease expense for the years ended December 29, 2016, December 31, 2015 and January 1, 2015, was $2.3 million, $2.3 million and $2.2 million, respectively. Future minimum lease payments under noncancelable operating leases as of December 29, 2016 are as follows (in millions):</w:t>
      </w:r>
    </w:p>
    <w:p>
      <w:pPr>
        <w:spacing w:after="0" w:line="233" w:lineRule="exact"/>
        <w:rPr>
          <w:sz w:val="20"/>
          <w:szCs w:val="20"/>
          <w:color w:val="auto"/>
        </w:rPr>
      </w:pPr>
    </w:p>
    <w:tbl>
      <w:tblPr>
        <w:tblLayout w:type="fixed"/>
        <w:tblInd w:w="2300" w:type="dxa"/>
        <w:tblCellMar>
          <w:top w:w="0" w:type="dxa"/>
          <w:left w:w="0" w:type="dxa"/>
          <w:bottom w:w="0" w:type="dxa"/>
          <w:right w:w="0" w:type="dxa"/>
        </w:tblCellMar>
      </w:tblPr>
      <w:tr>
        <w:trPr>
          <w:trHeight w:val="212"/>
        </w:trPr>
        <w:tc>
          <w:tcPr>
            <w:tcW w:w="4340" w:type="dxa"/>
            <w:vAlign w:val="bottom"/>
          </w:tcPr>
          <w:p>
            <w:pPr>
              <w:ind w:left="202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2"/>
          </w:tcPr>
          <w:p>
            <w:pPr>
              <w:ind w:left="140"/>
              <w:spacing w:after="0"/>
              <w:rPr>
                <w:sz w:val="20"/>
                <w:szCs w:val="20"/>
                <w:color w:val="auto"/>
              </w:rPr>
            </w:pPr>
            <w:r>
              <w:rPr>
                <w:rFonts w:ascii="Arial" w:cs="Arial" w:eastAsia="Arial" w:hAnsi="Arial"/>
                <w:sz w:val="14"/>
                <w:szCs w:val="14"/>
                <w:b w:val="1"/>
                <w:bCs w:val="1"/>
                <w:color w:val="auto"/>
              </w:rPr>
              <w:t>Minimum Lease Payments</w:t>
            </w: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0" w:type="dxa"/>
            <w:vAlign w:val="bottom"/>
            <w:tcBorders>
              <w:bottom w:val="single" w:sz="8" w:color="CFF0FC"/>
            </w:tcBorders>
          </w:tcPr>
          <w:p>
            <w:pPr>
              <w:spacing w:after="0"/>
              <w:rPr>
                <w:sz w:val="19"/>
                <w:szCs w:val="19"/>
                <w:color w:val="auto"/>
              </w:rPr>
            </w:pPr>
          </w:p>
        </w:tc>
      </w:tr>
      <w:tr>
        <w:trPr>
          <w:trHeight w:val="223"/>
        </w:trPr>
        <w:tc>
          <w:tcPr>
            <w:tcW w:w="4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twenty years, prior to any renewal periods of which some are at the option of the Company. As of December 29, 2016, the maximum potential amount of future payments the Company could be required to make pursuant to the minimum revenue guarantees is $39.9 million over the remaining terms of the network affiliate agreements, which calculation does not include any potential extensions offered subsequent to December 29, 2016. As of December 29, 2016 and December 31, 2015, the Company had no liabilities recorded for these obligations, as such guarantees are less than the expected share of revenue paid to the affiliate.</w:t>
      </w:r>
    </w:p>
    <w:p>
      <w:pPr>
        <w:spacing w:after="0" w:line="74" w:lineRule="exact"/>
        <w:rPr>
          <w:sz w:val="20"/>
          <w:szCs w:val="20"/>
          <w:color w:val="auto"/>
        </w:rPr>
      </w:pPr>
    </w:p>
    <w:p>
      <w:pPr>
        <w:ind w:right="100" w:firstLine="555"/>
        <w:spacing w:after="0" w:line="271" w:lineRule="auto"/>
        <w:rPr>
          <w:sz w:val="20"/>
          <w:szCs w:val="20"/>
          <w:color w:val="auto"/>
        </w:rPr>
      </w:pPr>
      <w:r>
        <w:rPr>
          <w:rFonts w:ascii="Arial" w:cs="Arial" w:eastAsia="Arial" w:hAnsi="Arial"/>
          <w:sz w:val="17"/>
          <w:szCs w:val="17"/>
          <w:b w:val="1"/>
          <w:bCs w:val="1"/>
          <w:i w:val="1"/>
          <w:iCs w:val="1"/>
          <w:color w:val="auto"/>
        </w:rPr>
        <w:t>Theater Access Fee Guarantees</w:t>
      </w:r>
      <w:r>
        <w:rPr>
          <w:rFonts w:ascii="Arial" w:cs="Arial" w:eastAsia="Arial" w:hAnsi="Arial"/>
          <w:sz w:val="17"/>
          <w:szCs w:val="17"/>
          <w:color w:val="auto"/>
        </w:rPr>
        <w:t>—In consideration for NCM LLC’s access to the founding members’ theater attendees for on-screen advertising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the next increase taking effect for fiscal year 2017,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December 29, 2016 and December 31, 2015, the Company had no liabilities recorded for the minimum payment, as the theater access fee was in excess of the minimum.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ind w:left="1120" w:hanging="1112"/>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73" w:lineRule="exact"/>
        <w:rPr>
          <w:sz w:val="20"/>
          <w:szCs w:val="20"/>
          <w:color w:val="auto"/>
        </w:rPr>
      </w:pPr>
    </w:p>
    <w:p>
      <w:pPr>
        <w:ind w:right="300" w:firstLine="555"/>
        <w:spacing w:after="0" w:line="276" w:lineRule="auto"/>
        <w:rPr>
          <w:sz w:val="20"/>
          <w:szCs w:val="20"/>
          <w:color w:val="auto"/>
        </w:rPr>
      </w:pPr>
      <w:r>
        <w:rPr>
          <w:rFonts w:ascii="Arial" w:cs="Arial" w:eastAsia="Arial" w:hAnsi="Arial"/>
          <w:sz w:val="17"/>
          <w:szCs w:val="17"/>
          <w:i w:val="1"/>
          <w:iCs w:val="1"/>
          <w:color w:val="auto"/>
        </w:rPr>
        <w:t xml:space="preserve">Long-Lived Assets, Intangible Assets, Other Investments and Notes Receivable </w:t>
      </w:r>
      <w:r>
        <w:rPr>
          <w:rFonts w:ascii="Arial" w:cs="Arial" w:eastAsia="Arial" w:hAnsi="Arial"/>
          <w:sz w:val="17"/>
          <w:szCs w:val="17"/>
          <w:color w:val="auto"/>
        </w:rPr>
        <w:t>—As described in Note 1—</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the Company regularly reviews long-lived assets (primarily property, plant and equipment), intangible assets,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64"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As of December 29, 2016 and December 31, 2015, the Company had other investments of $6.6 million and $5.4 million, respectively. The fair value of these investments has not been estimated as of December 29, 2016 as there were no identified events or changes in the circumstances that had a significant adverse effect on the fair value of the investments and it is not practicable to do so because the equity securities are not in publicly traded companies. The investment in AC JV was initially valued using comparative market multiples. The other investments were recorded based upon the fair value of the services provided in exchange for the investment. Refer to Note 1—</w:t>
      </w:r>
      <w:r>
        <w:rPr>
          <w:rFonts w:ascii="Arial" w:cs="Arial" w:eastAsia="Arial" w:hAnsi="Arial"/>
          <w:sz w:val="18"/>
          <w:szCs w:val="18"/>
          <w:i w:val="1"/>
          <w:iCs w:val="1"/>
          <w:color w:val="auto"/>
        </w:rPr>
        <w:t>Basis of Presentation and Summary of Significant Accounting Policies</w:t>
      </w:r>
      <w:r>
        <w:rPr>
          <w:rFonts w:ascii="Arial" w:cs="Arial" w:eastAsia="Arial" w:hAnsi="Arial"/>
          <w:sz w:val="18"/>
          <w:szCs w:val="18"/>
          <w:color w:val="auto"/>
        </w:rPr>
        <w:t xml:space="preserve"> for more details. As the inputs to the determination of fair value are based upon non-identical assets and use significant unobservable inputs, they have been classified as Level 3 in the fair value hierarchy.</w:t>
      </w:r>
    </w:p>
    <w:p>
      <w:pPr>
        <w:spacing w:after="0" w:line="81" w:lineRule="exact"/>
        <w:rPr>
          <w:sz w:val="20"/>
          <w:szCs w:val="20"/>
          <w:color w:val="auto"/>
        </w:rPr>
      </w:pPr>
    </w:p>
    <w:p>
      <w:pPr>
        <w:jc w:val="both"/>
        <w:ind w:right="80" w:firstLine="555"/>
        <w:spacing w:after="0" w:line="302" w:lineRule="auto"/>
        <w:rPr>
          <w:sz w:val="20"/>
          <w:szCs w:val="20"/>
          <w:color w:val="auto"/>
        </w:rPr>
      </w:pPr>
      <w:r>
        <w:rPr>
          <w:rFonts w:ascii="Arial" w:cs="Arial" w:eastAsia="Arial" w:hAnsi="Arial"/>
          <w:sz w:val="16"/>
          <w:szCs w:val="16"/>
          <w:color w:val="auto"/>
        </w:rPr>
        <w:t>As of December 29, 2016, the Company had notes receivable totaling $13.9 million from its founding members related to the sale of Fathom Events, as described in Note 8—</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46" w:lineRule="exact"/>
        <w:rPr>
          <w:sz w:val="20"/>
          <w:szCs w:val="20"/>
          <w:color w:val="auto"/>
        </w:rPr>
      </w:pPr>
    </w:p>
    <w:p>
      <w:pPr>
        <w:ind w:right="140" w:firstLine="555"/>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 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are as follows (in millions):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9"/>
              </w:rPr>
              <w:t>As of December 29, 2016</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9"/>
              </w:rPr>
              <w:t>As of December 31, 2015</w:t>
            </w:r>
          </w:p>
        </w:tc>
        <w:tc>
          <w:tcPr>
            <w:tcW w:w="120" w:type="dxa"/>
            <w:vAlign w:val="bottom"/>
          </w:tcPr>
          <w:p>
            <w:pPr>
              <w:spacing w:after="0"/>
              <w:rPr>
                <w:sz w:val="14"/>
                <w:szCs w:val="14"/>
                <w:color w:val="auto"/>
              </w:rPr>
            </w:pPr>
          </w:p>
        </w:tc>
      </w:tr>
      <w:tr>
        <w:trPr>
          <w:trHeight w:val="237"/>
        </w:trPr>
        <w:tc>
          <w:tcPr>
            <w:tcW w:w="53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Carrying Value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4"/>
                <w:szCs w:val="14"/>
                <w:b w:val="1"/>
                <w:bCs w:val="1"/>
                <w:i w:val="1"/>
                <w:iCs w:val="1"/>
                <w:color w:val="auto"/>
                <w:w w:val="93"/>
              </w:rPr>
              <w:t>(1)</w:t>
            </w: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Carrying Value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Senior Notes due 2021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Senior Notes due 2022</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Senior Notes due 2026</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85090</wp:posOffset>
            </wp:positionV>
            <wp:extent cx="17151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21" w:lineRule="exact"/>
        <w:rPr>
          <w:sz w:val="20"/>
          <w:szCs w:val="20"/>
          <w:color w:val="auto"/>
        </w:rPr>
      </w:pPr>
    </w:p>
    <w:p>
      <w:pPr>
        <w:ind w:left="1120" w:right="700" w:hanging="558"/>
        <w:spacing w:after="0" w:line="342" w:lineRule="auto"/>
        <w:tabs>
          <w:tab w:leader="none" w:pos="1120" w:val="left"/>
        </w:tabs>
        <w:numPr>
          <w:ilvl w:val="0"/>
          <w:numId w:val="55"/>
        </w:numPr>
        <w:rPr>
          <w:rFonts w:ascii="Arial" w:cs="Arial" w:eastAsia="Arial" w:hAnsi="Arial"/>
          <w:sz w:val="16"/>
          <w:szCs w:val="16"/>
          <w:i w:val="1"/>
          <w:iCs w:val="1"/>
          <w:color w:val="auto"/>
        </w:rPr>
      </w:pPr>
      <w:r>
        <w:rPr>
          <w:rFonts w:ascii="Arial" w:cs="Arial" w:eastAsia="Arial" w:hAnsi="Arial"/>
          <w:sz w:val="16"/>
          <w:szCs w:val="16"/>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124"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7"/>
          </w:tcPr>
          <w:p>
            <w:pPr>
              <w:jc w:val="center"/>
              <w:ind w:left="838"/>
              <w:spacing w:after="0"/>
              <w:rPr>
                <w:sz w:val="20"/>
                <w:szCs w:val="20"/>
                <w:color w:val="auto"/>
              </w:rPr>
            </w:pPr>
            <w:r>
              <w:rPr>
                <w:rFonts w:ascii="Arial" w:cs="Arial" w:eastAsia="Arial" w:hAnsi="Arial"/>
                <w:sz w:val="14"/>
                <w:szCs w:val="14"/>
                <w:b w:val="1"/>
                <w:bCs w:val="1"/>
                <w:color w:val="auto"/>
                <w:w w:val="93"/>
              </w:rPr>
              <w:t>Fair Value Measurements at</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Reporting Date Using</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Fair Value As of</w:t>
            </w:r>
          </w:p>
        </w:tc>
        <w:tc>
          <w:tcPr>
            <w:tcW w:w="22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240" w:type="dxa"/>
            <w:vAlign w:val="bottom"/>
          </w:tcPr>
          <w:p>
            <w:pPr>
              <w:spacing w:after="0"/>
              <w:rPr>
                <w:sz w:val="11"/>
                <w:szCs w:val="11"/>
                <w:color w:val="auto"/>
              </w:rPr>
            </w:pPr>
          </w:p>
        </w:tc>
        <w:tc>
          <w:tcPr>
            <w:tcW w:w="13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0" w:type="dxa"/>
            <w:vAlign w:val="bottom"/>
            <w:gridSpan w:val="3"/>
          </w:tcPr>
          <w:p>
            <w:pPr>
              <w:jc w:val="center"/>
              <w:ind w:left="119"/>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December 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3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9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535"/>
              <w:spacing w:after="0"/>
              <w:rPr>
                <w:sz w:val="20"/>
                <w:szCs w:val="20"/>
                <w:color w:val="auto"/>
              </w:rPr>
            </w:pPr>
            <w:r>
              <w:rPr>
                <w:rFonts w:ascii="Arial" w:cs="Arial" w:eastAsia="Arial" w:hAnsi="Arial"/>
                <w:sz w:val="18"/>
                <w:szCs w:val="18"/>
                <w:color w:val="auto"/>
              </w:rPr>
              <w:t>F-33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4" w:name="page95"/>
    <w:bookmarkEnd w:id="94"/>
    <w:p>
      <w:pPr>
        <w:jc w:val="center"/>
        <w:ind w:right="56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7"/>
          </w:tcPr>
          <w:p>
            <w:pPr>
              <w:jc w:val="center"/>
              <w:ind w:left="838"/>
              <w:spacing w:after="0"/>
              <w:rPr>
                <w:sz w:val="20"/>
                <w:szCs w:val="20"/>
                <w:color w:val="auto"/>
              </w:rPr>
            </w:pPr>
            <w:r>
              <w:rPr>
                <w:rFonts w:ascii="Arial" w:cs="Arial" w:eastAsia="Arial" w:hAnsi="Arial"/>
                <w:sz w:val="14"/>
                <w:szCs w:val="14"/>
                <w:b w:val="1"/>
                <w:bCs w:val="1"/>
                <w:color w:val="auto"/>
                <w:w w:val="93"/>
              </w:rPr>
              <w:t>Fair Value Measurements at</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Reporting Date Using</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Fair Value As of</w:t>
            </w:r>
          </w:p>
        </w:tc>
        <w:tc>
          <w:tcPr>
            <w:tcW w:w="22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240" w:type="dxa"/>
            <w:vAlign w:val="bottom"/>
          </w:tcPr>
          <w:p>
            <w:pPr>
              <w:spacing w:after="0"/>
              <w:rPr>
                <w:sz w:val="11"/>
                <w:szCs w:val="11"/>
                <w:color w:val="auto"/>
              </w:rPr>
            </w:pPr>
          </w:p>
        </w:tc>
        <w:tc>
          <w:tcPr>
            <w:tcW w:w="13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0" w:type="dxa"/>
            <w:vAlign w:val="bottom"/>
            <w:gridSpan w:val="3"/>
          </w:tcPr>
          <w:p>
            <w:pPr>
              <w:jc w:val="center"/>
              <w:ind w:left="119"/>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3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9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hanging="558"/>
        <w:spacing w:after="0" w:line="264" w:lineRule="auto"/>
        <w:tabs>
          <w:tab w:leader="none" w:pos="5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 The Company’s cash equivalents are carried at estimated fair value. Cash equivalents consist of money market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Company has classified as Level 1 given the active market for these accounts and commercial paper with original maturities of three months or less, which are classified as Level 2 and are valued as described below.</w:t>
      </w:r>
    </w:p>
    <w:p>
      <w:pPr>
        <w:spacing w:after="0" w:line="73" w:lineRule="exact"/>
        <w:rPr>
          <w:rFonts w:ascii="Arial" w:cs="Arial" w:eastAsia="Arial" w:hAnsi="Arial"/>
          <w:sz w:val="18"/>
          <w:szCs w:val="18"/>
          <w:i w:val="1"/>
          <w:iCs w:val="1"/>
          <w:color w:val="auto"/>
        </w:rPr>
      </w:pPr>
    </w:p>
    <w:p>
      <w:pPr>
        <w:ind w:left="560" w:right="20" w:hanging="558"/>
        <w:spacing w:after="0" w:line="287" w:lineRule="auto"/>
        <w:tabs>
          <w:tab w:leader="none" w:pos="56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Short-Term and Long-Term Marketable Securities</w:t>
      </w:r>
      <w:r>
        <w:rPr>
          <w:rFonts w:ascii="Arial" w:cs="Arial" w:eastAsia="Arial" w:hAnsi="Arial"/>
          <w:sz w:val="16"/>
          <w:szCs w:val="16"/>
          <w:color w:val="auto"/>
        </w:rPr>
        <w:t>— The carrying amount and fair value of the marketable securities are equivalent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 generally classified as Level 1 given the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For the years ended December 29, 2016 and December 31, 2015, there was an inconsequential amount of net realized gains (losses) recognized in interest income and an inconsequential amount of net unrealized holding gains (losses) included in other comprehensive income. Original cost of short term marketable securities is based on the specific identification method. As of December 29, 2016 and December 31, 2015, there were no gross unrealized losses related to individual securities that had been in a continuous loss position for 12 months or longer.</w:t>
      </w:r>
    </w:p>
    <w:p>
      <w:pPr>
        <w:spacing w:after="0" w:line="17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800" w:top="121" w:right="239" w:bottom="1440" w:gutter="0" w:footer="0" w:header="0"/>
        </w:sectPr>
      </w:pPr>
    </w:p>
    <w:bookmarkStart w:id="95" w:name="page96"/>
    <w:bookmarkEnd w:id="95"/>
    <w:p>
      <w:pPr>
        <w:jc w:val="center"/>
        <w:ind w:right="-1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December 29, 2016 and December 31, 2015 are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1"/>
              </w:rPr>
              <w:t>As of December 29,2016</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Aggregate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 xml:space="preserve">Maturities </w:t>
            </w:r>
            <w:r>
              <w:rPr>
                <w:rFonts w:ascii="Arial" w:cs="Arial" w:eastAsia="Arial" w:hAnsi="Arial"/>
                <w:sz w:val="14"/>
                <w:szCs w:val="14"/>
                <w:b w:val="1"/>
                <w:bCs w:val="1"/>
                <w:i w:val="1"/>
                <w:iCs w:val="1"/>
                <w:color w:val="auto"/>
                <w:w w:val="96"/>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8"/>
              </w:rPr>
              <w:t>Cost Basis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MARKETABLE SECURITIES:</w:t>
            </w:r>
          </w:p>
        </w:tc>
        <w:tc>
          <w:tcPr>
            <w:tcW w:w="98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spacing w:after="0"/>
              <w:rPr>
                <w:sz w:val="19"/>
                <w:szCs w:val="19"/>
                <w:color w:val="auto"/>
              </w:rPr>
            </w:pPr>
          </w:p>
        </w:tc>
        <w:tc>
          <w:tcPr>
            <w:tcW w:w="940" w:type="dxa"/>
            <w:vAlign w:val="bottom"/>
            <w:tcBorders>
              <w:top w:val="single" w:sz="8" w:color="auto"/>
            </w:tcBorders>
            <w:shd w:val="clear" w:color="auto" w:fill="CFF2FA"/>
          </w:tcPr>
          <w:p>
            <w:pPr>
              <w:spacing w:after="0"/>
              <w:rPr>
                <w:sz w:val="19"/>
                <w:szCs w:val="19"/>
                <w:color w:val="auto"/>
              </w:rPr>
            </w:pPr>
          </w:p>
        </w:tc>
        <w:tc>
          <w:tcPr>
            <w:tcW w:w="20" w:type="dxa"/>
            <w:vAlign w:val="bottom"/>
            <w:tcBorders>
              <w:top w:val="single" w:sz="8" w:color="auto"/>
            </w:tcBorders>
            <w:shd w:val="clear" w:color="auto" w:fill="CFF2FA"/>
          </w:tcPr>
          <w:p>
            <w:pPr>
              <w:spacing w:after="0"/>
              <w:rPr>
                <w:sz w:val="19"/>
                <w:szCs w:val="19"/>
                <w:color w:val="auto"/>
              </w:rPr>
            </w:pPr>
          </w:p>
        </w:tc>
        <w:tc>
          <w:tcPr>
            <w:tcW w:w="20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spacing w:after="0"/>
              <w:rPr>
                <w:sz w:val="19"/>
                <w:szCs w:val="19"/>
                <w:color w:val="auto"/>
              </w:rPr>
            </w:pPr>
          </w:p>
        </w:tc>
        <w:tc>
          <w:tcPr>
            <w:tcW w:w="960" w:type="dxa"/>
            <w:vAlign w:val="bottom"/>
            <w:tcBorders>
              <w:top w:val="single" w:sz="8" w:color="auto"/>
            </w:tcBorders>
            <w:shd w:val="clear" w:color="auto" w:fill="CFF2FA"/>
          </w:tcPr>
          <w:p>
            <w:pPr>
              <w:spacing w:after="0"/>
              <w:rPr>
                <w:sz w:val="19"/>
                <w:szCs w:val="19"/>
                <w:color w:val="auto"/>
              </w:rPr>
            </w:pPr>
          </w:p>
        </w:tc>
        <w:tc>
          <w:tcPr>
            <w:tcW w:w="200" w:type="dxa"/>
            <w:vAlign w:val="bottom"/>
            <w:tcBorders>
              <w:top w:val="single" w:sz="8" w:color="CFF2FA"/>
            </w:tcBorders>
            <w:shd w:val="clear" w:color="auto" w:fill="CFF2FA"/>
          </w:tcPr>
          <w:p>
            <w:pPr>
              <w:spacing w:after="0"/>
              <w:rPr>
                <w:sz w:val="19"/>
                <w:szCs w:val="19"/>
                <w:color w:val="auto"/>
              </w:rPr>
            </w:pPr>
          </w:p>
        </w:tc>
        <w:tc>
          <w:tcPr>
            <w:tcW w:w="1080" w:type="dxa"/>
            <w:vAlign w:val="bottom"/>
            <w:tcBorders>
              <w:top w:val="single" w:sz="8" w:color="auto"/>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Short-term U.S. government treasury bonds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Short-term municipal bonds</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Short-term U.S. government agency bonds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Short-term commercial paper</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Short-term certificates of deposit: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480"/>
              <w:spacing w:after="0"/>
              <w:rPr>
                <w:sz w:val="20"/>
                <w:szCs w:val="20"/>
                <w:color w:val="auto"/>
              </w:rPr>
            </w:pPr>
            <w:r>
              <w:rPr>
                <w:rFonts w:ascii="Arial" w:cs="Arial" w:eastAsia="Arial" w:hAnsi="Arial"/>
                <w:sz w:val="18"/>
                <w:szCs w:val="18"/>
                <w:color w:val="auto"/>
              </w:rPr>
              <w:t>Financial</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2FA"/>
            </w:tcBorders>
          </w:tcPr>
          <w:p>
            <w:pPr>
              <w:ind w:left="480"/>
              <w:spacing w:after="0"/>
              <w:rPr>
                <w:sz w:val="20"/>
                <w:szCs w:val="20"/>
                <w:color w:val="auto"/>
              </w:rPr>
            </w:pPr>
            <w:r>
              <w:rPr>
                <w:rFonts w:ascii="Arial" w:cs="Arial" w:eastAsia="Arial" w:hAnsi="Arial"/>
                <w:sz w:val="18"/>
                <w:szCs w:val="18"/>
                <w:color w:val="auto"/>
              </w:rPr>
              <w:t>Industrial</w:t>
            </w:r>
          </w:p>
        </w:tc>
        <w:tc>
          <w:tcPr>
            <w:tcW w:w="9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FF2FA"/>
            </w:tcBorders>
          </w:tcPr>
          <w:p>
            <w:pPr>
              <w:spacing w:after="0"/>
              <w:rPr>
                <w:sz w:val="19"/>
                <w:szCs w:val="19"/>
                <w:color w:val="auto"/>
              </w:rPr>
            </w:pPr>
          </w:p>
        </w:tc>
        <w:tc>
          <w:tcPr>
            <w:tcW w:w="1080" w:type="dxa"/>
            <w:vAlign w:val="bottom"/>
            <w:tcBorders>
              <w:bottom w:val="single" w:sz="8" w:color="CFF2FA"/>
            </w:tcBorders>
          </w:tcPr>
          <w:p>
            <w:pPr>
              <w:jc w:val="right"/>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2FA"/>
          </w:tcPr>
          <w:p>
            <w:pPr>
              <w:ind w:left="720"/>
              <w:spacing w:after="0"/>
              <w:rPr>
                <w:sz w:val="20"/>
                <w:szCs w:val="20"/>
                <w:color w:val="auto"/>
              </w:rPr>
            </w:pPr>
            <w:r>
              <w:rPr>
                <w:rFonts w:ascii="Arial" w:cs="Arial" w:eastAsia="Arial" w:hAnsi="Arial"/>
                <w:sz w:val="18"/>
                <w:szCs w:val="18"/>
                <w:color w:val="auto"/>
              </w:rPr>
              <w:t>Total short-term marketable securities</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Long-term municipal bonds</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Long-term U.S. government agency bonds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Long-term certificates of deposit</w:t>
            </w:r>
          </w:p>
        </w:tc>
        <w:tc>
          <w:tcPr>
            <w:tcW w:w="98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2FA"/>
            </w:tcBorders>
          </w:tcPr>
          <w:p>
            <w:pPr>
              <w:ind w:left="720"/>
              <w:spacing w:after="0"/>
              <w:rPr>
                <w:sz w:val="20"/>
                <w:szCs w:val="20"/>
                <w:color w:val="auto"/>
              </w:rPr>
            </w:pPr>
            <w:r>
              <w:rPr>
                <w:rFonts w:ascii="Arial" w:cs="Arial" w:eastAsia="Arial" w:hAnsi="Arial"/>
                <w:sz w:val="18"/>
                <w:szCs w:val="18"/>
                <w:color w:val="auto"/>
              </w:rPr>
              <w:t>Total long-term marketable securities</w:t>
            </w:r>
          </w:p>
        </w:tc>
        <w:tc>
          <w:tcPr>
            <w:tcW w:w="9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CFF2FA"/>
            </w:tcBorders>
          </w:tcPr>
          <w:p>
            <w:pPr>
              <w:spacing w:after="0"/>
              <w:rPr>
                <w:sz w:val="19"/>
                <w:szCs w:val="19"/>
                <w:color w:val="auto"/>
              </w:rPr>
            </w:pPr>
          </w:p>
        </w:tc>
        <w:tc>
          <w:tcPr>
            <w:tcW w:w="108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2FA"/>
            </w:tcBorders>
            <w:shd w:val="clear" w:color="auto" w:fill="CFF2FA"/>
          </w:tcPr>
          <w:p>
            <w:pPr>
              <w:ind w:left="980"/>
              <w:spacing w:after="0"/>
              <w:rPr>
                <w:sz w:val="20"/>
                <w:szCs w:val="20"/>
                <w:color w:val="auto"/>
              </w:rPr>
            </w:pPr>
            <w:r>
              <w:rPr>
                <w:rFonts w:ascii="Arial" w:cs="Arial" w:eastAsia="Arial" w:hAnsi="Arial"/>
                <w:sz w:val="18"/>
                <w:szCs w:val="18"/>
                <w:color w:val="auto"/>
              </w:rPr>
              <w:t>Total marketable securities</w:t>
            </w:r>
          </w:p>
        </w:tc>
        <w:tc>
          <w:tcPr>
            <w:tcW w:w="98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45.8</w:t>
            </w:r>
          </w:p>
        </w:tc>
        <w:tc>
          <w:tcPr>
            <w:tcW w:w="20" w:type="dxa"/>
            <w:vAlign w:val="bottom"/>
            <w:tcBorders>
              <w:bottom w:val="single" w:sz="8" w:color="auto"/>
            </w:tcBorders>
            <w:shd w:val="clear" w:color="auto" w:fill="CFF2FA"/>
          </w:tcPr>
          <w:p>
            <w:pPr>
              <w:spacing w:after="0"/>
              <w:rPr>
                <w:sz w:val="19"/>
                <w:szCs w:val="19"/>
                <w:color w:val="auto"/>
              </w:rPr>
            </w:pPr>
          </w:p>
        </w:tc>
        <w:tc>
          <w:tcPr>
            <w:tcW w:w="20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Borders>
              <w:bottom w:val="single" w:sz="8" w:color="CFF2FA"/>
            </w:tcBorders>
            <w:shd w:val="clear" w:color="auto" w:fill="CFF2FA"/>
          </w:tcPr>
          <w:p>
            <w:pPr>
              <w:spacing w:after="0"/>
              <w:rPr>
                <w:sz w:val="19"/>
                <w:szCs w:val="19"/>
                <w:color w:val="auto"/>
              </w:rPr>
            </w:pPr>
          </w:p>
        </w:tc>
        <w:tc>
          <w:tcPr>
            <w:tcW w:w="108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left="834"/>
              <w:spacing w:after="0"/>
              <w:rPr>
                <w:sz w:val="20"/>
                <w:szCs w:val="20"/>
                <w:color w:val="auto"/>
              </w:rPr>
            </w:pPr>
            <w:r>
              <w:rPr>
                <w:rFonts w:ascii="Arial" w:cs="Arial" w:eastAsia="Arial" w:hAnsi="Arial"/>
                <w:sz w:val="14"/>
                <w:szCs w:val="14"/>
                <w:b w:val="1"/>
                <w:bCs w:val="1"/>
                <w:color w:val="auto"/>
                <w:w w:val="92"/>
              </w:rPr>
              <w:t>As of December 31, 2015</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Aggregate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 xml:space="preserve">Maturities </w:t>
            </w:r>
            <w:r>
              <w:rPr>
                <w:rFonts w:ascii="Arial" w:cs="Arial" w:eastAsia="Arial" w:hAnsi="Arial"/>
                <w:sz w:val="14"/>
                <w:szCs w:val="14"/>
                <w:b w:val="1"/>
                <w:bCs w:val="1"/>
                <w:i w:val="1"/>
                <w:iCs w:val="1"/>
                <w:color w:val="auto"/>
                <w:w w:val="96"/>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8"/>
              </w:rPr>
              <w:t>Cost Basis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MARKETABLE SECURITIES:</w:t>
            </w:r>
          </w:p>
        </w:tc>
        <w:tc>
          <w:tcPr>
            <w:tcW w:w="98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spacing w:after="0"/>
              <w:rPr>
                <w:sz w:val="19"/>
                <w:szCs w:val="19"/>
                <w:color w:val="auto"/>
              </w:rPr>
            </w:pPr>
          </w:p>
        </w:tc>
        <w:tc>
          <w:tcPr>
            <w:tcW w:w="940" w:type="dxa"/>
            <w:vAlign w:val="bottom"/>
            <w:tcBorders>
              <w:top w:val="single" w:sz="8" w:color="auto"/>
            </w:tcBorders>
            <w:shd w:val="clear" w:color="auto" w:fill="CFF2FA"/>
          </w:tcPr>
          <w:p>
            <w:pPr>
              <w:spacing w:after="0"/>
              <w:rPr>
                <w:sz w:val="19"/>
                <w:szCs w:val="19"/>
                <w:color w:val="auto"/>
              </w:rPr>
            </w:pPr>
          </w:p>
        </w:tc>
        <w:tc>
          <w:tcPr>
            <w:tcW w:w="20" w:type="dxa"/>
            <w:vAlign w:val="bottom"/>
            <w:tcBorders>
              <w:top w:val="single" w:sz="8" w:color="auto"/>
            </w:tcBorders>
            <w:shd w:val="clear" w:color="auto" w:fill="CFF2FA"/>
          </w:tcPr>
          <w:p>
            <w:pPr>
              <w:spacing w:after="0"/>
              <w:rPr>
                <w:sz w:val="19"/>
                <w:szCs w:val="19"/>
                <w:color w:val="auto"/>
              </w:rPr>
            </w:pPr>
          </w:p>
        </w:tc>
        <w:tc>
          <w:tcPr>
            <w:tcW w:w="20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spacing w:after="0"/>
              <w:rPr>
                <w:sz w:val="19"/>
                <w:szCs w:val="19"/>
                <w:color w:val="auto"/>
              </w:rPr>
            </w:pPr>
          </w:p>
        </w:tc>
        <w:tc>
          <w:tcPr>
            <w:tcW w:w="960" w:type="dxa"/>
            <w:vAlign w:val="bottom"/>
            <w:tcBorders>
              <w:top w:val="single" w:sz="8" w:color="auto"/>
            </w:tcBorders>
            <w:shd w:val="clear" w:color="auto" w:fill="CFF2FA"/>
          </w:tcPr>
          <w:p>
            <w:pPr>
              <w:spacing w:after="0"/>
              <w:rPr>
                <w:sz w:val="19"/>
                <w:szCs w:val="19"/>
                <w:color w:val="auto"/>
              </w:rPr>
            </w:pPr>
          </w:p>
        </w:tc>
        <w:tc>
          <w:tcPr>
            <w:tcW w:w="200" w:type="dxa"/>
            <w:vAlign w:val="bottom"/>
            <w:tcBorders>
              <w:top w:val="single" w:sz="8" w:color="CFF2FA"/>
            </w:tcBorders>
            <w:shd w:val="clear" w:color="auto" w:fill="CFF2FA"/>
          </w:tcPr>
          <w:p>
            <w:pPr>
              <w:spacing w:after="0"/>
              <w:rPr>
                <w:sz w:val="19"/>
                <w:szCs w:val="19"/>
                <w:color w:val="auto"/>
              </w:rPr>
            </w:pPr>
          </w:p>
        </w:tc>
        <w:tc>
          <w:tcPr>
            <w:tcW w:w="1080" w:type="dxa"/>
            <w:vAlign w:val="bottom"/>
            <w:tcBorders>
              <w:top w:val="single" w:sz="8" w:color="auto"/>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Short-term municipal bonds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Short-term certificates of deposit</w:t>
            </w:r>
          </w:p>
        </w:tc>
        <w:tc>
          <w:tcPr>
            <w:tcW w:w="98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auto"/>
            </w:tcBorders>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Total short-term marketable securities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spacing w:after="0"/>
              <w:rPr>
                <w:sz w:val="19"/>
                <w:szCs w:val="19"/>
                <w:color w:val="auto"/>
              </w:rPr>
            </w:pP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4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Long-term U.S. government treasury bonds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Long-term municipal bonds</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Long-term U.S. government agency bonds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Long-term certificates of deposit</w:t>
            </w:r>
          </w:p>
        </w:tc>
        <w:tc>
          <w:tcPr>
            <w:tcW w:w="98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2FA"/>
            </w:tcBorders>
          </w:tcPr>
          <w:p>
            <w:pPr>
              <w:ind w:left="720"/>
              <w:spacing w:after="0"/>
              <w:rPr>
                <w:sz w:val="20"/>
                <w:szCs w:val="20"/>
                <w:color w:val="auto"/>
              </w:rPr>
            </w:pPr>
            <w:r>
              <w:rPr>
                <w:rFonts w:ascii="Arial" w:cs="Arial" w:eastAsia="Arial" w:hAnsi="Arial"/>
                <w:sz w:val="18"/>
                <w:szCs w:val="18"/>
                <w:color w:val="auto"/>
              </w:rPr>
              <w:t>Total long-term marketable securities</w:t>
            </w:r>
          </w:p>
        </w:tc>
        <w:tc>
          <w:tcPr>
            <w:tcW w:w="9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FF2FA"/>
            </w:tcBorders>
          </w:tcPr>
          <w:p>
            <w:pPr>
              <w:spacing w:after="0"/>
              <w:rPr>
                <w:sz w:val="19"/>
                <w:szCs w:val="19"/>
                <w:color w:val="auto"/>
              </w:rPr>
            </w:pPr>
          </w:p>
        </w:tc>
        <w:tc>
          <w:tcPr>
            <w:tcW w:w="108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2FA"/>
            </w:tcBorders>
            <w:shd w:val="clear" w:color="auto" w:fill="CFF2FA"/>
          </w:tcPr>
          <w:p>
            <w:pPr>
              <w:ind w:left="980"/>
              <w:spacing w:after="0"/>
              <w:rPr>
                <w:sz w:val="20"/>
                <w:szCs w:val="20"/>
                <w:color w:val="auto"/>
              </w:rPr>
            </w:pPr>
            <w:r>
              <w:rPr>
                <w:rFonts w:ascii="Arial" w:cs="Arial" w:eastAsia="Arial" w:hAnsi="Arial"/>
                <w:sz w:val="18"/>
                <w:szCs w:val="18"/>
                <w:color w:val="auto"/>
              </w:rPr>
              <w:t>Total marketable securities</w:t>
            </w:r>
          </w:p>
        </w:tc>
        <w:tc>
          <w:tcPr>
            <w:tcW w:w="98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53.9</w:t>
            </w:r>
          </w:p>
        </w:tc>
        <w:tc>
          <w:tcPr>
            <w:tcW w:w="20" w:type="dxa"/>
            <w:vAlign w:val="bottom"/>
            <w:tcBorders>
              <w:bottom w:val="single" w:sz="8" w:color="auto"/>
            </w:tcBorders>
            <w:shd w:val="clear" w:color="auto" w:fill="CFF2FA"/>
          </w:tcPr>
          <w:p>
            <w:pPr>
              <w:spacing w:after="0"/>
              <w:rPr>
                <w:sz w:val="19"/>
                <w:szCs w:val="19"/>
                <w:color w:val="auto"/>
              </w:rPr>
            </w:pPr>
          </w:p>
        </w:tc>
        <w:tc>
          <w:tcPr>
            <w:tcW w:w="20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Borders>
              <w:bottom w:val="single" w:sz="8" w:color="CFF2FA"/>
            </w:tcBorders>
            <w:shd w:val="clear" w:color="auto" w:fill="CFF2FA"/>
          </w:tcPr>
          <w:p>
            <w:pPr>
              <w:spacing w:after="0"/>
              <w:rPr>
                <w:sz w:val="19"/>
                <w:szCs w:val="19"/>
                <w:color w:val="auto"/>
              </w:rPr>
            </w:pPr>
          </w:p>
        </w:tc>
        <w:tc>
          <w:tcPr>
            <w:tcW w:w="108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700" w:right="100" w:hanging="558"/>
        <w:spacing w:after="0" w:line="277" w:lineRule="auto"/>
        <w:tabs>
          <w:tab w:leader="none" w:pos="1700" w:val="left"/>
        </w:tabs>
        <w:numPr>
          <w:ilvl w:val="1"/>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 Securities available for sale include obligations with various contractual maturity dates some of which are greater than</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The Company considers the securities to be liquid and convertible to cash within 30 days.</w:t>
      </w:r>
    </w:p>
    <w:p>
      <w:pPr>
        <w:spacing w:after="0" w:line="58" w:lineRule="exact"/>
        <w:rPr>
          <w:rFonts w:ascii="Arial" w:cs="Arial" w:eastAsia="Arial" w:hAnsi="Arial"/>
          <w:sz w:val="18"/>
          <w:szCs w:val="18"/>
          <w:i w:val="1"/>
          <w:iCs w:val="1"/>
          <w:color w:val="auto"/>
        </w:rPr>
      </w:pPr>
    </w:p>
    <w:p>
      <w:pPr>
        <w:ind w:left="1120" w:hanging="1112"/>
        <w:spacing w:after="0"/>
        <w:tabs>
          <w:tab w:leader="none" w:pos="11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-470535</wp:posOffset>
            </wp:positionV>
            <wp:extent cx="13379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2012, NCM LLC terminated interest rate swap agreements that were used to hedge its interest rate risk associated with its term</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loan. Following the termination of the swap agreements, the variable interest rate on NCM LLC’s $270.0 million term loan is unhedged and as of December 29, 2016 and December 31, 2015, the Company did not have any outstanding derivative assets or liabilities. A portion of the breakage fees paid to terminate the swap agreements was for swaps in which the underlying debt remained outstanding. The balance in AOCI related to these swaps was fixed and was amortized into earnings over the remaining period during which interest payments were hedged, or February 13, 2015. The Company considered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states that amounts in AOCI shall be reclassified into earnings in the same period or periods during which the hedged forecasted transaction affects earnings. As of December 29, 2016, there were no amounts outstanding related to these discontinued cash flow hedges.</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changes in AOCI by component for the years ended December 29, 2016, December 31, 2015 and January 1, 2015 were as follows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Years Ended</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Income Statement</w:t>
            </w: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1"/>
                <w:szCs w:val="11"/>
                <w:color w:val="auto"/>
              </w:rPr>
            </w:pPr>
          </w:p>
        </w:tc>
        <w:tc>
          <w:tcPr>
            <w:tcW w:w="96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2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Amounts reclassified from AOCI:</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on discontinued cash flow hedges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Amortization of terminated</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20"/>
                <w:szCs w:val="20"/>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derivatives</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amounts reclassified from AOCI</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tcPr>
          <w:p>
            <w:pPr>
              <w:spacing w:after="0"/>
              <w:rPr>
                <w:sz w:val="19"/>
                <w:szCs w:val="19"/>
                <w:color w:val="auto"/>
              </w:rPr>
            </w:pPr>
          </w:p>
        </w:tc>
        <w:tc>
          <w:tcPr>
            <w:tcW w:w="23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 on reclassifications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Tax effect on reclassifications</w:t>
            </w:r>
          </w:p>
        </w:tc>
        <w:tc>
          <w:tcPr>
            <w:tcW w:w="120" w:type="dxa"/>
            <w:vAlign w:val="bottom"/>
          </w:tcPr>
          <w:p>
            <w:pPr>
              <w:spacing w:after="0"/>
              <w:rPr>
                <w:sz w:val="19"/>
                <w:szCs w:val="19"/>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FF0FC"/>
            </w:tcBorders>
            <w:shd w:val="clear" w:color="auto" w:fill="CFF0FC"/>
          </w:tcPr>
          <w:p>
            <w:pPr>
              <w:spacing w:after="0"/>
              <w:rPr>
                <w:sz w:val="19"/>
                <w:szCs w:val="19"/>
                <w:color w:val="auto"/>
              </w:rPr>
            </w:pPr>
          </w:p>
        </w:tc>
        <w:tc>
          <w:tcPr>
            <w:tcW w:w="23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Impact of subsidiary ownership changes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3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120" w:hanging="1112"/>
        <w:spacing w:after="0"/>
        <w:tabs>
          <w:tab w:leader="none" w:pos="11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Company’s allowance for doubtful accounts for the years ended December 29, 2016, December 31, 2015 and January 1, 2015 was as follows (in millions):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133"/>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w w:val="90"/>
              </w:rPr>
              <w:t>December 29,</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6"/>
              <w:spacing w:after="0" w:line="133" w:lineRule="exact"/>
              <w:rPr>
                <w:sz w:val="20"/>
                <w:szCs w:val="20"/>
                <w:color w:val="auto"/>
              </w:rPr>
            </w:pPr>
            <w:r>
              <w:rPr>
                <w:rFonts w:ascii="Arial" w:cs="Arial" w:eastAsia="Arial" w:hAnsi="Arial"/>
                <w:sz w:val="14"/>
                <w:szCs w:val="14"/>
                <w:b w:val="1"/>
                <w:bCs w:val="1"/>
                <w:color w:val="auto"/>
                <w:w w:val="98"/>
              </w:rPr>
              <w:t>January 1,</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448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bad debt</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Write-offs, net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ind w:left="1120" w:hanging="1112"/>
        <w:spacing w:after="0"/>
        <w:tabs>
          <w:tab w:leader="none" w:pos="11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represents selected information from the Company’s unaudited quarterly Consolidated Statements of Income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2016 and December 31, 2015 (in millions,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First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14"/>
              <w:spacing w:after="0"/>
              <w:rPr>
                <w:sz w:val="20"/>
                <w:szCs w:val="20"/>
                <w:color w:val="auto"/>
              </w:rPr>
            </w:pPr>
            <w:r>
              <w:rPr>
                <w:rFonts w:ascii="Arial" w:cs="Arial" w:eastAsia="Arial" w:hAnsi="Arial"/>
                <w:sz w:val="14"/>
                <w:szCs w:val="14"/>
                <w:b w:val="1"/>
                <w:bCs w:val="1"/>
                <w:color w:val="auto"/>
                <w:w w:val="86"/>
              </w:rPr>
              <w:t>Second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14"/>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Fourth</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14"/>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34"/>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Consolidated net (loss) income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(Loss) Net income attributable to NCM, Inc.</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 xml:space="preserve">(Loss) Earnings per NCM, Inc. share, basic </w:t>
            </w:r>
            <w:r>
              <w:rPr>
                <w:rFonts w:ascii="Arial" w:cs="Arial" w:eastAsia="Arial" w:hAnsi="Arial"/>
                <w:sz w:val="18"/>
                <w:szCs w:val="18"/>
                <w:i w:val="1"/>
                <w:iCs w:val="1"/>
                <w:color w:val="auto"/>
              </w:rPr>
              <w:t>(1)</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(Loss) Earnings per NCM, Inc. share, diluted </w:t>
            </w:r>
            <w:r>
              <w:rPr>
                <w:rFonts w:ascii="Arial" w:cs="Arial" w:eastAsia="Arial" w:hAnsi="Arial"/>
                <w:sz w:val="18"/>
                <w:szCs w:val="18"/>
                <w:i w:val="1"/>
                <w:iCs w:val="1"/>
                <w:color w:val="auto"/>
              </w:rPr>
              <w:t>(1)</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48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2015</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First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114"/>
              <w:spacing w:after="0"/>
              <w:rPr>
                <w:sz w:val="20"/>
                <w:szCs w:val="20"/>
                <w:color w:val="auto"/>
              </w:rPr>
            </w:pPr>
            <w:r>
              <w:rPr>
                <w:rFonts w:ascii="Arial" w:cs="Arial" w:eastAsia="Arial" w:hAnsi="Arial"/>
                <w:sz w:val="14"/>
                <w:szCs w:val="14"/>
                <w:b w:val="1"/>
                <w:bCs w:val="1"/>
                <w:color w:val="auto"/>
                <w:w w:val="86"/>
              </w:rPr>
              <w:t>Second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114"/>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Fourth</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14"/>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34"/>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 income</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Consolidated net (loss) income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(Loss) Net income attributable to NCM, Inc.</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(Loss) Earnings per NCM, Inc. share, basic (1)</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(Loss) Earnings per NCM, Inc. share, diluted (1)</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80" w:type="dxa"/>
            <w:vAlign w:val="bottom"/>
            <w:gridSpan w:val="3"/>
          </w:tcPr>
          <w:p>
            <w:pPr>
              <w:jc w:val="right"/>
              <w:ind w:right="145"/>
              <w:spacing w:after="0"/>
              <w:rPr>
                <w:sz w:val="20"/>
                <w:szCs w:val="20"/>
                <w:color w:val="auto"/>
              </w:rPr>
            </w:pPr>
            <w:r>
              <w:rPr>
                <w:rFonts w:ascii="Arial" w:cs="Arial" w:eastAsia="Arial" w:hAnsi="Arial"/>
                <w:sz w:val="18"/>
                <w:szCs w:val="18"/>
                <w:color w:val="auto"/>
              </w:rPr>
              <w:t>F-36</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7" w:name="page98"/>
    <w:bookmarkEnd w:id="97"/>
    <w:p>
      <w:pPr>
        <w:jc w:val="center"/>
        <w:ind w:right="-1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228600</wp:posOffset>
            </wp:positionV>
            <wp:extent cx="17151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120" w:right="140" w:hanging="558"/>
        <w:spacing w:after="0" w:line="342" w:lineRule="auto"/>
        <w:tabs>
          <w:tab w:leader="none" w:pos="1120" w:val="left"/>
        </w:tabs>
        <w:numPr>
          <w:ilvl w:val="1"/>
          <w:numId w:val="61"/>
        </w:numPr>
        <w:rPr>
          <w:rFonts w:ascii="Arial" w:cs="Arial" w:eastAsia="Arial" w:hAnsi="Arial"/>
          <w:sz w:val="16"/>
          <w:szCs w:val="16"/>
          <w:i w:val="1"/>
          <w:iCs w:val="1"/>
          <w:color w:val="auto"/>
        </w:rPr>
      </w:pPr>
      <w:r>
        <w:rPr>
          <w:rFonts w:ascii="Arial" w:cs="Arial" w:eastAsia="Arial" w:hAnsi="Arial"/>
          <w:sz w:val="16"/>
          <w:szCs w:val="16"/>
          <w:color w:val="auto"/>
        </w:rPr>
        <w:t>Earnings per share in each quarter is computed using the weighted-average number of common shares outstanding during that quarter while earnings per share for the full year is computed using the weighted average number of common shares outstanding during the year.</w:t>
      </w:r>
    </w:p>
    <w:p>
      <w:pPr>
        <w:spacing w:after="0" w:line="11" w:lineRule="exact"/>
        <w:rPr>
          <w:rFonts w:ascii="Arial" w:cs="Arial" w:eastAsia="Arial" w:hAnsi="Arial"/>
          <w:sz w:val="16"/>
          <w:szCs w:val="16"/>
          <w:i w:val="1"/>
          <w:iCs w:val="1"/>
          <w:color w:val="auto"/>
        </w:rPr>
      </w:pPr>
    </w:p>
    <w:p>
      <w:pPr>
        <w:ind w:left="1120" w:hanging="1112"/>
        <w:spacing w:after="0"/>
        <w:tabs>
          <w:tab w:leader="none" w:pos="11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On January 19, 2017, the Company declared a cash dividend of $0.22 per share (approximately $13.3 million) on each share of the Company’s common stock (not including outstanding restricted stock which will accrue dividends until the shares vest) to stockholders of record on March 9, 2017 to be paid on March 23, 2017.</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20"/>
          </w:cols>
          <w:pgMar w:left="24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10.26.9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RESTRICTED STOCK AGREEMENT</w:t>
      </w:r>
    </w:p>
    <w:p>
      <w:pPr>
        <w:spacing w:after="0" w:line="225"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8"/>
          <w:szCs w:val="18"/>
          <w:color w:val="auto"/>
        </w:rPr>
        <w:t xml:space="preserve">The Compensation Committee of the Board of Directors of National CineMedia,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granted shares of Restricted Stock to be issued under the National CineMedia, Inc. 2016 Equity Incentive Plan, as amended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to the Grantee named below. This Restricted Stock Agreement (the </w:t>
      </w:r>
      <w:r>
        <w:rPr>
          <w:rFonts w:ascii="Arial" w:cs="Arial" w:eastAsia="Arial" w:hAnsi="Arial"/>
          <w:sz w:val="18"/>
          <w:szCs w:val="18"/>
          <w:b w:val="1"/>
          <w:bCs w:val="1"/>
          <w:color w:val="auto"/>
        </w:rPr>
        <w:t>“Agreement”</w:t>
      </w:r>
      <w:r>
        <w:rPr>
          <w:rFonts w:ascii="Arial" w:cs="Arial" w:eastAsia="Arial" w:hAnsi="Arial"/>
          <w:sz w:val="18"/>
          <w:szCs w:val="18"/>
          <w:color w:val="auto"/>
        </w:rPr>
        <w:t>) evidences the terms of the Company’s grant of Restricted Stock. Any capitalized term in this Agreement shall have the meaning assigned to it in this Agreement or in the Plan, as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NOTICE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Except as provided otherwise in this Agreement or the Plan (including but not limited to Section 14.2 of the Plan which provides for</w:t>
      </w:r>
      <w:r>
        <w:rPr>
          <w:rFonts w:ascii="Arial" w:cs="Arial" w:eastAsia="Arial" w:hAnsi="Arial"/>
          <w:sz w:val="18"/>
          <w:szCs w:val="18"/>
          <w:b w:val="1"/>
          <w:bCs w:val="1"/>
          <w:color w:val="auto"/>
        </w:rPr>
        <w:t xml:space="preserve"> </w:t>
      </w:r>
      <w:r>
        <w:rPr>
          <w:rFonts w:ascii="Arial" w:cs="Arial" w:eastAsia="Arial" w:hAnsi="Arial"/>
          <w:sz w:val="18"/>
          <w:szCs w:val="18"/>
          <w:color w:val="auto"/>
        </w:rPr>
        <w:t>accelerated vesting upon certain terminations in connection with a Change of Control), and subject to Grantee’s continuous Service, the Restricted Stock shall vest and the restrictions set forth in Section 2 of this Agreement shall lapse as follows:</w:t>
      </w:r>
    </w:p>
    <w:p>
      <w:pPr>
        <w:spacing w:after="0" w:line="200" w:lineRule="exact"/>
        <w:rPr>
          <w:sz w:val="20"/>
          <w:szCs w:val="20"/>
          <w:color w:val="auto"/>
        </w:rPr>
      </w:pPr>
    </w:p>
    <w:p>
      <w:pPr>
        <w:spacing w:after="0" w:line="341"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760" w:type="dxa"/>
            <w:vAlign w:val="bottom"/>
            <w:vMerge w:val="restart"/>
          </w:tcPr>
          <w:p>
            <w:pPr>
              <w:spacing w:after="0"/>
              <w:rPr>
                <w:sz w:val="20"/>
                <w:szCs w:val="20"/>
                <w:color w:val="auto"/>
              </w:rPr>
            </w:pPr>
            <w:r>
              <w:rPr>
                <w:rFonts w:ascii="Arial" w:cs="Arial" w:eastAsia="Arial" w:hAnsi="Arial"/>
                <w:sz w:val="18"/>
                <w:szCs w:val="18"/>
                <w:b w:val="1"/>
                <w:bCs w:val="1"/>
                <w:color w:val="auto"/>
              </w:rPr>
              <w:t>Service Vesting Date</w:t>
            </w:r>
          </w:p>
        </w:tc>
        <w:tc>
          <w:tcPr>
            <w:tcW w:w="3280" w:type="dxa"/>
            <w:vAlign w:val="bottom"/>
          </w:tcPr>
          <w:p>
            <w:pPr>
              <w:ind w:left="1240"/>
              <w:spacing w:after="0"/>
              <w:rPr>
                <w:sz w:val="20"/>
                <w:szCs w:val="20"/>
                <w:color w:val="auto"/>
              </w:rPr>
            </w:pPr>
            <w:r>
              <w:rPr>
                <w:rFonts w:ascii="Arial" w:cs="Arial" w:eastAsia="Arial" w:hAnsi="Arial"/>
                <w:sz w:val="18"/>
                <w:szCs w:val="18"/>
                <w:b w:val="1"/>
                <w:bCs w:val="1"/>
                <w:color w:val="auto"/>
              </w:rPr>
              <w:t>Percentage of</w:t>
            </w:r>
          </w:p>
        </w:tc>
        <w:tc>
          <w:tcPr>
            <w:tcW w:w="2120" w:type="dxa"/>
            <w:vAlign w:val="bottom"/>
          </w:tcPr>
          <w:p>
            <w:pPr>
              <w:jc w:val="center"/>
              <w:ind w:left="75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34"/>
        </w:trPr>
        <w:tc>
          <w:tcPr>
            <w:tcW w:w="2760" w:type="dxa"/>
            <w:vAlign w:val="bottom"/>
            <w:vMerge w:val="continue"/>
          </w:tcPr>
          <w:p>
            <w:pPr>
              <w:spacing w:after="0"/>
              <w:rPr>
                <w:sz w:val="20"/>
                <w:szCs w:val="20"/>
                <w:color w:val="auto"/>
              </w:rPr>
            </w:pPr>
          </w:p>
        </w:tc>
        <w:tc>
          <w:tcPr>
            <w:tcW w:w="3280" w:type="dxa"/>
            <w:vAlign w:val="bottom"/>
          </w:tcPr>
          <w:p>
            <w:pPr>
              <w:ind w:left="1180"/>
              <w:spacing w:after="0"/>
              <w:rPr>
                <w:sz w:val="20"/>
                <w:szCs w:val="20"/>
                <w:color w:val="auto"/>
              </w:rPr>
            </w:pPr>
            <w:r>
              <w:rPr>
                <w:rFonts w:ascii="Arial" w:cs="Arial" w:eastAsia="Arial" w:hAnsi="Arial"/>
                <w:sz w:val="18"/>
                <w:szCs w:val="18"/>
                <w:b w:val="1"/>
                <w:bCs w:val="1"/>
                <w:color w:val="auto"/>
              </w:rPr>
              <w:t>Shares that Vest</w:t>
            </w:r>
          </w:p>
        </w:tc>
        <w:tc>
          <w:tcPr>
            <w:tcW w:w="2120" w:type="dxa"/>
            <w:vAlign w:val="bottom"/>
          </w:tcPr>
          <w:p>
            <w:pPr>
              <w:jc w:val="center"/>
              <w:ind w:left="790"/>
              <w:spacing w:after="0"/>
              <w:rPr>
                <w:sz w:val="20"/>
                <w:szCs w:val="20"/>
                <w:color w:val="auto"/>
              </w:rPr>
            </w:pPr>
            <w:r>
              <w:rPr>
                <w:rFonts w:ascii="Arial" w:cs="Arial" w:eastAsia="Arial" w:hAnsi="Arial"/>
                <w:sz w:val="18"/>
                <w:szCs w:val="18"/>
                <w:b w:val="1"/>
                <w:bCs w:val="1"/>
                <w:color w:val="auto"/>
                <w:w w:val="87"/>
              </w:rPr>
              <w:t>Shares that Vest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-7620</wp:posOffset>
            </wp:positionV>
            <wp:extent cx="18440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33.3%</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300" w:hanging="247"/>
        <w:spacing w:after="0"/>
        <w:tabs>
          <w:tab w:leader="none" w:pos="430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AGREEMENT</w:t>
      </w:r>
    </w:p>
    <w:p>
      <w:pPr>
        <w:spacing w:after="0" w:line="225" w:lineRule="exact"/>
        <w:rPr>
          <w:rFonts w:ascii="Arial" w:cs="Arial" w:eastAsia="Arial" w:hAnsi="Arial"/>
          <w:sz w:val="18"/>
          <w:szCs w:val="18"/>
          <w:b w:val="1"/>
          <w:bCs w:val="1"/>
          <w:color w:val="auto"/>
        </w:rPr>
      </w:pPr>
    </w:p>
    <w:p>
      <w:pPr>
        <w:jc w:val="both"/>
        <w:ind w:firstLine="885"/>
        <w:spacing w:after="0" w:line="261" w:lineRule="auto"/>
        <w:tabs>
          <w:tab w:leader="none" w:pos="1661"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Grant and Issuance of Restricted Stock. </w:t>
      </w:r>
      <w:r>
        <w:rPr>
          <w:rFonts w:ascii="Arial" w:cs="Arial" w:eastAsia="Arial" w:hAnsi="Arial"/>
          <w:sz w:val="18"/>
          <w:szCs w:val="18"/>
          <w:color w:val="auto"/>
        </w:rPr>
        <w:t>Subject to the terms and conditions of this Agreement and the Plan, the Company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to Grantee, the number of shares of Restricted Stock set forth in the Notice of Grant, 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w:t>
      </w:r>
    </w:p>
    <w:p>
      <w:pPr>
        <w:spacing w:after="0" w:line="180" w:lineRule="exact"/>
        <w:rPr>
          <w:rFonts w:ascii="Arial" w:cs="Arial" w:eastAsia="Arial" w:hAnsi="Arial"/>
          <w:sz w:val="18"/>
          <w:szCs w:val="18"/>
          <w:color w:val="auto"/>
        </w:rPr>
      </w:pPr>
    </w:p>
    <w:p>
      <w:pPr>
        <w:jc w:val="both"/>
        <w:ind w:firstLine="885"/>
        <w:spacing w:after="0" w:line="261" w:lineRule="auto"/>
        <w:tabs>
          <w:tab w:leader="none" w:pos="1661"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Forfeiture Restrictions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shall not sell, transfer, assign, pledge or otherwise encumber or dispose of, by operation of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otherwise, the Restricted Stock for the period commencing on the Grant Date and ending on the Service Vesting Date (the </w:t>
      </w:r>
      <w:r>
        <w:rPr>
          <w:rFonts w:ascii="Arial" w:cs="Arial" w:eastAsia="Arial" w:hAnsi="Arial"/>
          <w:sz w:val="18"/>
          <w:szCs w:val="18"/>
          <w:b w:val="1"/>
          <w:bCs w:val="1"/>
          <w:color w:val="auto"/>
        </w:rPr>
        <w:t>“Restriction Period”</w:t>
      </w:r>
      <w:r>
        <w:rPr>
          <w:rFonts w:ascii="Arial" w:cs="Arial" w:eastAsia="Arial" w:hAnsi="Arial"/>
          <w:sz w:val="18"/>
          <w:szCs w:val="18"/>
          <w:color w:val="auto"/>
        </w:rPr>
        <w:t>). Upon vesting on the Service Vesting Date, the restrictions in this Section 2 shall lapse and Grantee may transfer the shares of Stock in accordance with applicable securities law requirements and the Company’s policies and procedures.</w:t>
      </w:r>
    </w:p>
    <w:p>
      <w:pPr>
        <w:spacing w:after="0" w:line="180" w:lineRule="exact"/>
        <w:rPr>
          <w:rFonts w:ascii="Arial" w:cs="Arial" w:eastAsia="Arial" w:hAnsi="Arial"/>
          <w:sz w:val="18"/>
          <w:szCs w:val="18"/>
          <w:color w:val="auto"/>
        </w:rPr>
      </w:pPr>
    </w:p>
    <w:p>
      <w:pPr>
        <w:jc w:val="both"/>
        <w:ind w:firstLine="885"/>
        <w:spacing w:after="0" w:line="261" w:lineRule="auto"/>
        <w:tabs>
          <w:tab w:leader="none" w:pos="1661"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Vesting; Lapse of Restrictions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otherwise in this Agreement and the Plan (including but not limited to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14.2 of the Plan which provides for accelerated vesting upon certain terminations in connection with a Change of Control), if Grantee has been in continuous Service since the Grant Date, the Restricted Stock shall vest as set forth on the Vesting Schedule in the Notice of Grant. Grantee shall forfeit the unvested portion of the Restricted Stock.</w:t>
      </w:r>
    </w:p>
    <w:p>
      <w:pPr>
        <w:spacing w:after="0" w:line="180" w:lineRule="exact"/>
        <w:rPr>
          <w:rFonts w:ascii="Arial" w:cs="Arial" w:eastAsia="Arial" w:hAnsi="Arial"/>
          <w:sz w:val="18"/>
          <w:szCs w:val="18"/>
          <w:color w:val="auto"/>
        </w:rPr>
      </w:pPr>
    </w:p>
    <w:p>
      <w:pPr>
        <w:ind w:firstLine="885"/>
        <w:spacing w:after="0" w:line="282" w:lineRule="auto"/>
        <w:tabs>
          <w:tab w:leader="none" w:pos="1661"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If Grantee terminates Service prior to the Service Vesting Date on account of death, Disability, or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other than for Cause, Grantee shall be entitled to retain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9" w:name="page100"/>
    <w:bookmarkEnd w:id="99"/>
    <w:p>
      <w:pPr>
        <w:jc w:val="both"/>
        <w:spacing w:after="0" w:line="273" w:lineRule="auto"/>
        <w:rPr>
          <w:sz w:val="20"/>
          <w:szCs w:val="20"/>
          <w:color w:val="auto"/>
        </w:rPr>
      </w:pPr>
      <w:r>
        <w:rPr>
          <w:rFonts w:ascii="Arial" w:cs="Arial" w:eastAsia="Arial" w:hAnsi="Arial"/>
          <w:sz w:val="17"/>
          <w:szCs w:val="17"/>
          <w:color w:val="auto"/>
        </w:rPr>
        <w:t xml:space="preserve">percentage of the Restricted Stock (the </w:t>
      </w:r>
      <w:r>
        <w:rPr>
          <w:rFonts w:ascii="Arial" w:cs="Arial" w:eastAsia="Arial" w:hAnsi="Arial"/>
          <w:sz w:val="17"/>
          <w:szCs w:val="17"/>
          <w:b w:val="1"/>
          <w:bCs w:val="1"/>
          <w:color w:val="auto"/>
        </w:rPr>
        <w:t>“Retained Shares”</w:t>
      </w:r>
      <w:r>
        <w:rPr>
          <w:rFonts w:ascii="Arial" w:cs="Arial" w:eastAsia="Arial" w:hAnsi="Arial"/>
          <w:sz w:val="17"/>
          <w:szCs w:val="17"/>
          <w:color w:val="auto"/>
        </w:rPr>
        <w:t>) equal to the ratio that the number of days of Service of Grantee during the Vesting Period bears to the total number of days in the Vesting Period. The Retained Shares of Restricted Stock shall immediately vest on the date Grantee terminates Service and the remaining shares of Restricted Stock shall be forfeited upon Grantee’s termination of Service. If Grantee terminates Service prior to the Service Vesting Date as a result of termination by the Company for Cause or voluntary termination by Grantee, all unvested shares of Restricted Stock shall be forfeited upon Grantee’s termination of Service. Upon forfeiture of the shares of Restricted Stock, Grantee shall have no further rights with respect to such shares, including but not limited to any right to vote the shares or any right to receive dividends. Section 14.2 of the Plan provides for accelerated vesting with respect to certain terminations in connection with a Change of Control.</w:t>
      </w:r>
    </w:p>
    <w:p>
      <w:pPr>
        <w:spacing w:after="0" w:line="172" w:lineRule="exact"/>
        <w:rPr>
          <w:sz w:val="20"/>
          <w:szCs w:val="20"/>
          <w:color w:val="auto"/>
        </w:rPr>
      </w:pPr>
    </w:p>
    <w:p>
      <w:pPr>
        <w:jc w:val="both"/>
        <w:ind w:firstLine="885"/>
        <w:spacing w:after="0" w:line="256" w:lineRule="auto"/>
        <w:tabs>
          <w:tab w:leader="none" w:pos="1661"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Leave of Absence. </w:t>
      </w:r>
      <w:r>
        <w:rPr>
          <w:rFonts w:ascii="Arial" w:cs="Arial" w:eastAsia="Arial" w:hAnsi="Arial"/>
          <w:sz w:val="18"/>
          <w:szCs w:val="18"/>
          <w:color w:val="auto"/>
        </w:rPr>
        <w:t>For purposes of the Restricted Stock, Service does not terminate when Grantee goes on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leave</w:t>
      </w:r>
      <w:r>
        <w:rPr>
          <w:rFonts w:ascii="Arial" w:cs="Arial" w:eastAsia="Arial" w:hAnsi="Arial"/>
          <w:sz w:val="18"/>
          <w:szCs w:val="18"/>
          <w:b w:val="1"/>
          <w:bCs w:val="1"/>
          <w:color w:val="auto"/>
        </w:rPr>
        <w:t xml:space="preserve"> </w:t>
      </w:r>
      <w:r>
        <w:rPr>
          <w:rFonts w:ascii="Arial" w:cs="Arial" w:eastAsia="Arial" w:hAnsi="Arial"/>
          <w:sz w:val="18"/>
          <w:szCs w:val="18"/>
          <w:color w:val="auto"/>
        </w:rPr>
        <w:t>of absence that was approved by the 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187" w:lineRule="exact"/>
        <w:rPr>
          <w:rFonts w:ascii="Arial" w:cs="Arial" w:eastAsia="Arial" w:hAnsi="Arial"/>
          <w:sz w:val="18"/>
          <w:szCs w:val="18"/>
          <w:color w:val="auto"/>
        </w:rPr>
      </w:pPr>
    </w:p>
    <w:p>
      <w:pPr>
        <w:jc w:val="both"/>
        <w:ind w:firstLine="885"/>
        <w:spacing w:after="0" w:line="261" w:lineRule="auto"/>
        <w:tabs>
          <w:tab w:leader="none" w:pos="1661"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During the Restriction Period, regular and special or extraordinary cash dividends declared and paid with respect to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Restricted Stock shall be retained by the Company and shall be subject to the same vesting requirements as specified in the Notice of Grant above. Any retained dividends to which Grantee becomes entitled upon vesting on the Service Vesting Date shall be paid to Grantee on the Service Vesting Date, but in no event later than March 15 of the year following the calendar year when the shares vest.</w:t>
      </w:r>
    </w:p>
    <w:p>
      <w:pPr>
        <w:spacing w:after="0" w:line="180" w:lineRule="exact"/>
        <w:rPr>
          <w:rFonts w:ascii="Arial" w:cs="Arial" w:eastAsia="Arial" w:hAnsi="Arial"/>
          <w:sz w:val="18"/>
          <w:szCs w:val="18"/>
          <w:color w:val="auto"/>
        </w:rPr>
      </w:pPr>
    </w:p>
    <w:p>
      <w:pPr>
        <w:jc w:val="both"/>
        <w:ind w:firstLine="885"/>
        <w:spacing w:after="0" w:line="295" w:lineRule="auto"/>
        <w:tabs>
          <w:tab w:leader="none" w:pos="1661"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Purchase and Delivery of Shares. </w:t>
      </w:r>
      <w:r>
        <w:rPr>
          <w:rFonts w:ascii="Arial" w:cs="Arial" w:eastAsia="Arial" w:hAnsi="Arial"/>
          <w:sz w:val="16"/>
          <w:szCs w:val="16"/>
          <w:color w:val="auto"/>
        </w:rPr>
        <w:t>Grantee shall be required, to the extent required by applicable law, to purchase the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Restricted Stock from the Company at the aggregate par value of the shares of Stock represented by such Restricted Stock (the </w:t>
      </w:r>
      <w:r>
        <w:rPr>
          <w:rFonts w:ascii="Arial" w:cs="Arial" w:eastAsia="Arial" w:hAnsi="Arial"/>
          <w:sz w:val="16"/>
          <w:szCs w:val="16"/>
          <w:b w:val="1"/>
          <w:bCs w:val="1"/>
          <w:color w:val="auto"/>
        </w:rPr>
        <w:t>“Purchase Price”</w:t>
      </w:r>
      <w:r>
        <w:rPr>
          <w:rFonts w:ascii="Arial" w:cs="Arial" w:eastAsia="Arial" w:hAnsi="Arial"/>
          <w:sz w:val="16"/>
          <w:szCs w:val="16"/>
          <w:color w:val="auto"/>
        </w:rPr>
        <w:t>). The Purchase Price shall be payable in cash or in cash equivalents acceptable to the Company. Upon the expiration or termination of the Restriction Period, and the Grantee having properly paid the Purchase Price, the restrictions applicable to Restricted Stock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155" w:lineRule="exact"/>
        <w:rPr>
          <w:rFonts w:ascii="Arial" w:cs="Arial" w:eastAsia="Arial" w:hAnsi="Arial"/>
          <w:sz w:val="16"/>
          <w:szCs w:val="16"/>
          <w:color w:val="auto"/>
        </w:rPr>
      </w:pPr>
    </w:p>
    <w:p>
      <w:pPr>
        <w:ind w:firstLine="885"/>
        <w:spacing w:after="0" w:line="282" w:lineRule="auto"/>
        <w:tabs>
          <w:tab w:leader="none" w:pos="1661"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Enforcement of Restrictions. </w:t>
      </w:r>
      <w:r>
        <w:rPr>
          <w:rFonts w:ascii="Arial" w:cs="Arial" w:eastAsia="Arial" w:hAnsi="Arial"/>
          <w:sz w:val="18"/>
          <w:szCs w:val="18"/>
          <w:color w:val="auto"/>
        </w:rPr>
        <w:t>All certificates representing shares of Restricted Stock shall include applicable restrictive legends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restrictions on transfer and compliance with securities law requirements, as determined by the Committee.</w:t>
      </w:r>
    </w:p>
    <w:p>
      <w:pPr>
        <w:spacing w:after="0" w:line="161" w:lineRule="exact"/>
        <w:rPr>
          <w:rFonts w:ascii="Arial" w:cs="Arial" w:eastAsia="Arial" w:hAnsi="Arial"/>
          <w:sz w:val="18"/>
          <w:szCs w:val="18"/>
          <w:color w:val="auto"/>
        </w:rPr>
      </w:pPr>
    </w:p>
    <w:p>
      <w:pPr>
        <w:jc w:val="both"/>
        <w:ind w:firstLine="885"/>
        <w:spacing w:after="0" w:line="258" w:lineRule="auto"/>
        <w:tabs>
          <w:tab w:leader="none" w:pos="1661"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or any Affiliate shall have the right to deduct from payments of any kind otherwise due to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any federal, state, local or foreign taxes of any kind required by law to be withheld upon the 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 withholding with respect to the Award and to deduct any remaining amount due from any payments due to Grantee.</w:t>
      </w:r>
    </w:p>
    <w:p>
      <w:pPr>
        <w:spacing w:after="0" w:line="188"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7"/>
          <w:szCs w:val="17"/>
          <w:color w:val="auto"/>
        </w:rPr>
        <w:t>Notwithstanding the foregoing, in lieu of share withholding, Grantee may irrevocably elect to satisfy the required tax withholding obligation by delivering: (a) a cashier’s check or other check acceptable to the Company; or (b) whole shares of Stock already owned by Grantee, in the amount determined by the Company to satisfy the required tax withholding obligation. Any election to deliver a check or shares shall be irrevocable, made in writing, signed by Grantee and delivered to the General Counsel of the Company at least 30 days before the scheduled Service Vesting Date, and shall be subject to any restrictions or limitations that the Company, in its sole discretion, deems appropriate.</w:t>
      </w:r>
    </w:p>
    <w:p>
      <w:pPr>
        <w:spacing w:after="0" w:line="173"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0" w:name="page101"/>
    <w:bookmarkEnd w:id="100"/>
    <w:p>
      <w:pPr>
        <w:spacing w:after="0" w:line="277" w:lineRule="auto"/>
        <w:rPr>
          <w:sz w:val="20"/>
          <w:szCs w:val="20"/>
          <w:color w:val="auto"/>
        </w:rPr>
      </w:pPr>
      <w:r>
        <w:rPr>
          <w:rFonts w:ascii="Arial" w:cs="Arial" w:eastAsia="Arial" w:hAnsi="Arial"/>
          <w:sz w:val="18"/>
          <w:szCs w:val="18"/>
          <w:color w:val="auto"/>
        </w:rPr>
        <w:t>be determined. Shares used to satisfy any tax withholding obligation must be vested and cannot be subject to any repurchase, forfeiture, or other similar requirements.</w:t>
      </w:r>
    </w:p>
    <w:p>
      <w:pPr>
        <w:spacing w:after="0" w:line="166" w:lineRule="exact"/>
        <w:rPr>
          <w:sz w:val="20"/>
          <w:szCs w:val="20"/>
          <w:color w:val="auto"/>
        </w:rPr>
      </w:pPr>
    </w:p>
    <w:p>
      <w:pPr>
        <w:jc w:val="both"/>
        <w:ind w:firstLine="885"/>
        <w:spacing w:after="0" w:line="295" w:lineRule="auto"/>
        <w:tabs>
          <w:tab w:leader="none" w:pos="1751"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Effect of Prohibited Transfer. </w:t>
      </w:r>
      <w:r>
        <w:rPr>
          <w:rFonts w:ascii="Arial" w:cs="Arial" w:eastAsia="Arial" w:hAnsi="Arial"/>
          <w:sz w:val="16"/>
          <w:szCs w:val="16"/>
          <w:color w:val="auto"/>
        </w:rPr>
        <w:t>If any transfer of shares is made or attempted to be made contrary to the terms of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have 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155" w:lineRule="exact"/>
        <w:rPr>
          <w:rFonts w:ascii="Arial" w:cs="Arial" w:eastAsia="Arial" w:hAnsi="Arial"/>
          <w:sz w:val="16"/>
          <w:szCs w:val="16"/>
          <w:color w:val="auto"/>
        </w:rPr>
      </w:pPr>
    </w:p>
    <w:p>
      <w:pPr>
        <w:jc w:val="both"/>
        <w:ind w:firstLine="885"/>
        <w:spacing w:after="0" w:line="266" w:lineRule="auto"/>
        <w:tabs>
          <w:tab w:leader="none" w:pos="1744"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Investment Representations. </w:t>
      </w:r>
      <w:r>
        <w:rPr>
          <w:rFonts w:ascii="Arial" w:cs="Arial" w:eastAsia="Arial" w:hAnsi="Arial"/>
          <w:sz w:val="18"/>
          <w:szCs w:val="18"/>
          <w:color w:val="auto"/>
        </w:rPr>
        <w:t>The Committee may require Grantee (or Grantee’s estate or heirs) to represent and warrant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individual is acquiring the shares of Stock for investment and without any present intention to sell or distribute such shares and to make such other representations as are deemed necessary or appropriate by the Company and its counsel.</w:t>
      </w:r>
    </w:p>
    <w:p>
      <w:pPr>
        <w:spacing w:after="0" w:line="176" w:lineRule="exact"/>
        <w:rPr>
          <w:rFonts w:ascii="Arial" w:cs="Arial" w:eastAsia="Arial" w:hAnsi="Arial"/>
          <w:sz w:val="18"/>
          <w:szCs w:val="18"/>
          <w:color w:val="auto"/>
        </w:rPr>
      </w:pPr>
    </w:p>
    <w:p>
      <w:pPr>
        <w:jc w:val="both"/>
        <w:ind w:firstLine="885"/>
        <w:spacing w:after="0" w:line="266" w:lineRule="auto"/>
        <w:tabs>
          <w:tab w:leader="none" w:pos="1751"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Continued Service. </w:t>
      </w:r>
      <w:r>
        <w:rPr>
          <w:rFonts w:ascii="Arial" w:cs="Arial" w:eastAsia="Arial" w:hAnsi="Arial"/>
          <w:sz w:val="18"/>
          <w:szCs w:val="18"/>
          <w:color w:val="auto"/>
        </w:rPr>
        <w:t>Neither the grant of shares of Restricted Stock nor this Agreement gives Grantee the right to continue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or its Affiliates in any capacity. The Company and its Affiliates reserve the right to terminate Grantee’s Service at any time and for any reason not prohibited by law.</w:t>
      </w:r>
    </w:p>
    <w:p>
      <w:pPr>
        <w:spacing w:after="0" w:line="176" w:lineRule="exact"/>
        <w:rPr>
          <w:rFonts w:ascii="Arial" w:cs="Arial" w:eastAsia="Arial" w:hAnsi="Arial"/>
          <w:sz w:val="18"/>
          <w:szCs w:val="18"/>
          <w:color w:val="auto"/>
        </w:rPr>
      </w:pPr>
    </w:p>
    <w:p>
      <w:pPr>
        <w:jc w:val="both"/>
        <w:ind w:firstLine="885"/>
        <w:spacing w:after="0" w:line="266" w:lineRule="auto"/>
        <w:tabs>
          <w:tab w:leader="none" w:pos="1751"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and construction of this Agreement and the Plan shall be construed in accordance with and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laws of the State of Delaware other than any conflicts or choice of law rule or principle that might otherwise refer construction or interpretation of the Plan and this Agreement to the substantive laws of any other jurisdiction.</w:t>
      </w:r>
    </w:p>
    <w:p>
      <w:pPr>
        <w:spacing w:after="0" w:line="176" w:lineRule="exact"/>
        <w:rPr>
          <w:rFonts w:ascii="Arial" w:cs="Arial" w:eastAsia="Arial" w:hAnsi="Arial"/>
          <w:sz w:val="18"/>
          <w:szCs w:val="18"/>
          <w:color w:val="auto"/>
        </w:rPr>
      </w:pPr>
    </w:p>
    <w:p>
      <w:pPr>
        <w:ind w:firstLine="885"/>
        <w:spacing w:after="0" w:line="282" w:lineRule="auto"/>
        <w:tabs>
          <w:tab w:leader="none" w:pos="1751"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shall be binding upon and inure to the benefit of the Company and Grantee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heirs, executors, administrators, legal representatives, successors and assigns.</w:t>
      </w:r>
    </w:p>
    <w:p>
      <w:pPr>
        <w:spacing w:after="0" w:line="161" w:lineRule="exact"/>
        <w:rPr>
          <w:rFonts w:ascii="Arial" w:cs="Arial" w:eastAsia="Arial" w:hAnsi="Arial"/>
          <w:sz w:val="18"/>
          <w:szCs w:val="18"/>
          <w:color w:val="auto"/>
        </w:rPr>
      </w:pPr>
    </w:p>
    <w:p>
      <w:pPr>
        <w:ind w:firstLine="885"/>
        <w:spacing w:after="0" w:line="313" w:lineRule="auto"/>
        <w:tabs>
          <w:tab w:leader="none" w:pos="1751"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Tax Treatment; Section 83(b); Section 409A</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Grantee may incur tax liability as a result of the vesting of shares of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payment of dividends or the disposition of shares of Stock. Grantee should consult his or her own tax adviser for tax advice.</w:t>
      </w:r>
    </w:p>
    <w:p>
      <w:pPr>
        <w:spacing w:after="0" w:line="142"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7"/>
          <w:szCs w:val="17"/>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171" w:lineRule="exact"/>
        <w:rPr>
          <w:sz w:val="20"/>
          <w:szCs w:val="20"/>
          <w:color w:val="auto"/>
        </w:rPr>
      </w:pPr>
    </w:p>
    <w:p>
      <w:pPr>
        <w:jc w:val="both"/>
        <w:ind w:firstLine="1755"/>
        <w:spacing w:after="0" w:line="286" w:lineRule="auto"/>
        <w:rPr>
          <w:sz w:val="20"/>
          <w:szCs w:val="20"/>
          <w:color w:val="auto"/>
        </w:rPr>
      </w:pPr>
      <w:r>
        <w:rPr>
          <w:rFonts w:ascii="Arial" w:cs="Arial" w:eastAsia="Arial" w:hAnsi="Arial"/>
          <w:sz w:val="17"/>
          <w:szCs w:val="17"/>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62" w:lineRule="exact"/>
        <w:rPr>
          <w:sz w:val="20"/>
          <w:szCs w:val="20"/>
          <w:color w:val="auto"/>
        </w:rPr>
      </w:pPr>
    </w:p>
    <w:p>
      <w:pPr>
        <w:ind w:firstLine="885"/>
        <w:spacing w:after="0" w:line="347" w:lineRule="auto"/>
        <w:tabs>
          <w:tab w:leader="none" w:pos="1751"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Amendment. </w:t>
      </w:r>
      <w:r>
        <w:rPr>
          <w:rFonts w:ascii="Arial" w:cs="Arial" w:eastAsia="Arial" w:hAnsi="Arial"/>
          <w:sz w:val="16"/>
          <w:szCs w:val="16"/>
          <w:color w:val="auto"/>
        </w:rPr>
        <w:t>The terms and conditions set forth in this Agreement may only be amended by the written consent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except to the extent set forth in Section 16 of the Plan regarding Section 409A of the Code and any other provision set forth in the Plan.</w:t>
      </w:r>
    </w:p>
    <w:p>
      <w:pPr>
        <w:spacing w:after="0" w:line="143" w:lineRule="exact"/>
        <w:rPr>
          <w:rFonts w:ascii="Arial" w:cs="Arial" w:eastAsia="Arial" w:hAnsi="Arial"/>
          <w:sz w:val="16"/>
          <w:szCs w:val="16"/>
          <w:color w:val="auto"/>
        </w:rPr>
      </w:pPr>
    </w:p>
    <w:p>
      <w:pPr>
        <w:jc w:val="both"/>
        <w:ind w:firstLine="885"/>
        <w:spacing w:after="0" w:line="239" w:lineRule="auto"/>
        <w:tabs>
          <w:tab w:leader="none" w:pos="1796" w:val="left"/>
        </w:tabs>
        <w:numPr>
          <w:ilvl w:val="0"/>
          <w:numId w:val="67"/>
        </w:numPr>
        <w:rPr>
          <w:rFonts w:ascii="Arial" w:cs="Arial" w:eastAsia="Arial" w:hAnsi="Arial"/>
          <w:sz w:val="22"/>
          <w:szCs w:val="22"/>
          <w:color w:val="auto"/>
        </w:rPr>
      </w:pPr>
      <w:r>
        <w:rPr>
          <w:rFonts w:ascii="Arial" w:cs="Arial" w:eastAsia="Arial" w:hAnsi="Arial"/>
          <w:sz w:val="18"/>
          <w:szCs w:val="18"/>
          <w:b w:val="1"/>
          <w:bCs w:val="1"/>
          <w:color w:val="auto"/>
        </w:rPr>
        <w:t xml:space="preserve">2016 Equity Incentive Plan. </w:t>
      </w:r>
      <w:r>
        <w:rPr>
          <w:rFonts w:ascii="Arial" w:cs="Arial" w:eastAsia="Arial" w:hAnsi="Arial"/>
          <w:sz w:val="18"/>
          <w:szCs w:val="18"/>
          <w:color w:val="auto"/>
        </w:rPr>
        <w:t>The shares of Restricted Stock and payment of dividends granted hereunder shall be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terms and conditions as may be imposed under the terms of the Plan, a copy of which has been provided to Grantee. A copy of the Prospectus for the 2016 Equity Incentive Plan shall also be provided to Grantee.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1" w:name="page102"/>
    <w:bookmarkEnd w:id="101"/>
    <w:p>
      <w:pPr>
        <w:ind w:left="4840"/>
        <w:spacing w:after="0"/>
        <w:rPr>
          <w:sz w:val="20"/>
          <w:szCs w:val="20"/>
          <w:color w:val="auto"/>
        </w:rPr>
      </w:pPr>
      <w:r>
        <w:rPr>
          <w:rFonts w:ascii="Arial" w:cs="Arial" w:eastAsia="Arial" w:hAnsi="Arial"/>
          <w:sz w:val="18"/>
          <w:szCs w:val="18"/>
          <w:b w:val="1"/>
          <w:bCs w:val="1"/>
          <w:color w:val="auto"/>
        </w:rPr>
        <w:t>NATIONAL CINEMEDIA, INC.</w:t>
      </w:r>
    </w:p>
    <w:p>
      <w:pPr>
        <w:spacing w:after="0" w:line="256"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J. England</w:t>
            </w:r>
          </w:p>
        </w:tc>
      </w:tr>
      <w:tr>
        <w:trPr>
          <w:trHeight w:val="222"/>
        </w:trPr>
        <w:tc>
          <w:tcPr>
            <w:tcW w:w="6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Andrew J. England</w:t>
            </w:r>
          </w:p>
        </w:tc>
      </w:tr>
      <w:tr>
        <w:trPr>
          <w:trHeight w:val="230"/>
        </w:trPr>
        <w:tc>
          <w:tcPr>
            <w:tcW w:w="6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40"/>
          </w:cols>
          <w:pgMar w:left="1120" w:top="35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10.26.10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RESTRICTED STOCK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Period: Fiscal Year 2017 – Fiscal Year 2019</w:t>
      </w:r>
    </w:p>
    <w:p>
      <w:pPr>
        <w:spacing w:after="0" w:line="225"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7"/>
          <w:szCs w:val="17"/>
          <w:color w:val="auto"/>
        </w:rPr>
        <w:t xml:space="preserve">The Compensation Committee of the Board of Directors of National CineMedia,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granted shares of Restricted Stock to be issued under the National CineMedia, Inc. 2016 Equity Incentive Plan, as amended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as well as the possible right to be issued additional shares of Stock (the </w:t>
      </w:r>
      <w:r>
        <w:rPr>
          <w:rFonts w:ascii="Arial" w:cs="Arial" w:eastAsia="Arial" w:hAnsi="Arial"/>
          <w:sz w:val="17"/>
          <w:szCs w:val="17"/>
          <w:b w:val="1"/>
          <w:bCs w:val="1"/>
          <w:color w:val="auto"/>
        </w:rPr>
        <w:t>“Additional Shares”</w:t>
      </w:r>
      <w:r>
        <w:rPr>
          <w:rFonts w:ascii="Arial" w:cs="Arial" w:eastAsia="Arial" w:hAnsi="Arial"/>
          <w:sz w:val="17"/>
          <w:szCs w:val="17"/>
          <w:color w:val="auto"/>
        </w:rPr>
        <w:t xml:space="preserve">), to the Grantee named below. This Restricted Stock Agreement (the </w:t>
      </w:r>
      <w:r>
        <w:rPr>
          <w:rFonts w:ascii="Arial" w:cs="Arial" w:eastAsia="Arial" w:hAnsi="Arial"/>
          <w:sz w:val="17"/>
          <w:szCs w:val="17"/>
          <w:b w:val="1"/>
          <w:bCs w:val="1"/>
          <w:color w:val="auto"/>
        </w:rPr>
        <w:t>“Agreement”</w:t>
      </w:r>
      <w:r>
        <w:rPr>
          <w:rFonts w:ascii="Arial" w:cs="Arial" w:eastAsia="Arial" w:hAnsi="Arial"/>
          <w:sz w:val="17"/>
          <w:szCs w:val="17"/>
          <w:color w:val="auto"/>
        </w:rPr>
        <w:t>) evidences the terms of the Company’s grant of Restricted Stock, and the possible issuance of Additional Shares, to Grantee. Any capitalized term in this Agreement shall have the meaning assigned to it in this Agreement or in the Plan, as applicable.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NOTICE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b w:val="1"/>
          <w:bCs w:val="1"/>
          <w:color w:val="auto"/>
        </w:rPr>
        <w:t>Number of shares of Restricted Stock:</w:t>
      </w:r>
      <w:r>
        <w:rPr>
          <w:sz w:val="20"/>
          <w:szCs w:val="20"/>
          <w:color w:val="auto"/>
        </w:rPr>
        <w:tab/>
      </w:r>
      <w:r>
        <w:rPr>
          <w:rFonts w:ascii="Arial" w:cs="Arial" w:eastAsia="Arial" w:hAnsi="Arial"/>
          <w:sz w:val="16"/>
          <w:szCs w:val="16"/>
          <w:b w:val="1"/>
          <w:bCs w:val="1"/>
          <w:color w:val="auto"/>
        </w:rPr>
        <w:t>(Restricted Stock)</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Free Cash Flow Restricted Stock: 75% of Restricted Stock</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Digital Revenue Restricted Stock: 25% of 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Vesting Schedule of Restricted Stock: </w:t>
      </w:r>
      <w:r>
        <w:rPr>
          <w:rFonts w:ascii="Arial" w:cs="Arial" w:eastAsia="Arial" w:hAnsi="Arial"/>
          <w:sz w:val="18"/>
          <w:szCs w:val="18"/>
          <w:color w:val="auto"/>
        </w:rPr>
        <w:t>Except as provided otherwise in this Agreement or the Plan (including but not limited to Section 14.2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provides for accelerated vesting upon certain terminations in connection with a Change of Control), and subject to Grantee’s continuous Service as provided herein, the Restricted Stock shall vest and the restrictions set forth in Section 2 of this Agreement shall lapse in accordance with the following provisions: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 Restricted Stock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Free Cash Flow Restricted Stock shall vest if, and only to the extent that, the Company achieves specified cumulative “Free Cash Flow” (defined as OIBDA, subject to certain adjustments as set forth in the Plan (including, without limitation, a pre-determined adjustment for any acquisition completed during the Free Cash Flow Measuring Period), minus capital)) (</w:t>
      </w:r>
      <w:r>
        <w:rPr>
          <w:rFonts w:ascii="Arial" w:cs="Arial" w:eastAsia="Arial" w:hAnsi="Arial"/>
          <w:sz w:val="17"/>
          <w:szCs w:val="17"/>
          <w:b w:val="1"/>
          <w:bCs w:val="1"/>
          <w:color w:val="auto"/>
        </w:rPr>
        <w:t>“Free Cash Flow”</w:t>
      </w:r>
      <w:r>
        <w:rPr>
          <w:rFonts w:ascii="Arial" w:cs="Arial" w:eastAsia="Arial" w:hAnsi="Arial"/>
          <w:sz w:val="17"/>
          <w:szCs w:val="17"/>
          <w:color w:val="auto"/>
        </w:rPr>
        <w:t xml:space="preserve">) targets (the </w:t>
      </w:r>
      <w:r>
        <w:rPr>
          <w:rFonts w:ascii="Arial" w:cs="Arial" w:eastAsia="Arial" w:hAnsi="Arial"/>
          <w:sz w:val="17"/>
          <w:szCs w:val="17"/>
          <w:b w:val="1"/>
          <w:bCs w:val="1"/>
          <w:color w:val="auto"/>
        </w:rPr>
        <w:t>“Free Cash Flow Target”</w:t>
      </w:r>
      <w:r>
        <w:rPr>
          <w:rFonts w:ascii="Arial" w:cs="Arial" w:eastAsia="Arial" w:hAnsi="Arial"/>
          <w:sz w:val="17"/>
          <w:szCs w:val="17"/>
          <w:color w:val="auto"/>
        </w:rPr>
        <w:t xml:space="preserve">) at the end of the three-year period ending on the last day of the Company’s 2019 fiscal year (the </w:t>
      </w:r>
      <w:r>
        <w:rPr>
          <w:rFonts w:ascii="Arial" w:cs="Arial" w:eastAsia="Arial" w:hAnsi="Arial"/>
          <w:sz w:val="17"/>
          <w:szCs w:val="17"/>
          <w:b w:val="1"/>
          <w:bCs w:val="1"/>
          <w:color w:val="auto"/>
        </w:rPr>
        <w:t>“Free Cash Flow Measuring Period”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The Free Cash Flow Restricted Stock shall vest as follows:</w:t>
            </w:r>
          </w:p>
        </w:tc>
        <w:tc>
          <w:tcPr>
            <w:tcW w:w="3340" w:type="dxa"/>
            <w:vAlign w:val="bottom"/>
          </w:tcPr>
          <w:p>
            <w:pPr>
              <w:spacing w:after="0"/>
              <w:rPr>
                <w:sz w:val="20"/>
                <w:szCs w:val="20"/>
                <w:color w:val="auto"/>
              </w:rPr>
            </w:pPr>
          </w:p>
        </w:tc>
      </w:tr>
      <w:tr>
        <w:trPr>
          <w:trHeight w:val="392"/>
        </w:trPr>
        <w:tc>
          <w:tcPr>
            <w:tcW w:w="158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Free Cash Flow - % of Free Cash Flow Target</w:t>
            </w:r>
          </w:p>
        </w:tc>
        <w:tc>
          <w:tcPr>
            <w:tcW w:w="3340" w:type="dxa"/>
            <w:vAlign w:val="bottom"/>
          </w:tcPr>
          <w:p>
            <w:pPr>
              <w:spacing w:after="0"/>
              <w:rPr>
                <w:sz w:val="20"/>
                <w:szCs w:val="20"/>
                <w:color w:val="auto"/>
              </w:rPr>
            </w:pPr>
            <w:r>
              <w:rPr>
                <w:rFonts w:ascii="Arial" w:cs="Arial" w:eastAsia="Arial" w:hAnsi="Arial"/>
                <w:sz w:val="18"/>
                <w:szCs w:val="18"/>
                <w:color w:val="auto"/>
                <w:w w:val="89"/>
              </w:rPr>
              <w:t>Vesting % of Free Cash Flow Restricted Stock</w:t>
            </w:r>
          </w:p>
        </w:tc>
      </w:tr>
      <w:tr>
        <w:trPr>
          <w:trHeight w:val="222"/>
        </w:trPr>
        <w:tc>
          <w:tcPr>
            <w:tcW w:w="1580" w:type="dxa"/>
            <w:vAlign w:val="bottom"/>
          </w:tcPr>
          <w:p>
            <w:pPr>
              <w:spacing w:after="0"/>
              <w:rPr>
                <w:sz w:val="19"/>
                <w:szCs w:val="19"/>
                <w:color w:val="auto"/>
              </w:rPr>
            </w:pPr>
          </w:p>
        </w:tc>
        <w:tc>
          <w:tcPr>
            <w:tcW w:w="3320" w:type="dxa"/>
            <w:vAlign w:val="bottom"/>
            <w:tcBorders>
              <w:top w:val="single" w:sz="8" w:color="auto"/>
            </w:tcBorders>
          </w:tcPr>
          <w:p>
            <w:pPr>
              <w:jc w:val="center"/>
              <w:ind w:left="390"/>
              <w:spacing w:after="0"/>
              <w:rPr>
                <w:sz w:val="20"/>
                <w:szCs w:val="20"/>
                <w:color w:val="auto"/>
              </w:rPr>
            </w:pPr>
            <w:r>
              <w:rPr>
                <w:rFonts w:ascii="Arial" w:cs="Arial" w:eastAsia="Arial" w:hAnsi="Arial"/>
                <w:sz w:val="18"/>
                <w:szCs w:val="18"/>
                <w:color w:val="auto"/>
                <w:w w:val="94"/>
              </w:rPr>
              <w:t>&lt;85%</w:t>
            </w:r>
          </w:p>
        </w:tc>
        <w:tc>
          <w:tcPr>
            <w:tcW w:w="600" w:type="dxa"/>
            <w:vAlign w:val="bottom"/>
          </w:tcPr>
          <w:p>
            <w:pPr>
              <w:spacing w:after="0"/>
              <w:rPr>
                <w:sz w:val="19"/>
                <w:szCs w:val="19"/>
                <w:color w:val="auto"/>
              </w:rPr>
            </w:pPr>
          </w:p>
        </w:tc>
        <w:tc>
          <w:tcPr>
            <w:tcW w:w="3340" w:type="dxa"/>
            <w:vAlign w:val="bottom"/>
            <w:tcBorders>
              <w:top w:val="single" w:sz="8" w:color="auto"/>
            </w:tcBorders>
          </w:tcPr>
          <w:p>
            <w:pPr>
              <w:ind w:left="2040"/>
              <w:spacing w:after="0"/>
              <w:rPr>
                <w:sz w:val="20"/>
                <w:szCs w:val="20"/>
                <w:color w:val="auto"/>
              </w:rPr>
            </w:pPr>
            <w:r>
              <w:rPr>
                <w:rFonts w:ascii="Arial" w:cs="Arial" w:eastAsia="Arial" w:hAnsi="Arial"/>
                <w:sz w:val="18"/>
                <w:szCs w:val="18"/>
                <w:color w:val="auto"/>
              </w:rPr>
              <w:t>None</w:t>
            </w:r>
          </w:p>
        </w:tc>
      </w:tr>
      <w:tr>
        <w:trPr>
          <w:trHeight w:val="216"/>
        </w:trPr>
        <w:tc>
          <w:tcPr>
            <w:tcW w:w="4900" w:type="dxa"/>
            <w:vAlign w:val="bottom"/>
            <w:gridSpan w:val="2"/>
          </w:tcPr>
          <w:p>
            <w:pPr>
              <w:jc w:val="center"/>
              <w:ind w:left="1970"/>
              <w:spacing w:after="0"/>
              <w:rPr>
                <w:sz w:val="20"/>
                <w:szCs w:val="20"/>
                <w:color w:val="auto"/>
              </w:rPr>
            </w:pPr>
            <w:r>
              <w:rPr>
                <w:rFonts w:ascii="Arial" w:cs="Arial" w:eastAsia="Arial" w:hAnsi="Arial"/>
                <w:sz w:val="18"/>
                <w:szCs w:val="18"/>
                <w:color w:val="auto"/>
                <w:w w:val="88"/>
              </w:rPr>
              <w:t>85%</w:t>
            </w:r>
          </w:p>
        </w:tc>
        <w:tc>
          <w:tcPr>
            <w:tcW w:w="600" w:type="dxa"/>
            <w:vAlign w:val="bottom"/>
          </w:tcPr>
          <w:p>
            <w:pPr>
              <w:spacing w:after="0"/>
              <w:rPr>
                <w:sz w:val="18"/>
                <w:szCs w:val="18"/>
                <w:color w:val="auto"/>
              </w:rPr>
            </w:pPr>
          </w:p>
        </w:tc>
        <w:tc>
          <w:tcPr>
            <w:tcW w:w="3340" w:type="dxa"/>
            <w:vAlign w:val="bottom"/>
          </w:tcPr>
          <w:p>
            <w:pPr>
              <w:jc w:val="center"/>
              <w:ind w:left="1050"/>
              <w:spacing w:after="0"/>
              <w:rPr>
                <w:sz w:val="20"/>
                <w:szCs w:val="20"/>
                <w:color w:val="auto"/>
              </w:rPr>
            </w:pPr>
            <w:r>
              <w:rPr>
                <w:rFonts w:ascii="Arial" w:cs="Arial" w:eastAsia="Arial" w:hAnsi="Arial"/>
                <w:sz w:val="18"/>
                <w:szCs w:val="18"/>
                <w:color w:val="auto"/>
                <w:w w:val="88"/>
              </w:rPr>
              <w:t>25%</w:t>
            </w:r>
          </w:p>
        </w:tc>
      </w:tr>
      <w:tr>
        <w:trPr>
          <w:trHeight w:val="216"/>
        </w:trPr>
        <w:tc>
          <w:tcPr>
            <w:tcW w:w="4900" w:type="dxa"/>
            <w:vAlign w:val="bottom"/>
            <w:gridSpan w:val="2"/>
          </w:tcPr>
          <w:p>
            <w:pPr>
              <w:jc w:val="center"/>
              <w:ind w:left="1970"/>
              <w:spacing w:after="0"/>
              <w:rPr>
                <w:sz w:val="20"/>
                <w:szCs w:val="20"/>
                <w:color w:val="auto"/>
              </w:rPr>
            </w:pPr>
            <w:r>
              <w:rPr>
                <w:rFonts w:ascii="Arial" w:cs="Arial" w:eastAsia="Arial" w:hAnsi="Arial"/>
                <w:sz w:val="18"/>
                <w:szCs w:val="18"/>
                <w:color w:val="auto"/>
                <w:w w:val="88"/>
              </w:rPr>
              <w:t>90%</w:t>
            </w:r>
          </w:p>
        </w:tc>
        <w:tc>
          <w:tcPr>
            <w:tcW w:w="600" w:type="dxa"/>
            <w:vAlign w:val="bottom"/>
          </w:tcPr>
          <w:p>
            <w:pPr>
              <w:spacing w:after="0"/>
              <w:rPr>
                <w:sz w:val="18"/>
                <w:szCs w:val="18"/>
                <w:color w:val="auto"/>
              </w:rPr>
            </w:pPr>
          </w:p>
        </w:tc>
        <w:tc>
          <w:tcPr>
            <w:tcW w:w="3340" w:type="dxa"/>
            <w:vAlign w:val="bottom"/>
          </w:tcPr>
          <w:p>
            <w:pPr>
              <w:jc w:val="center"/>
              <w:ind w:left="1050"/>
              <w:spacing w:after="0"/>
              <w:rPr>
                <w:sz w:val="20"/>
                <w:szCs w:val="20"/>
                <w:color w:val="auto"/>
              </w:rPr>
            </w:pPr>
            <w:r>
              <w:rPr>
                <w:rFonts w:ascii="Arial" w:cs="Arial" w:eastAsia="Arial" w:hAnsi="Arial"/>
                <w:sz w:val="18"/>
                <w:szCs w:val="18"/>
                <w:color w:val="auto"/>
                <w:w w:val="88"/>
              </w:rPr>
              <w:t>50%</w:t>
            </w:r>
          </w:p>
        </w:tc>
      </w:tr>
      <w:tr>
        <w:trPr>
          <w:trHeight w:val="216"/>
        </w:trPr>
        <w:tc>
          <w:tcPr>
            <w:tcW w:w="4900" w:type="dxa"/>
            <w:vAlign w:val="bottom"/>
            <w:gridSpan w:val="2"/>
          </w:tcPr>
          <w:p>
            <w:pPr>
              <w:jc w:val="center"/>
              <w:ind w:left="1970"/>
              <w:spacing w:after="0"/>
              <w:rPr>
                <w:sz w:val="20"/>
                <w:szCs w:val="20"/>
                <w:color w:val="auto"/>
              </w:rPr>
            </w:pPr>
            <w:r>
              <w:rPr>
                <w:rFonts w:ascii="Arial" w:cs="Arial" w:eastAsia="Arial" w:hAnsi="Arial"/>
                <w:sz w:val="18"/>
                <w:szCs w:val="18"/>
                <w:color w:val="auto"/>
                <w:w w:val="88"/>
              </w:rPr>
              <w:t>95%</w:t>
            </w:r>
          </w:p>
        </w:tc>
        <w:tc>
          <w:tcPr>
            <w:tcW w:w="600" w:type="dxa"/>
            <w:vAlign w:val="bottom"/>
          </w:tcPr>
          <w:p>
            <w:pPr>
              <w:spacing w:after="0"/>
              <w:rPr>
                <w:sz w:val="18"/>
                <w:szCs w:val="18"/>
                <w:color w:val="auto"/>
              </w:rPr>
            </w:pPr>
          </w:p>
        </w:tc>
        <w:tc>
          <w:tcPr>
            <w:tcW w:w="3340" w:type="dxa"/>
            <w:vAlign w:val="bottom"/>
          </w:tcPr>
          <w:p>
            <w:pPr>
              <w:jc w:val="center"/>
              <w:ind w:left="1050"/>
              <w:spacing w:after="0"/>
              <w:rPr>
                <w:sz w:val="20"/>
                <w:szCs w:val="20"/>
                <w:color w:val="auto"/>
              </w:rPr>
            </w:pPr>
            <w:r>
              <w:rPr>
                <w:rFonts w:ascii="Arial" w:cs="Arial" w:eastAsia="Arial" w:hAnsi="Arial"/>
                <w:sz w:val="18"/>
                <w:szCs w:val="18"/>
                <w:color w:val="auto"/>
                <w:w w:val="88"/>
              </w:rPr>
              <w:t>75%</w:t>
            </w:r>
          </w:p>
        </w:tc>
      </w:tr>
      <w:tr>
        <w:trPr>
          <w:trHeight w:val="230"/>
        </w:trPr>
        <w:tc>
          <w:tcPr>
            <w:tcW w:w="4900" w:type="dxa"/>
            <w:vAlign w:val="bottom"/>
            <w:gridSpan w:val="2"/>
          </w:tcPr>
          <w:p>
            <w:pPr>
              <w:jc w:val="center"/>
              <w:ind w:left="1950"/>
              <w:spacing w:after="0"/>
              <w:rPr>
                <w:sz w:val="20"/>
                <w:szCs w:val="20"/>
                <w:color w:val="auto"/>
              </w:rPr>
            </w:pPr>
            <w:r>
              <w:rPr>
                <w:rFonts w:ascii="Arial" w:cs="Arial" w:eastAsia="Arial" w:hAnsi="Arial"/>
                <w:sz w:val="18"/>
                <w:szCs w:val="18"/>
                <w:color w:val="auto"/>
                <w:w w:val="91"/>
              </w:rPr>
              <w:t>100%</w:t>
            </w:r>
          </w:p>
        </w:tc>
        <w:tc>
          <w:tcPr>
            <w:tcW w:w="600" w:type="dxa"/>
            <w:vAlign w:val="bottom"/>
          </w:tcPr>
          <w:p>
            <w:pPr>
              <w:spacing w:after="0"/>
              <w:rPr>
                <w:sz w:val="20"/>
                <w:szCs w:val="20"/>
                <w:color w:val="auto"/>
              </w:rPr>
            </w:pPr>
          </w:p>
        </w:tc>
        <w:tc>
          <w:tcPr>
            <w:tcW w:w="3340" w:type="dxa"/>
            <w:vAlign w:val="bottom"/>
          </w:tcPr>
          <w:p>
            <w:pPr>
              <w:jc w:val="center"/>
              <w:ind w:left="1030"/>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the actual Free Cash Flow at the end of the Free Cash Flow Measuring Period is between any of the thresholds set forth above, Grantee shall vest in the number of shares of Free Cash Flow Restricted Stock by interpolating the percentage of Free Cash Flow actually achieved as it relates to the difference between the number of shares of Free Cash Flow Restricted Stock that vest at the higher and lower end of each threshold. By way of example, if the actual cumulative Free Cash Flow achieved is at 92% of Free Cash Flow Target, Grantee would vest in 60% of the Free Cash Flow Restricted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Digital Revenue Restricted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Digital Revenue Restricted Stock shall vest if, and only to the extent that, the Company achieves specified “Digital Revenue” (defined as revenue derived from advertising sold online, through mobile devices and other digital platforms) </w:t>
      </w:r>
      <w:r>
        <w:rPr>
          <w:rFonts w:ascii="Arial" w:cs="Arial" w:eastAsia="Arial" w:hAnsi="Arial"/>
          <w:sz w:val="18"/>
          <w:szCs w:val="18"/>
          <w:b w:val="1"/>
          <w:bCs w:val="1"/>
          <w:color w:val="auto"/>
        </w:rPr>
        <w:t>(</w:t>
      </w:r>
      <w:r>
        <w:rPr>
          <w:rFonts w:ascii="Arial" w:cs="Arial" w:eastAsia="Arial" w:hAnsi="Arial"/>
          <w:sz w:val="18"/>
          <w:szCs w:val="18"/>
          <w:color w:val="auto"/>
        </w:rPr>
        <w:t>the “</w:t>
      </w:r>
      <w:r>
        <w:rPr>
          <w:rFonts w:ascii="Arial" w:cs="Arial" w:eastAsia="Arial" w:hAnsi="Arial"/>
          <w:sz w:val="18"/>
          <w:szCs w:val="18"/>
          <w:b w:val="1"/>
          <w:bCs w:val="1"/>
          <w:color w:val="auto"/>
        </w:rPr>
        <w:t>Digital Revenue”</w:t>
      </w:r>
      <w:r>
        <w:rPr>
          <w:rFonts w:ascii="Arial" w:cs="Arial" w:eastAsia="Arial" w:hAnsi="Arial"/>
          <w:sz w:val="18"/>
          <w:szCs w:val="18"/>
          <w:color w:val="auto"/>
        </w:rPr>
        <w:t xml:space="preserve">) targets (the </w:t>
      </w:r>
      <w:r>
        <w:rPr>
          <w:rFonts w:ascii="Arial" w:cs="Arial" w:eastAsia="Arial" w:hAnsi="Arial"/>
          <w:sz w:val="18"/>
          <w:szCs w:val="18"/>
          <w:b w:val="1"/>
          <w:bCs w:val="1"/>
          <w:color w:val="auto"/>
        </w:rPr>
        <w:t>“Digital Revenue Target”</w:t>
      </w:r>
      <w:r>
        <w:rPr>
          <w:rFonts w:ascii="Arial" w:cs="Arial" w:eastAsia="Arial" w:hAnsi="Arial"/>
          <w:sz w:val="18"/>
          <w:szCs w:val="18"/>
          <w:color w:val="auto"/>
        </w:rPr>
        <w:t xml:space="preserve">) for the Company’s 2019 fiscal year (the </w:t>
      </w:r>
      <w:r>
        <w:rPr>
          <w:rFonts w:ascii="Arial" w:cs="Arial" w:eastAsia="Arial" w:hAnsi="Arial"/>
          <w:sz w:val="18"/>
          <w:szCs w:val="18"/>
          <w:b w:val="1"/>
          <w:bCs w:val="1"/>
          <w:color w:val="auto"/>
        </w:rPr>
        <w:t>“Digital Revenue Measuring Period”</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The Digital Revenue Restricted Stock shall vest as follows:</w:t>
            </w: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2"/>
        </w:trPr>
        <w:tc>
          <w:tcPr>
            <w:tcW w:w="15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1"/>
              </w:rPr>
              <w:t>Digital Revenue - % of Digital Revenue Target</w:t>
            </w:r>
          </w:p>
        </w:tc>
        <w:tc>
          <w:tcPr>
            <w:tcW w:w="52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w w:val="91"/>
              </w:rPr>
              <w:t>Vesting % of Digital Revenue Restricted Stock</w:t>
            </w:r>
          </w:p>
        </w:tc>
      </w:tr>
      <w:tr>
        <w:trPr>
          <w:trHeight w:val="20"/>
        </w:trPr>
        <w:tc>
          <w:tcPr>
            <w:tcW w:w="158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3400" w:type="dxa"/>
            <w:vAlign w:val="bottom"/>
          </w:tcPr>
          <w:p>
            <w:pPr>
              <w:jc w:val="center"/>
              <w:ind w:left="310"/>
              <w:spacing w:after="0"/>
              <w:rPr>
                <w:sz w:val="20"/>
                <w:szCs w:val="20"/>
                <w:color w:val="auto"/>
              </w:rPr>
            </w:pPr>
            <w:r>
              <w:rPr>
                <w:rFonts w:ascii="Arial" w:cs="Arial" w:eastAsia="Arial" w:hAnsi="Arial"/>
                <w:sz w:val="18"/>
                <w:szCs w:val="18"/>
                <w:color w:val="auto"/>
                <w:w w:val="90"/>
              </w:rPr>
              <w:t>&lt;44.4%</w:t>
            </w:r>
          </w:p>
        </w:tc>
        <w:tc>
          <w:tcPr>
            <w:tcW w:w="520" w:type="dxa"/>
            <w:vAlign w:val="bottom"/>
          </w:tcPr>
          <w:p>
            <w:pPr>
              <w:spacing w:after="0"/>
              <w:rPr>
                <w:sz w:val="19"/>
                <w:szCs w:val="19"/>
                <w:color w:val="auto"/>
              </w:rPr>
            </w:pPr>
          </w:p>
        </w:tc>
        <w:tc>
          <w:tcPr>
            <w:tcW w:w="3380" w:type="dxa"/>
            <w:vAlign w:val="bottom"/>
            <w:gridSpan w:val="3"/>
          </w:tcPr>
          <w:p>
            <w:pPr>
              <w:ind w:left="2040"/>
              <w:spacing w:after="0"/>
              <w:rPr>
                <w:sz w:val="20"/>
                <w:szCs w:val="20"/>
                <w:color w:val="auto"/>
              </w:rPr>
            </w:pPr>
            <w:r>
              <w:rPr>
                <w:rFonts w:ascii="Arial" w:cs="Arial" w:eastAsia="Arial" w:hAnsi="Arial"/>
                <w:sz w:val="18"/>
                <w:szCs w:val="18"/>
                <w:color w:val="auto"/>
              </w:rPr>
              <w:t>None</w:t>
            </w:r>
          </w:p>
        </w:tc>
      </w:tr>
      <w:tr>
        <w:trPr>
          <w:trHeight w:val="216"/>
        </w:trPr>
        <w:tc>
          <w:tcPr>
            <w:tcW w:w="4980" w:type="dxa"/>
            <w:vAlign w:val="bottom"/>
            <w:gridSpan w:val="2"/>
          </w:tcPr>
          <w:p>
            <w:pPr>
              <w:jc w:val="center"/>
              <w:ind w:left="1870"/>
              <w:spacing w:after="0"/>
              <w:rPr>
                <w:sz w:val="20"/>
                <w:szCs w:val="20"/>
                <w:color w:val="auto"/>
              </w:rPr>
            </w:pPr>
            <w:r>
              <w:rPr>
                <w:rFonts w:ascii="Arial" w:cs="Arial" w:eastAsia="Arial" w:hAnsi="Arial"/>
                <w:sz w:val="18"/>
                <w:szCs w:val="18"/>
                <w:color w:val="auto"/>
                <w:w w:val="90"/>
              </w:rPr>
              <w:t>44.4%</w:t>
            </w:r>
          </w:p>
        </w:tc>
        <w:tc>
          <w:tcPr>
            <w:tcW w:w="520" w:type="dxa"/>
            <w:vAlign w:val="bottom"/>
          </w:tcPr>
          <w:p>
            <w:pPr>
              <w:spacing w:after="0"/>
              <w:rPr>
                <w:sz w:val="18"/>
                <w:szCs w:val="18"/>
                <w:color w:val="auto"/>
              </w:rPr>
            </w:pPr>
          </w:p>
        </w:tc>
        <w:tc>
          <w:tcPr>
            <w:tcW w:w="3380" w:type="dxa"/>
            <w:vAlign w:val="bottom"/>
            <w:gridSpan w:val="3"/>
          </w:tcPr>
          <w:p>
            <w:pPr>
              <w:jc w:val="right"/>
              <w:ind w:right="980"/>
              <w:spacing w:after="0"/>
              <w:rPr>
                <w:sz w:val="20"/>
                <w:szCs w:val="20"/>
                <w:color w:val="auto"/>
              </w:rPr>
            </w:pPr>
            <w:r>
              <w:rPr>
                <w:rFonts w:ascii="Arial" w:cs="Arial" w:eastAsia="Arial" w:hAnsi="Arial"/>
                <w:sz w:val="18"/>
                <w:szCs w:val="18"/>
                <w:color w:val="auto"/>
              </w:rPr>
              <w:t>25%</w:t>
            </w:r>
          </w:p>
        </w:tc>
      </w:tr>
      <w:tr>
        <w:trPr>
          <w:trHeight w:val="230"/>
        </w:trPr>
        <w:tc>
          <w:tcPr>
            <w:tcW w:w="4980" w:type="dxa"/>
            <w:vAlign w:val="bottom"/>
            <w:gridSpan w:val="2"/>
          </w:tcPr>
          <w:p>
            <w:pPr>
              <w:jc w:val="center"/>
              <w:ind w:left="1870"/>
              <w:spacing w:after="0"/>
              <w:rPr>
                <w:sz w:val="20"/>
                <w:szCs w:val="20"/>
                <w:color w:val="auto"/>
              </w:rPr>
            </w:pPr>
            <w:r>
              <w:rPr>
                <w:rFonts w:ascii="Arial" w:cs="Arial" w:eastAsia="Arial" w:hAnsi="Arial"/>
                <w:sz w:val="18"/>
                <w:szCs w:val="18"/>
                <w:color w:val="auto"/>
                <w:w w:val="91"/>
              </w:rPr>
              <w:t>100%</w:t>
            </w:r>
          </w:p>
        </w:tc>
        <w:tc>
          <w:tcPr>
            <w:tcW w:w="520" w:type="dxa"/>
            <w:vAlign w:val="bottom"/>
          </w:tcPr>
          <w:p>
            <w:pPr>
              <w:spacing w:after="0"/>
              <w:rPr>
                <w:sz w:val="20"/>
                <w:szCs w:val="20"/>
                <w:color w:val="auto"/>
              </w:rPr>
            </w:pPr>
          </w:p>
        </w:tc>
        <w:tc>
          <w:tcPr>
            <w:tcW w:w="3380" w:type="dxa"/>
            <w:vAlign w:val="bottom"/>
            <w:gridSpan w:val="3"/>
          </w:tcPr>
          <w:p>
            <w:pPr>
              <w:jc w:val="right"/>
              <w:ind w:right="94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the actual Digital Revenue at the end of the Digital Revenue Measuring Period is between 44.4% and 100% of the Digital Revenue Target, Grantee shall vest in between 25% and 100% of the Digital Revenue Restricted Stock by interpolating the percentage of Digital Revenue actually achieved as it relates to the difference between the number of shares of Digital Revenue Restricted Stock that vest at 100% of Digital Revenue Target and the number of shares of Digital Revenue Restricted Stock that vest at 44.4% of Digital Revenue Target. By way of example, if the actual Digital Revenue achieved is at 60% of Digital Revenue Target, Grantee would vest in approximately 46% of the number of shares of Digital Revenue Restricted Stock.</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extent to which the Company achieves the Free Cash Flow Target and/or the Digital Revenue Target shall be determined by the Compensation Committee. The actual Free Cash Flow Target and Digital Revenue Target shall be established by the Committee within the time period required by Section 162(m) of the Code and the Committee shall certify in writing prior to the Vesting Date, as that term is defined below, the extent to which the Free Cash Flow Target and/or Digital Revenue Target for the applicable Measuring Period was met.</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Vesting Schedule of Additional Shares of Stock: </w:t>
      </w:r>
      <w:r>
        <w:rPr>
          <w:rFonts w:ascii="Arial" w:cs="Arial" w:eastAsia="Arial" w:hAnsi="Arial"/>
          <w:sz w:val="18"/>
          <w:szCs w:val="18"/>
          <w:color w:val="auto"/>
        </w:rPr>
        <w:t>Except as provided otherwise in this Agreement or the Plan (including but not limited to Section 14.2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which provides for accelerated vesting upon certain terminations in connection with a Change of Control), and subject to Grantee’s continuous Service as provided herein, Additional Shares of Stock shall be granted and shall vest and the restrictions set forth in Section 2 of this Agreement shall lapse in accordance with the following provisions: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Shares of Free Cash Flow Restricted Stock</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4" w:name="page105"/>
    <w:bookmarkEnd w:id="104"/>
    <w:p>
      <w:pPr>
        <w:jc w:val="both"/>
        <w:spacing w:after="0" w:line="270" w:lineRule="auto"/>
        <w:rPr>
          <w:sz w:val="20"/>
          <w:szCs w:val="20"/>
          <w:color w:val="auto"/>
        </w:rPr>
      </w:pPr>
      <w:r>
        <w:rPr>
          <w:rFonts w:ascii="Arial" w:cs="Arial" w:eastAsia="Arial" w:hAnsi="Arial"/>
          <w:sz w:val="17"/>
          <w:szCs w:val="17"/>
          <w:color w:val="auto"/>
        </w:rPr>
        <w:t>If the actual cumulative Free Cash Flow achieved at the end of the Free Cash Flow Measuring Period is in excess of 100% of Free Cash Flow Target, Grantee (if otherwise vested) shall vest in a number of shares of Additional Shares of Free Cash Flow Restricted Stock as calculated below. If the actual cumulative Free Cash Flow achieved at the end of the Free Cash Flow Measuring Period is 105% or more of Free Cash Flow Target, Grantee (if otherwise vested) shall receive and vest in a number of shares of Additional Shares equal to 50% of the number of shares of Free Cash Flow Restricted Stock set forth above. If the actual cumulative Free Cash Flow achieved at the end of the Free Cash Flow Measuring Period is below 105% of Free Cash Flow Target but in excess of 100% of Free Cash Flow Target, Grantee (if otherwise vested) shall receive and vest in a number of shares of Additional Shares determined by interpolating between the number of shares of Free Cash Flow Restricted Stock that vest upon 100% of Free Cash Flow Target and 150% of that number of shares of Free Cash Flow Restricted Stock. By way of example, if the actual cumulative Free Cash Flow at the end of the Free Cash Flow Measuring Period is 103% of Free Cash Flow Target, Grantee (if otherwise vested) would receive and vest in a number of shares of Additional Shares equal to 130% of the number of shares of Free Cash Flow Restricted Stock set forth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Shares of Digital Revenue Restricted Stock</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actual Digital Revenue achieved at the end of the Digital Revenue Measuring Period is in excess of 100% of Digital Revenue Target, Grantee (if otherwise vested) shall vest in a number of shares of Additional Shares of Digital Revenue Restricted Stock as calculated below. If the actual Digital Revenue achieved at the end of the Digital Revenue Measuring Period is 155.6% or more of Digital Revenue Target, Grantee (if otherwise vested) shall receive and vest in a number of shares of Additional Shares equal to 100% of the number of shares of Digital Revenue Restricted Stock set forth above. If the actual Digital Revenue achieved at the end of the Digital Revenue Measuring Period is below 155.6% of Digital Revenue Target but in excess of 100% of Digital Revenue Target, Grantee (if otherwise vested) shall receive and vest in a number of shares of Additional Shares determined by interpolating between the number of shares of Digital Revenue Restricted Stock that vest upon 100% of Digital Revenue Target and 200% of that number of shares of Stock. By way of example, if the actual Digital Revenue at the end of the Digital Revenue Measuring Period is 110% of Digital Revenue Target, Grantee (if otherwise vested) would receive and vest in a number of shares of Additional Shares equal to approximately 118% of the number of shares of Digital Revenue Restricted Stock set forth above.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Grantee shall have no rights as a stockholder of the Company until Grantee becomes the holder of record of any shares of Additional Shares. If Grantee terminates Service prior to the Vesting Date, Grantee shall be entitled to receive a portion of the Additional Shares otherwise issuable, under the same circumstances and determined in the same manner as the number of shares of Retained Shares which vest upon the Vesting Date as set forth below in Section 3.</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Time of Vesting of Restricted Stock and Additional Shares: </w:t>
      </w:r>
      <w:r>
        <w:rPr>
          <w:rFonts w:ascii="Arial" w:cs="Arial" w:eastAsia="Arial" w:hAnsi="Arial"/>
          <w:sz w:val="18"/>
          <w:szCs w:val="18"/>
          <w:color w:val="auto"/>
        </w:rPr>
        <w:t>If the actual cumulative Free Cash Flow at the end of the Free Cash Flow Measuring Period is</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85% of Free Cash Flow Target and/or if the actual Digital Revenue at the end of Digital Revenue Measuring Period is at least 44.4% of Digital Revenue Target, the number of shares of Restricted Stock shall vest as described above on the 60</w:t>
      </w:r>
      <w:r>
        <w:rPr>
          <w:rFonts w:ascii="Arial" w:cs="Arial" w:eastAsia="Arial" w:hAnsi="Arial"/>
          <w:sz w:val="15"/>
          <w:szCs w:val="15"/>
          <w:color w:val="auto"/>
        </w:rPr>
        <w:t>th</w:t>
      </w:r>
      <w:r>
        <w:rPr>
          <w:rFonts w:ascii="Arial" w:cs="Arial" w:eastAsia="Arial" w:hAnsi="Arial"/>
          <w:sz w:val="18"/>
          <w:szCs w:val="18"/>
          <w:color w:val="auto"/>
        </w:rPr>
        <w:t xml:space="preserve"> day (the </w:t>
      </w:r>
      <w:r>
        <w:rPr>
          <w:rFonts w:ascii="Arial" w:cs="Arial" w:eastAsia="Arial" w:hAnsi="Arial"/>
          <w:sz w:val="18"/>
          <w:szCs w:val="18"/>
          <w:b w:val="1"/>
          <w:bCs w:val="1"/>
          <w:color w:val="auto"/>
        </w:rPr>
        <w:t>“Vesting Date”</w:t>
      </w:r>
      <w:r>
        <w:rPr>
          <w:rFonts w:ascii="Arial" w:cs="Arial" w:eastAsia="Arial" w:hAnsi="Arial"/>
          <w:sz w:val="18"/>
          <w:szCs w:val="18"/>
          <w:color w:val="auto"/>
        </w:rPr>
        <w:t>) following the last day of the applicable Measuring Period. Any Additional Shares shall vest as described above. The Additional Shares shall be issued to Grantee on or as soon as practicable after the applicable Vesting Date and in all events no later than March 15, 2020.</w:t>
      </w:r>
    </w:p>
    <w:p>
      <w:pPr>
        <w:spacing w:after="0" w:line="184" w:lineRule="exact"/>
        <w:rPr>
          <w:sz w:val="20"/>
          <w:szCs w:val="20"/>
          <w:color w:val="auto"/>
        </w:rPr>
      </w:pPr>
    </w:p>
    <w:p>
      <w:pPr>
        <w:ind w:left="4300" w:hanging="247"/>
        <w:spacing w:after="0"/>
        <w:tabs>
          <w:tab w:leader="none" w:pos="430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AGREEMENT</w:t>
      </w:r>
    </w:p>
    <w:p>
      <w:pPr>
        <w:spacing w:after="0" w:line="225" w:lineRule="exact"/>
        <w:rPr>
          <w:rFonts w:ascii="Arial" w:cs="Arial" w:eastAsia="Arial" w:hAnsi="Arial"/>
          <w:sz w:val="18"/>
          <w:szCs w:val="18"/>
          <w:b w:val="1"/>
          <w:bCs w:val="1"/>
          <w:color w:val="auto"/>
        </w:rPr>
      </w:pPr>
    </w:p>
    <w:p>
      <w:pPr>
        <w:jc w:val="both"/>
        <w:ind w:firstLine="885"/>
        <w:spacing w:after="0" w:line="261" w:lineRule="auto"/>
        <w:tabs>
          <w:tab w:leader="none" w:pos="1661"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Grant and Issuance of Stock. </w:t>
      </w:r>
      <w:r>
        <w:rPr>
          <w:rFonts w:ascii="Arial" w:cs="Arial" w:eastAsia="Arial" w:hAnsi="Arial"/>
          <w:sz w:val="18"/>
          <w:szCs w:val="18"/>
          <w:color w:val="auto"/>
        </w:rPr>
        <w:t>Subject to the terms and conditions of this Agreement and the Plan, the Company granted to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of Restricted Stock and the right to receive the Additional Shares set forth in the Notice of Grant, 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w:t>
      </w:r>
    </w:p>
    <w:p>
      <w:pPr>
        <w:spacing w:after="0" w:line="180" w:lineRule="exact"/>
        <w:rPr>
          <w:rFonts w:ascii="Arial" w:cs="Arial" w:eastAsia="Arial" w:hAnsi="Arial"/>
          <w:sz w:val="18"/>
          <w:szCs w:val="18"/>
          <w:color w:val="auto"/>
        </w:rPr>
      </w:pPr>
    </w:p>
    <w:p>
      <w:pPr>
        <w:jc w:val="both"/>
        <w:ind w:firstLine="885"/>
        <w:spacing w:after="0" w:line="261" w:lineRule="auto"/>
        <w:tabs>
          <w:tab w:leader="none" w:pos="1661"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Forfeiture Restrictions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shall not sell, transfer, assign, pledge or otherwise encumber or dispose of, by operation of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otherwise, the Restricted Stock or Additional Shares for the period commencing on the Grant Date and ending on the Vesting Date (the </w:t>
      </w:r>
      <w:r>
        <w:rPr>
          <w:rFonts w:ascii="Arial" w:cs="Arial" w:eastAsia="Arial" w:hAnsi="Arial"/>
          <w:sz w:val="18"/>
          <w:szCs w:val="18"/>
          <w:b w:val="1"/>
          <w:bCs w:val="1"/>
          <w:color w:val="auto"/>
        </w:rPr>
        <w:t>“Restriction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Upon vesting on the Vesting Date, the restrictions in this Section 2 shall lapse and Grantee may transfer the shares of Stock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securities law requirements and the Company’s policies and procedures.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5" w:name="page106"/>
    <w:bookmarkEnd w:id="105"/>
    <w:p>
      <w:pPr>
        <w:jc w:val="both"/>
        <w:ind w:firstLine="885"/>
        <w:spacing w:after="0" w:line="289" w:lineRule="auto"/>
        <w:tabs>
          <w:tab w:leader="none" w:pos="1661"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Vesting; Lapse of Restrictions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otherwise in this Agreement and the Plan (including but not limited to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14.2 of the Plan which provides for accelerated vesting upon certain terminations in connection with a Change of Control), the Restricted Stock and Additional Shares shall vest as set forth on the Vesting Schedules in the Notice of Grant. Grantee shall forfeit the unvested portion of the Restricted Stock and Additional Shares. If Grantee terminates Service prior to the Vesting Date on account of death, Disability, or termination by the Company other than for Cause, Grantee shall be entitled to retain a percentage of the Restricted Stock (the </w:t>
      </w:r>
      <w:r>
        <w:rPr>
          <w:rFonts w:ascii="Arial" w:cs="Arial" w:eastAsia="Arial" w:hAnsi="Arial"/>
          <w:sz w:val="16"/>
          <w:szCs w:val="16"/>
          <w:b w:val="1"/>
          <w:bCs w:val="1"/>
          <w:color w:val="auto"/>
        </w:rPr>
        <w:t>“Retained Shares”</w:t>
      </w:r>
      <w:r>
        <w:rPr>
          <w:rFonts w:ascii="Arial" w:cs="Arial" w:eastAsia="Arial" w:hAnsi="Arial"/>
          <w:sz w:val="16"/>
          <w:szCs w:val="16"/>
          <w:color w:val="auto"/>
        </w:rPr>
        <w:t>) equal to the ratio that the number of days of Service of Grantee during the Vesting Period bears to the total number of days in the Vesting Period. The Retained Shares of Restricted Stock shall vest in accordance with the Vesting Schedules set forth in the Notice of Grant as though the Retained Shares were the number of shares of Restricted Stock set forth in the Notice of Grant and the remaining shares of Restricted Stock shall be forfeited upon Grantee’s termination of Service. If Grantee terminates Service prior to the Vesting Date as a result of termination by the Company for Cause or voluntary termination by Grantee, all shares of Restricted Stock and Additional Shares shall be forfeited upon Grantee’s termination of Service and Grantee shall have no right to receive any Additional Shares of Stock.</w:t>
      </w:r>
    </w:p>
    <w:p>
      <w:pPr>
        <w:spacing w:after="0" w:line="161" w:lineRule="exact"/>
        <w:rPr>
          <w:rFonts w:ascii="Arial" w:cs="Arial" w:eastAsia="Arial" w:hAnsi="Arial"/>
          <w:sz w:val="16"/>
          <w:szCs w:val="16"/>
          <w:color w:val="auto"/>
        </w:rPr>
      </w:pPr>
    </w:p>
    <w:p>
      <w:pPr>
        <w:jc w:val="both"/>
        <w:ind w:firstLine="885"/>
        <w:spacing w:after="0" w:line="256" w:lineRule="auto"/>
        <w:tabs>
          <w:tab w:leader="none" w:pos="1661"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Leave of Absence. </w:t>
      </w:r>
      <w:r>
        <w:rPr>
          <w:rFonts w:ascii="Arial" w:cs="Arial" w:eastAsia="Arial" w:hAnsi="Arial"/>
          <w:sz w:val="18"/>
          <w:szCs w:val="18"/>
          <w:color w:val="auto"/>
        </w:rPr>
        <w:t>For purposes of the Restricted Stock and Additional Shares, Service does not terminate when Grantee goes on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employee leave of absence that was approved by the Company or an Affiliate in writing, if the terms of the leave provide for continued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187" w:lineRule="exact"/>
        <w:rPr>
          <w:rFonts w:ascii="Arial" w:cs="Arial" w:eastAsia="Arial" w:hAnsi="Arial"/>
          <w:sz w:val="18"/>
          <w:szCs w:val="18"/>
          <w:color w:val="auto"/>
        </w:rPr>
      </w:pPr>
    </w:p>
    <w:p>
      <w:pPr>
        <w:jc w:val="both"/>
        <w:ind w:firstLine="885"/>
        <w:spacing w:after="0" w:line="261" w:lineRule="auto"/>
        <w:tabs>
          <w:tab w:leader="none" w:pos="1661"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During the Restriction Period, regular and special or extraordinary cash dividends declared and paid with respect to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Restricted Stock and Additional Shares shall be retained by the Company and shall be subject to the same vesting requirements as specified in the Notice of Grant above. Any retained dividends to which Grantee becomes entitled upon vesting on the Vesting Date following the end of the Measuring Periods shall be paid to Grantee on the Vesting Date, but in no event later than March 15, 2020.</w:t>
      </w:r>
    </w:p>
    <w:p>
      <w:pPr>
        <w:spacing w:after="0" w:line="180" w:lineRule="exact"/>
        <w:rPr>
          <w:rFonts w:ascii="Arial" w:cs="Arial" w:eastAsia="Arial" w:hAnsi="Arial"/>
          <w:sz w:val="18"/>
          <w:szCs w:val="18"/>
          <w:color w:val="auto"/>
        </w:rPr>
      </w:pPr>
    </w:p>
    <w:p>
      <w:pPr>
        <w:jc w:val="both"/>
        <w:ind w:firstLine="885"/>
        <w:spacing w:after="0" w:line="273" w:lineRule="auto"/>
        <w:tabs>
          <w:tab w:leader="none" w:pos="1661"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Purchase and Delivery of Shares. </w:t>
      </w:r>
      <w:r>
        <w:rPr>
          <w:rFonts w:ascii="Arial" w:cs="Arial" w:eastAsia="Arial" w:hAnsi="Arial"/>
          <w:sz w:val="17"/>
          <w:szCs w:val="17"/>
          <w:color w:val="auto"/>
        </w:rPr>
        <w:t>Grantee shall be required, to the extent required by applicable law, to purchase the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Restricted Stock and Additional Shares from the Company at the aggregate par value of the shares of Stock represented by such Restricted Stock and Additional Shares (the </w:t>
      </w:r>
      <w:r>
        <w:rPr>
          <w:rFonts w:ascii="Arial" w:cs="Arial" w:eastAsia="Arial" w:hAnsi="Arial"/>
          <w:sz w:val="17"/>
          <w:szCs w:val="17"/>
          <w:b w:val="1"/>
          <w:bCs w:val="1"/>
          <w:color w:val="auto"/>
        </w:rPr>
        <w:t>“Purchase Price”</w:t>
      </w:r>
      <w:r>
        <w:rPr>
          <w:rFonts w:ascii="Arial" w:cs="Arial" w:eastAsia="Arial" w:hAnsi="Arial"/>
          <w:sz w:val="17"/>
          <w:szCs w:val="17"/>
          <w:color w:val="auto"/>
        </w:rPr>
        <w:t>). The Purchase Price shall be payable in cash or in cash equivalents acceptable to the Company. Upon the expiration or termination of the Restriction Period, and the Grantee having properly paid the Purchase Price, the restrictions applicable to Restricted Stock and Additional Shares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172" w:lineRule="exact"/>
        <w:rPr>
          <w:rFonts w:ascii="Arial" w:cs="Arial" w:eastAsia="Arial" w:hAnsi="Arial"/>
          <w:sz w:val="17"/>
          <w:szCs w:val="17"/>
          <w:color w:val="auto"/>
        </w:rPr>
      </w:pPr>
    </w:p>
    <w:p>
      <w:pPr>
        <w:ind w:firstLine="885"/>
        <w:spacing w:after="0" w:line="282" w:lineRule="auto"/>
        <w:tabs>
          <w:tab w:leader="none" w:pos="1661"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Enforcement of Restrictions. </w:t>
      </w:r>
      <w:r>
        <w:rPr>
          <w:rFonts w:ascii="Arial" w:cs="Arial" w:eastAsia="Arial" w:hAnsi="Arial"/>
          <w:sz w:val="18"/>
          <w:szCs w:val="18"/>
          <w:color w:val="auto"/>
        </w:rPr>
        <w:t>All certificates representing shares of Stock shall include applicable restrictive legends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transfer and compliance with securities law requirements, as determined by the Committee.</w:t>
      </w:r>
    </w:p>
    <w:p>
      <w:pPr>
        <w:spacing w:after="0" w:line="161" w:lineRule="exact"/>
        <w:rPr>
          <w:rFonts w:ascii="Arial" w:cs="Arial" w:eastAsia="Arial" w:hAnsi="Arial"/>
          <w:sz w:val="18"/>
          <w:szCs w:val="18"/>
          <w:color w:val="auto"/>
        </w:rPr>
      </w:pPr>
    </w:p>
    <w:p>
      <w:pPr>
        <w:jc w:val="both"/>
        <w:ind w:firstLine="885"/>
        <w:spacing w:after="0" w:line="258" w:lineRule="auto"/>
        <w:tabs>
          <w:tab w:leader="none" w:pos="1661"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or any Affiliate shall have the right to deduct from payments of any kind otherwise due to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any federal, state, local or foreign taxes of any kind required by law to be withheld upon the 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 withholding with respect to the Award and to deduct any remaining amount due from any payments due to Grantee.</w:t>
      </w:r>
    </w:p>
    <w:p>
      <w:pPr>
        <w:spacing w:after="0" w:line="188" w:lineRule="exact"/>
        <w:rPr>
          <w:sz w:val="20"/>
          <w:szCs w:val="20"/>
          <w:color w:val="auto"/>
        </w:rPr>
      </w:pPr>
    </w:p>
    <w:p>
      <w:pPr>
        <w:jc w:val="both"/>
        <w:ind w:firstLine="877"/>
        <w:spacing w:after="0" w:line="312" w:lineRule="auto"/>
        <w:rPr>
          <w:sz w:val="20"/>
          <w:szCs w:val="20"/>
          <w:color w:val="auto"/>
        </w:rPr>
      </w:pPr>
      <w:r>
        <w:rPr>
          <w:rFonts w:ascii="Arial" w:cs="Arial" w:eastAsia="Arial" w:hAnsi="Arial"/>
          <w:sz w:val="16"/>
          <w:szCs w:val="16"/>
          <w:color w:val="auto"/>
        </w:rPr>
        <w:t>Notwithstanding the foregoing, in lieu of share withholding, Grantee may irrevocably elect to satisfy the required tax withholding obligation by delivering: (a) a cashier’s check or other check acceptable to the Company; or (b) whole shares of Stock already owned by Grantee, in the amount determined by the Company to satisfy the required tax withholding obligation. Any election to deliver a check or shares shall be irrevocable, made in writing,</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6" w:name="page107"/>
    <w:bookmarkEnd w:id="106"/>
    <w:p>
      <w:pPr>
        <w:jc w:val="both"/>
        <w:spacing w:after="0" w:line="277" w:lineRule="auto"/>
        <w:rPr>
          <w:sz w:val="20"/>
          <w:szCs w:val="20"/>
          <w:color w:val="auto"/>
        </w:rPr>
      </w:pPr>
      <w:r>
        <w:rPr>
          <w:rFonts w:ascii="Arial" w:cs="Arial" w:eastAsia="Arial" w:hAnsi="Arial"/>
          <w:sz w:val="18"/>
          <w:szCs w:val="18"/>
          <w:color w:val="auto"/>
        </w:rPr>
        <w:t>signed by Grantee and delivered to the General Counsel of the Company at least 30 days before the scheduled Vesting Date, and shall be subject to any restrictions or limitations that the Company, in its sole discretion, deems appropriate.</w:t>
      </w:r>
    </w:p>
    <w:p>
      <w:pPr>
        <w:spacing w:after="0" w:line="170"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w:t>
      </w:r>
    </w:p>
    <w:p>
      <w:pPr>
        <w:spacing w:after="0" w:line="183" w:lineRule="exact"/>
        <w:rPr>
          <w:sz w:val="20"/>
          <w:szCs w:val="20"/>
          <w:color w:val="auto"/>
        </w:rPr>
      </w:pPr>
    </w:p>
    <w:p>
      <w:pPr>
        <w:jc w:val="both"/>
        <w:ind w:firstLine="885"/>
        <w:spacing w:after="0" w:line="295" w:lineRule="auto"/>
        <w:tabs>
          <w:tab w:leader="none" w:pos="1661"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Effect of Prohibited Transfer. </w:t>
      </w:r>
      <w:r>
        <w:rPr>
          <w:rFonts w:ascii="Arial" w:cs="Arial" w:eastAsia="Arial" w:hAnsi="Arial"/>
          <w:sz w:val="16"/>
          <w:szCs w:val="16"/>
          <w:color w:val="auto"/>
        </w:rPr>
        <w:t>If any transfer of shares is made or attempted to be made contrary to the terms of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have 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155" w:lineRule="exact"/>
        <w:rPr>
          <w:rFonts w:ascii="Arial" w:cs="Arial" w:eastAsia="Arial" w:hAnsi="Arial"/>
          <w:sz w:val="16"/>
          <w:szCs w:val="16"/>
          <w:color w:val="auto"/>
        </w:rPr>
      </w:pPr>
    </w:p>
    <w:p>
      <w:pPr>
        <w:jc w:val="both"/>
        <w:ind w:firstLine="885"/>
        <w:spacing w:after="0" w:line="266" w:lineRule="auto"/>
        <w:tabs>
          <w:tab w:leader="none" w:pos="1751"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Investment Representations. </w:t>
      </w:r>
      <w:r>
        <w:rPr>
          <w:rFonts w:ascii="Arial" w:cs="Arial" w:eastAsia="Arial" w:hAnsi="Arial"/>
          <w:sz w:val="18"/>
          <w:szCs w:val="18"/>
          <w:color w:val="auto"/>
        </w:rPr>
        <w:t>The Committee may require Grantee (or Grantee’s estate or heirs) to represent and warrant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individual is acquiring the shares of Stock for investment and without any present intention to sell or distribute such shares and to make such other representations as are deemed necessary or appropriate by the Company and its counsel.</w:t>
      </w:r>
    </w:p>
    <w:p>
      <w:pPr>
        <w:spacing w:after="0" w:line="176" w:lineRule="exact"/>
        <w:rPr>
          <w:rFonts w:ascii="Arial" w:cs="Arial" w:eastAsia="Arial" w:hAnsi="Arial"/>
          <w:sz w:val="18"/>
          <w:szCs w:val="18"/>
          <w:color w:val="auto"/>
        </w:rPr>
      </w:pPr>
    </w:p>
    <w:p>
      <w:pPr>
        <w:jc w:val="both"/>
        <w:ind w:firstLine="885"/>
        <w:spacing w:after="0" w:line="266" w:lineRule="auto"/>
        <w:tabs>
          <w:tab w:leader="none" w:pos="1744"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Continued Service. </w:t>
      </w:r>
      <w:r>
        <w:rPr>
          <w:rFonts w:ascii="Arial" w:cs="Arial" w:eastAsia="Arial" w:hAnsi="Arial"/>
          <w:sz w:val="18"/>
          <w:szCs w:val="18"/>
          <w:color w:val="auto"/>
        </w:rPr>
        <w:t>Neither the grant of shares of Restricted Stock and Additional Shares nor this Agreement gives Grantee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continue Service with the Company or its Affiliates in any capacity. The Company and its Affiliates reserve the right to terminate Grantee’s Service at any time and for any reason not prohibited by law.</w:t>
      </w:r>
    </w:p>
    <w:p>
      <w:pPr>
        <w:spacing w:after="0" w:line="176" w:lineRule="exact"/>
        <w:rPr>
          <w:rFonts w:ascii="Arial" w:cs="Arial" w:eastAsia="Arial" w:hAnsi="Arial"/>
          <w:sz w:val="18"/>
          <w:szCs w:val="18"/>
          <w:color w:val="auto"/>
        </w:rPr>
      </w:pPr>
    </w:p>
    <w:p>
      <w:pPr>
        <w:jc w:val="both"/>
        <w:ind w:firstLine="885"/>
        <w:spacing w:after="0" w:line="266" w:lineRule="auto"/>
        <w:tabs>
          <w:tab w:leader="none" w:pos="1751"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and construction of this Agreement and the Plan shall be construed in accordance with and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laws of the State of Delaware other than any conflicts or choice of law rule or principle that might otherwise refer construction or interpretation of the Plan and this Agreement to the substantive laws of any other jurisdiction.</w:t>
      </w:r>
    </w:p>
    <w:p>
      <w:pPr>
        <w:spacing w:after="0" w:line="176" w:lineRule="exact"/>
        <w:rPr>
          <w:rFonts w:ascii="Arial" w:cs="Arial" w:eastAsia="Arial" w:hAnsi="Arial"/>
          <w:sz w:val="18"/>
          <w:szCs w:val="18"/>
          <w:color w:val="auto"/>
        </w:rPr>
      </w:pPr>
    </w:p>
    <w:p>
      <w:pPr>
        <w:ind w:firstLine="885"/>
        <w:spacing w:after="0" w:line="282" w:lineRule="auto"/>
        <w:tabs>
          <w:tab w:leader="none" w:pos="1751"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shall be binding upon and inure to the benefit of the Company and Grantee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heirs, executors, administrators, legal representatives, successors and assigns.</w:t>
      </w:r>
    </w:p>
    <w:p>
      <w:pPr>
        <w:spacing w:after="0" w:line="161" w:lineRule="exact"/>
        <w:rPr>
          <w:rFonts w:ascii="Arial" w:cs="Arial" w:eastAsia="Arial" w:hAnsi="Arial"/>
          <w:sz w:val="18"/>
          <w:szCs w:val="18"/>
          <w:color w:val="auto"/>
        </w:rPr>
      </w:pPr>
    </w:p>
    <w:p>
      <w:pPr>
        <w:ind w:firstLine="885"/>
        <w:spacing w:after="0" w:line="347" w:lineRule="auto"/>
        <w:tabs>
          <w:tab w:leader="none" w:pos="1751"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Tax Treatment; Section 83(b); Section 409A</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may incur tax liability as a result of the vesting of shares of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and Additional Shares, the payment of dividends or the disposition of shares of Stock. Grantee should consult his or her own tax adviser for tax advice.</w:t>
      </w:r>
    </w:p>
    <w:p>
      <w:pPr>
        <w:spacing w:after="0" w:line="120"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7"/>
          <w:szCs w:val="17"/>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171" w:lineRule="exact"/>
        <w:rPr>
          <w:sz w:val="20"/>
          <w:szCs w:val="20"/>
          <w:color w:val="auto"/>
        </w:rPr>
      </w:pPr>
    </w:p>
    <w:p>
      <w:pPr>
        <w:jc w:val="both"/>
        <w:ind w:firstLine="1755"/>
        <w:spacing w:after="0" w:line="286" w:lineRule="auto"/>
        <w:rPr>
          <w:sz w:val="20"/>
          <w:szCs w:val="20"/>
          <w:color w:val="auto"/>
        </w:rPr>
      </w:pPr>
      <w:r>
        <w:rPr>
          <w:rFonts w:ascii="Arial" w:cs="Arial" w:eastAsia="Arial" w:hAnsi="Arial"/>
          <w:sz w:val="17"/>
          <w:szCs w:val="17"/>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62" w:lineRule="exact"/>
        <w:rPr>
          <w:sz w:val="20"/>
          <w:szCs w:val="20"/>
          <w:color w:val="auto"/>
        </w:rPr>
      </w:pPr>
    </w:p>
    <w:p>
      <w:pPr>
        <w:ind w:firstLine="885"/>
        <w:spacing w:after="0" w:line="347" w:lineRule="auto"/>
        <w:tabs>
          <w:tab w:leader="none" w:pos="1751"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Amendment. </w:t>
      </w:r>
      <w:r>
        <w:rPr>
          <w:rFonts w:ascii="Arial" w:cs="Arial" w:eastAsia="Arial" w:hAnsi="Arial"/>
          <w:sz w:val="16"/>
          <w:szCs w:val="16"/>
          <w:color w:val="auto"/>
        </w:rPr>
        <w:t>The terms and conditions set forth in this Agreement may only be amended by the written consent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except to the extent set forth in Section 16 of the Plan regarding Section 409A of the Code and any other provision set forth in the Plan.</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7" w:name="page108"/>
    <w:bookmarkEnd w:id="107"/>
    <w:p>
      <w:pPr>
        <w:jc w:val="both"/>
        <w:ind w:left="-880" w:firstLine="885"/>
        <w:spacing w:after="0" w:line="266" w:lineRule="auto"/>
        <w:tabs>
          <w:tab w:leader="none" w:pos="871"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2016 Equity Incentive Plan. </w:t>
      </w:r>
      <w:r>
        <w:rPr>
          <w:rFonts w:ascii="Arial" w:cs="Arial" w:eastAsia="Arial" w:hAnsi="Arial"/>
          <w:sz w:val="18"/>
          <w:szCs w:val="18"/>
          <w:color w:val="auto"/>
        </w:rPr>
        <w:t>The shares of Stock and payment of dividends granted hereunder shall be subject to such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as may be imposed under the terms of the Plan, a copy of which has been provided to Grantee. A copy of the Prospectus for the 2016 Equity Incentive Plan shall also be provided to Grantee.</w:t>
      </w:r>
    </w:p>
    <w:p>
      <w:pPr>
        <w:spacing w:after="0" w:line="1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NATIONAL CINEMEDIA, INC.</w:t>
      </w:r>
    </w:p>
    <w:p>
      <w:pPr>
        <w:spacing w:after="0" w:line="256"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J. England</w:t>
            </w:r>
          </w:p>
        </w:tc>
      </w:tr>
      <w:tr>
        <w:trPr>
          <w:trHeight w:val="222"/>
        </w:trPr>
        <w:tc>
          <w:tcPr>
            <w:tcW w:w="6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Andrew J. England</w:t>
            </w:r>
          </w:p>
        </w:tc>
      </w:tr>
      <w:tr>
        <w:trPr>
          <w:trHeight w:val="230"/>
        </w:trPr>
        <w:tc>
          <w:tcPr>
            <w:tcW w:w="6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40"/>
          </w:cols>
          <w:pgMar w:left="1120" w:top="337"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10.27.2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25"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8"/>
          <w:szCs w:val="18"/>
          <w:color w:val="auto"/>
        </w:rPr>
        <w:t xml:space="preserve">The Compensation Committee of the Board of Directors of National CineMedia,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granted Restricted Stock Units issued under the National CineMedia, Inc. 2016 Equity Incentive Plan, as amended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to the Grantee named below. This Restricted Stock Unit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evidences the terms of the Company’s grant of Restricted Stock Units to Grantee. Any capitalized term in this Agreement shall have the meaning assigned to it in this Agreement or in the Plan, as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NOTICE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Vesting Schedule: </w:t>
      </w:r>
      <w:r>
        <w:rPr>
          <w:rFonts w:ascii="Arial" w:cs="Arial" w:eastAsia="Arial" w:hAnsi="Arial"/>
          <w:sz w:val="16"/>
          <w:szCs w:val="16"/>
          <w:color w:val="auto"/>
        </w:rPr>
        <w:t>Except as provided otherwise in this Agreement or the Plan (including but not limited to Section 14.2 of the Plan which provides for</w:t>
      </w:r>
      <w:r>
        <w:rPr>
          <w:rFonts w:ascii="Arial" w:cs="Arial" w:eastAsia="Arial" w:hAnsi="Arial"/>
          <w:sz w:val="16"/>
          <w:szCs w:val="16"/>
          <w:b w:val="1"/>
          <w:bCs w:val="1"/>
          <w:color w:val="auto"/>
        </w:rPr>
        <w:t xml:space="preserve"> </w:t>
      </w:r>
      <w:r>
        <w:rPr>
          <w:rFonts w:ascii="Arial" w:cs="Arial" w:eastAsia="Arial" w:hAnsi="Arial"/>
          <w:sz w:val="16"/>
          <w:szCs w:val="16"/>
          <w:color w:val="auto"/>
        </w:rPr>
        <w:t>accelerated vesting upon certain terminations in connection with a Change of Control), and subject to Grantee’s continuous Service, the Restricted Stock Units shall vest and the forfeiture restrictions set forth in Section 2 of this Agreement shall lapse as follows: 100% of the Restricted Stock Units shall vest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____________ (the </w:t>
      </w:r>
      <w:r>
        <w:rPr>
          <w:rFonts w:ascii="Arial" w:cs="Arial" w:eastAsia="Arial" w:hAnsi="Arial"/>
          <w:sz w:val="18"/>
          <w:szCs w:val="18"/>
          <w:b w:val="1"/>
          <w:bCs w:val="1"/>
          <w:color w:val="auto"/>
        </w:rPr>
        <w:t>“Service Vesting Date”</w:t>
      </w:r>
      <w:r>
        <w:rPr>
          <w:rFonts w:ascii="Arial" w:cs="Arial" w:eastAsia="Arial" w:hAnsi="Arial"/>
          <w:sz w:val="18"/>
          <w:szCs w:val="18"/>
          <w:color w:val="auto"/>
        </w:rPr>
        <w:t>).</w:t>
      </w:r>
    </w:p>
    <w:p>
      <w:pPr>
        <w:spacing w:after="0" w:line="2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Delivery of Shares and Dividend Equivalents: </w:t>
      </w:r>
      <w:r>
        <w:rPr>
          <w:rFonts w:ascii="Arial" w:cs="Arial" w:eastAsia="Arial" w:hAnsi="Arial"/>
          <w:sz w:val="16"/>
          <w:szCs w:val="16"/>
          <w:color w:val="auto"/>
        </w:rPr>
        <w:t>On the Service Vesting Date, the Grantee shall be issued a number of shares of Stock equal to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Units set forth above, together with payment of any accumulated Dividend Equivalents as provided in Section 4 below, unless Grantee has elected, pursuant to Section 7 below, to defer the receipt of the Stock and Dividend Equivalents related to the Restricted Stock Units.</w:t>
      </w:r>
    </w:p>
    <w:p>
      <w:pPr>
        <w:spacing w:after="0" w:line="142" w:lineRule="exact"/>
        <w:rPr>
          <w:sz w:val="20"/>
          <w:szCs w:val="20"/>
          <w:color w:val="auto"/>
        </w:rPr>
      </w:pPr>
    </w:p>
    <w:p>
      <w:pPr>
        <w:ind w:left="4060" w:hanging="255"/>
        <w:spacing w:after="0"/>
        <w:tabs>
          <w:tab w:leader="none" w:pos="4060" w:val="left"/>
        </w:tabs>
        <w:numPr>
          <w:ilvl w:val="1"/>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 AGREEMENT</w:t>
      </w:r>
    </w:p>
    <w:p>
      <w:pPr>
        <w:spacing w:after="0" w:line="225" w:lineRule="exact"/>
        <w:rPr>
          <w:rFonts w:ascii="Arial" w:cs="Arial" w:eastAsia="Arial" w:hAnsi="Arial"/>
          <w:sz w:val="18"/>
          <w:szCs w:val="18"/>
          <w:b w:val="1"/>
          <w:bCs w:val="1"/>
          <w:color w:val="auto"/>
        </w:rPr>
      </w:pPr>
    </w:p>
    <w:p>
      <w:pPr>
        <w:jc w:val="both"/>
        <w:ind w:firstLine="885"/>
        <w:spacing w:after="0" w:line="255" w:lineRule="auto"/>
        <w:tabs>
          <w:tab w:leader="none" w:pos="1661"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Grant of Restricted Stock Units. </w:t>
      </w:r>
      <w:r>
        <w:rPr>
          <w:rFonts w:ascii="Arial" w:cs="Arial" w:eastAsia="Arial" w:hAnsi="Arial"/>
          <w:sz w:val="18"/>
          <w:szCs w:val="18"/>
          <w:color w:val="auto"/>
        </w:rPr>
        <w:t>Subject to the terms and conditions of this Agreement and the Plan, the Company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the number of Restricted Stock Units set forth in the Notice of Grant, effective on the Grant Date set forth in the Notice of Grant, and subject to the terms and conditions of the Plan, which is incorporated herein by reference. Each Restricted Stock Unit represents the right to receive one share of Stock at the time provided in this Agreement. Grantee shall have no voting or any other rights as a stockholder of the Company with respect to the Restricted Stock Units until the transfer of shares of Stock to Grantee. Grantee’s right to receive Stock and Dividend Equivalents under this Agreement shall be no greater than the right of any unsecured general creditor of the Company. In the event of a conflict between the terms and conditions of the Plan and this Agreement, the terms and conditions of the Plan shall govern.</w:t>
      </w:r>
    </w:p>
    <w:p>
      <w:pPr>
        <w:spacing w:after="0" w:line="189" w:lineRule="exact"/>
        <w:rPr>
          <w:rFonts w:ascii="Arial" w:cs="Arial" w:eastAsia="Arial" w:hAnsi="Arial"/>
          <w:sz w:val="18"/>
          <w:szCs w:val="18"/>
          <w:color w:val="auto"/>
        </w:rPr>
      </w:pPr>
    </w:p>
    <w:p>
      <w:pPr>
        <w:jc w:val="both"/>
        <w:ind w:firstLine="885"/>
        <w:spacing w:after="0" w:line="281" w:lineRule="auto"/>
        <w:tabs>
          <w:tab w:leader="none" w:pos="1661"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Forfeiture and Transfer Restrictions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Restricted Stock Units shall be subject to forfeiture until the Service Vesting Date.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Grantee shall not sell, transfer, assign, pledge or otherwise encumber or dispose of, by operation of law or otherwise, the Restricted Stock Units. Upon vesting on the Service Vesting Date and issuance of the number of shares of Stock to which Grantee is entitled hereunder, Grantee may transfer the shares of Stock in accordance with applicable securities law requirements and the Company’s policies and procedures.</w:t>
      </w:r>
    </w:p>
    <w:p>
      <w:pPr>
        <w:spacing w:after="0" w:line="164" w:lineRule="exact"/>
        <w:rPr>
          <w:rFonts w:ascii="Arial" w:cs="Arial" w:eastAsia="Arial" w:hAnsi="Arial"/>
          <w:sz w:val="17"/>
          <w:szCs w:val="17"/>
          <w:color w:val="auto"/>
        </w:rPr>
      </w:pPr>
    </w:p>
    <w:p>
      <w:pPr>
        <w:jc w:val="both"/>
        <w:ind w:firstLine="885"/>
        <w:spacing w:after="0" w:line="277" w:lineRule="auto"/>
        <w:tabs>
          <w:tab w:leader="none" w:pos="1661"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Vesting; Issuance of Stock</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provided otherwise in this Agreement and the Plan (including but not limited to Section 14.2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which provides for accelerated vesting upon certain terminations in connection with a Change of Control), if Grantee has been in continuous Service since the Grant Date, the Restricted Stock Units shall vest on the Service Vesting Date as set forth on the Vesting Schedule in the Notice of Grant. Except as provided below, Grantee shall forfeit the unvested portion of the Restricted Stock Units upon termination of Service. The shares of Stock and the accumulated Dividend Equivalents, as provided in Section 4, shall be delivered and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268605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9" w:name="page110"/>
    <w:bookmarkEnd w:id="109"/>
    <w:p>
      <w:pPr>
        <w:jc w:val="both"/>
        <w:spacing w:after="0" w:line="272" w:lineRule="auto"/>
        <w:rPr>
          <w:sz w:val="20"/>
          <w:szCs w:val="20"/>
          <w:color w:val="auto"/>
        </w:rPr>
      </w:pPr>
      <w:r>
        <w:rPr>
          <w:rFonts w:ascii="Arial" w:cs="Arial" w:eastAsia="Arial" w:hAnsi="Arial"/>
          <w:sz w:val="17"/>
          <w:szCs w:val="17"/>
          <w:color w:val="auto"/>
        </w:rPr>
        <w:t>to Grantee as soon as practicable following the Service Vesting Date set forth in the Notice of Grant, but in no event later than March 15</w:t>
      </w:r>
      <w:r>
        <w:rPr>
          <w:rFonts w:ascii="Arial" w:cs="Arial" w:eastAsia="Arial" w:hAnsi="Arial"/>
          <w:sz w:val="14"/>
          <w:szCs w:val="14"/>
          <w:color w:val="auto"/>
        </w:rPr>
        <w:t>th</w:t>
      </w:r>
      <w:r>
        <w:rPr>
          <w:rFonts w:ascii="Arial" w:cs="Arial" w:eastAsia="Arial" w:hAnsi="Arial"/>
          <w:sz w:val="17"/>
          <w:szCs w:val="17"/>
          <w:color w:val="auto"/>
        </w:rPr>
        <w:t xml:space="preserve"> of the calendar year following the calendar year in which the Service Vesting Date occurs, unless Grantee has elected pursuant to Section 7 below to defer issuance of the shares of Stock and payment of any accumulated Dividend Equivalents. If Grantee terminates Service prior to the Service Vesting Date on account of death, Grantee shall vest in all of the Restricted Stock Units on the date of death and shall be entitled to the issuance of shares of Stock equal to the number of Restricted Stock Units granted to Grantee, together with any accumulated Dividend Equivalents, as provided in Section 4. The shares of Stock and the Dividend Equivalents shall be issued and paid to Grantee’s estate as soon as practicable following the date of Grantee’s death, but in no event later than March 15</w:t>
      </w:r>
      <w:r>
        <w:rPr>
          <w:rFonts w:ascii="Arial" w:cs="Arial" w:eastAsia="Arial" w:hAnsi="Arial"/>
          <w:sz w:val="14"/>
          <w:szCs w:val="14"/>
          <w:color w:val="auto"/>
        </w:rPr>
        <w:t>th</w:t>
      </w:r>
      <w:r>
        <w:rPr>
          <w:rFonts w:ascii="Arial" w:cs="Arial" w:eastAsia="Arial" w:hAnsi="Arial"/>
          <w:sz w:val="17"/>
          <w:szCs w:val="17"/>
          <w:color w:val="auto"/>
        </w:rPr>
        <w:t xml:space="preserve"> of the calendar year following the year in which Grantee dies.</w:t>
      </w:r>
    </w:p>
    <w:p>
      <w:pPr>
        <w:spacing w:after="0" w:line="174" w:lineRule="exact"/>
        <w:rPr>
          <w:sz w:val="20"/>
          <w:szCs w:val="20"/>
          <w:color w:val="auto"/>
        </w:rPr>
      </w:pPr>
    </w:p>
    <w:p>
      <w:pPr>
        <w:jc w:val="both"/>
        <w:ind w:firstLine="885"/>
        <w:spacing w:after="0" w:line="258" w:lineRule="auto"/>
        <w:tabs>
          <w:tab w:leader="none" w:pos="1661"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During the period from the Grant Date through the date on which shares of Stock are issued to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Section 3 (the </w:t>
      </w:r>
      <w:r>
        <w:rPr>
          <w:rFonts w:ascii="Arial" w:cs="Arial" w:eastAsia="Arial" w:hAnsi="Arial"/>
          <w:sz w:val="18"/>
          <w:szCs w:val="18"/>
          <w:b w:val="1"/>
          <w:bCs w:val="1"/>
          <w:color w:val="auto"/>
        </w:rPr>
        <w:t>“Restriction Period”</w:t>
      </w:r>
      <w:r>
        <w:rPr>
          <w:rFonts w:ascii="Arial" w:cs="Arial" w:eastAsia="Arial" w:hAnsi="Arial"/>
          <w:sz w:val="18"/>
          <w:szCs w:val="18"/>
          <w:color w:val="auto"/>
        </w:rPr>
        <w:t>), the Company shall credit Grantee with Dividend Equivalents equal to the regular and special or extraordinary cash dividends declared and paid with respect to shares of Stock equal to the number of Restricted Stock Units granted to Grantee. The Dividend Equivalents shall be retained by the Company and paid to Grantee, in cash, at the same time that the shares of Stock are issued to Grantee as provided herein.</w:t>
      </w:r>
    </w:p>
    <w:p>
      <w:pPr>
        <w:spacing w:after="0" w:line="183" w:lineRule="exact"/>
        <w:rPr>
          <w:rFonts w:ascii="Arial" w:cs="Arial" w:eastAsia="Arial" w:hAnsi="Arial"/>
          <w:sz w:val="18"/>
          <w:szCs w:val="18"/>
          <w:color w:val="auto"/>
        </w:rPr>
      </w:pPr>
    </w:p>
    <w:p>
      <w:pPr>
        <w:jc w:val="both"/>
        <w:ind w:firstLine="885"/>
        <w:spacing w:after="0" w:line="261" w:lineRule="auto"/>
        <w:tabs>
          <w:tab w:leader="none" w:pos="1661"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Upon the termination of Grantee’s Service, for any reason other than death, any Restricted Stock Units held</w:t>
      </w:r>
      <w:r>
        <w:rPr>
          <w:rFonts w:ascii="Arial" w:cs="Arial" w:eastAsia="Arial" w:hAnsi="Arial"/>
          <w:sz w:val="18"/>
          <w:szCs w:val="18"/>
          <w:b w:val="1"/>
          <w:bCs w:val="1"/>
          <w:color w:val="auto"/>
        </w:rPr>
        <w:t xml:space="preserve"> </w:t>
      </w:r>
      <w:r>
        <w:rPr>
          <w:rFonts w:ascii="Arial" w:cs="Arial" w:eastAsia="Arial" w:hAnsi="Arial"/>
          <w:sz w:val="18"/>
          <w:szCs w:val="18"/>
          <w:color w:val="auto"/>
        </w:rPr>
        <w:t>by Grantee that have not vested, or with respect to which all applicable restrictions and conditions have not lapsed, shall immediately be forfeited. Upon forfeiture of the Restricted Stock Units, Grantee shall have no further rights with respect to such Restricted Stock Units. Section 14.2 of the Plan provides for accelerated vesting with respect to certain terminations in connection with a Change of Control.</w:t>
      </w:r>
    </w:p>
    <w:p>
      <w:pPr>
        <w:spacing w:after="0" w:line="180" w:lineRule="exact"/>
        <w:rPr>
          <w:rFonts w:ascii="Arial" w:cs="Arial" w:eastAsia="Arial" w:hAnsi="Arial"/>
          <w:sz w:val="18"/>
          <w:szCs w:val="18"/>
          <w:color w:val="auto"/>
        </w:rPr>
      </w:pPr>
    </w:p>
    <w:p>
      <w:pPr>
        <w:jc w:val="both"/>
        <w:ind w:firstLine="885"/>
        <w:spacing w:after="0" w:line="295" w:lineRule="auto"/>
        <w:tabs>
          <w:tab w:leader="none" w:pos="1661"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Purchase and Delivery of Shares. </w:t>
      </w:r>
      <w:r>
        <w:rPr>
          <w:rFonts w:ascii="Arial" w:cs="Arial" w:eastAsia="Arial" w:hAnsi="Arial"/>
          <w:sz w:val="16"/>
          <w:szCs w:val="16"/>
          <w:color w:val="auto"/>
        </w:rPr>
        <w:t>Grantee shall be required, to the extent required by applicable law, to purchase the shares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issuable hereunder from the Company at the aggregate par value of the shares of Stock (the </w:t>
      </w:r>
      <w:r>
        <w:rPr>
          <w:rFonts w:ascii="Arial" w:cs="Arial" w:eastAsia="Arial" w:hAnsi="Arial"/>
          <w:sz w:val="16"/>
          <w:szCs w:val="16"/>
          <w:b w:val="1"/>
          <w:bCs w:val="1"/>
          <w:color w:val="auto"/>
        </w:rPr>
        <w:t>“Purchase Price”</w:t>
      </w:r>
      <w:r>
        <w:rPr>
          <w:rFonts w:ascii="Arial" w:cs="Arial" w:eastAsia="Arial" w:hAnsi="Arial"/>
          <w:sz w:val="16"/>
          <w:szCs w:val="16"/>
          <w:color w:val="auto"/>
        </w:rPr>
        <w:t>). The Purchase Price shall be payable in cash or in cash equivalents acceptable to the Company. Unless an election is made under Section 7, upon the expiration or termination of the Restriction Period, and Grantee having properly paid the Purchase Price, the shares of Stock shall be issuable to Grantee (or his estate) and a certificate for such shares of Stock shall be delivered, free of all such restrictions, to Grantee or Grantee’s estate, as the case may be. Notwithstanding anything in this Agreement to the contrary, the Company may elect to satisfy any requirement for the delivery of stock certificates through the use of book-entry.</w:t>
      </w:r>
    </w:p>
    <w:p>
      <w:pPr>
        <w:spacing w:after="0" w:line="155" w:lineRule="exact"/>
        <w:rPr>
          <w:rFonts w:ascii="Arial" w:cs="Arial" w:eastAsia="Arial" w:hAnsi="Arial"/>
          <w:sz w:val="16"/>
          <w:szCs w:val="16"/>
          <w:color w:val="auto"/>
        </w:rPr>
      </w:pPr>
    </w:p>
    <w:p>
      <w:pPr>
        <w:jc w:val="both"/>
        <w:ind w:firstLine="885"/>
        <w:spacing w:after="0" w:line="271" w:lineRule="auto"/>
        <w:tabs>
          <w:tab w:leader="none" w:pos="1661"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Election to Defer Receipt of Stock and Dividend Equivalents. </w:t>
      </w:r>
      <w:r>
        <w:rPr>
          <w:rFonts w:ascii="Arial" w:cs="Arial" w:eastAsia="Arial" w:hAnsi="Arial"/>
          <w:sz w:val="17"/>
          <w:szCs w:val="17"/>
          <w:color w:val="auto"/>
        </w:rPr>
        <w:t>During the period from the Grant Date through and including the last</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day on or before the 30</w:t>
      </w:r>
      <w:r>
        <w:rPr>
          <w:rFonts w:ascii="Arial" w:cs="Arial" w:eastAsia="Arial" w:hAnsi="Arial"/>
          <w:sz w:val="14"/>
          <w:szCs w:val="14"/>
          <w:color w:val="auto"/>
        </w:rPr>
        <w:t>th</w:t>
      </w:r>
      <w:r>
        <w:rPr>
          <w:rFonts w:ascii="Arial" w:cs="Arial" w:eastAsia="Arial" w:hAnsi="Arial"/>
          <w:sz w:val="17"/>
          <w:szCs w:val="17"/>
          <w:color w:val="auto"/>
        </w:rPr>
        <w:t xml:space="preserve"> day after the Grant Date, Grantee shall be entitled to elect, in writing, in accordance with the provisions of the Deferral Election Form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Deferral Election Form”</w:t>
      </w:r>
      <w:r>
        <w:rPr>
          <w:rFonts w:ascii="Arial" w:cs="Arial" w:eastAsia="Arial" w:hAnsi="Arial"/>
          <w:sz w:val="17"/>
          <w:szCs w:val="17"/>
          <w:color w:val="auto"/>
        </w:rPr>
        <w:t>), to defer the issuance of shares of Stock and the payment of accumulated Dividend Equivalents for up to five years following the scheduled Service Vesting Date set forth in the Notice of Grant. If any such deferred payment date elected by Grantee falls on a holiday or non-business day, the shares of Stock and Dividend Equivalents shall be issued and paid to Grantee on the immediately preceding business day. An election made by Grantee and delivered to the Company on the Deferral Election Form will be irrevocable, and issuance of the shares of Stock and payment of Dividend Equivalents prior to the date selected by Grantee would occur only upon the earlier death of Grantee or pursuant to Section 8. If Grantee fails to properly elect a different payment date in accordance with this Section, the Grantee shall be entitled to issuance of the shares of Stock and payment of Dividend Equivalents in accordance with Section 3.</w:t>
      </w:r>
    </w:p>
    <w:p>
      <w:pPr>
        <w:spacing w:after="0" w:line="174" w:lineRule="exact"/>
        <w:rPr>
          <w:rFonts w:ascii="Arial" w:cs="Arial" w:eastAsia="Arial" w:hAnsi="Arial"/>
          <w:sz w:val="17"/>
          <w:szCs w:val="17"/>
          <w:color w:val="auto"/>
        </w:rPr>
      </w:pPr>
    </w:p>
    <w:p>
      <w:pPr>
        <w:jc w:val="both"/>
        <w:ind w:firstLine="885"/>
        <w:spacing w:after="0" w:line="254" w:lineRule="auto"/>
        <w:tabs>
          <w:tab w:leader="none" w:pos="1661"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Upon the occurrence of a Change of Control, the Restricted Stock Units shall become fully vested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and in accordance with the provisions of Section 14.2 of the Plan regardless of whether all conditions for vesting relating to length of Service have been satisfied. If the Change of Control is also a “change in control” within the meaning of Section 409A, and if the Restricted Stock Units fully vest in accordance with Section 14.2 of the Plan, the Restricted Stock Units (and any accumulated Dividend Equivalents) shall be paid (on a date selected by the Company) in full within 30 days after the closing of the transaction that constitutes the change in control. If, as a result of the Change of Control, the Stock has been changed or exchanged for another kind of stock, the Restricted Stock Units shall be settled in the type of stock into which the Stock was changed or for which the Stock was exchanged. If the Change of Control is not also a “change in control” within the meaning of Section 409A, the Company, or the successor or purchaser, as the case may be, shall make adequate provision for the assumption of the Restricted Stock Units or the substitution of new Restricted Stock Units for the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0" w:name="page111"/>
    <w:bookmarkEnd w:id="110"/>
    <w:p>
      <w:pPr>
        <w:spacing w:after="0" w:line="277" w:lineRule="auto"/>
        <w:rPr>
          <w:sz w:val="20"/>
          <w:szCs w:val="20"/>
          <w:color w:val="auto"/>
        </w:rPr>
      </w:pPr>
      <w:r>
        <w:rPr>
          <w:rFonts w:ascii="Arial" w:cs="Arial" w:eastAsia="Arial" w:hAnsi="Arial"/>
          <w:sz w:val="18"/>
          <w:szCs w:val="18"/>
          <w:color w:val="auto"/>
        </w:rPr>
        <w:t>outstanding Restricted Stock Units on terms comparable to the terms of this Agreement. The assumed Restricted Stock Units shall be paid at the time provided in Sections 3 and 7 above.</w:t>
      </w:r>
    </w:p>
    <w:p>
      <w:pPr>
        <w:spacing w:after="0" w:line="166" w:lineRule="exact"/>
        <w:rPr>
          <w:sz w:val="20"/>
          <w:szCs w:val="20"/>
          <w:color w:val="auto"/>
        </w:rPr>
      </w:pPr>
    </w:p>
    <w:p>
      <w:pPr>
        <w:jc w:val="both"/>
        <w:ind w:firstLine="885"/>
        <w:spacing w:after="0" w:line="253" w:lineRule="auto"/>
        <w:tabs>
          <w:tab w:leader="none" w:pos="1661"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or any Affiliate shall have the right to deduct from payments of any kind otherwise due to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any federal, state, local or foreign taxes of any kind required by law to be withheld upon the issuance, vesting or payment of any shares of Stock or dividends. Subject to the prior approval of the Committee, which may be instituted by the Committee, in its sole discretion, the minimum statutory withholding obligation shall be satisfied by having the Company withhold shares of Stock otherwise issuable to Grantee hereunder. Subject to the prior approval of the Committee, which may be withheld by the Committee in its sole discretion, Grantee may elect to satisfy the minimum statutory withholding obligations, in whole or in part, by delivering to the Company shares of Stock already owned by Grantee. The shares delivered or withheld shall have an aggregate Fair Market Value not in excess of the minimum statutory total tax withholding obligations.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 Any election to withhold shares shall be irrevocable, made in writing, signed by Grantee, and shall be subject to any restrictions or limitations that the Committee, in its sole discretion, deems appropriate.</w:t>
      </w:r>
    </w:p>
    <w:p>
      <w:pPr>
        <w:spacing w:after="0" w:line="192" w:lineRule="exact"/>
        <w:rPr>
          <w:rFonts w:ascii="Arial" w:cs="Arial" w:eastAsia="Arial" w:hAnsi="Arial"/>
          <w:sz w:val="18"/>
          <w:szCs w:val="18"/>
          <w:color w:val="auto"/>
        </w:rPr>
      </w:pPr>
    </w:p>
    <w:p>
      <w:pPr>
        <w:jc w:val="both"/>
        <w:ind w:firstLine="885"/>
        <w:spacing w:after="0" w:line="273" w:lineRule="auto"/>
        <w:tabs>
          <w:tab w:leader="none" w:pos="1751"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Effect of Prohibited Transfer. </w:t>
      </w:r>
      <w:r>
        <w:rPr>
          <w:rFonts w:ascii="Arial" w:cs="Arial" w:eastAsia="Arial" w:hAnsi="Arial"/>
          <w:sz w:val="17"/>
          <w:szCs w:val="17"/>
          <w:color w:val="auto"/>
        </w:rPr>
        <w:t>If any transfer of shares of Stock or Restricted Stock Units is made or attempted to be made contrary</w:t>
      </w:r>
      <w:r>
        <w:rPr>
          <w:rFonts w:ascii="Arial" w:cs="Arial" w:eastAsia="Arial" w:hAnsi="Arial"/>
          <w:sz w:val="17"/>
          <w:szCs w:val="17"/>
          <w:b w:val="1"/>
          <w:bCs w:val="1"/>
          <w:color w:val="auto"/>
        </w:rPr>
        <w:t xml:space="preserve"> </w:t>
      </w:r>
      <w:r>
        <w:rPr>
          <w:rFonts w:ascii="Arial" w:cs="Arial" w:eastAsia="Arial" w:hAnsi="Arial"/>
          <w:sz w:val="17"/>
          <w:szCs w:val="17"/>
          <w:color w:val="auto"/>
        </w:rPr>
        <w:t>to the terms of this Agreement, the Company shall have the right to acquire for its own account, without the payment of any consideration, such shares or Restricted Stock Units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172" w:lineRule="exact"/>
        <w:rPr>
          <w:rFonts w:ascii="Arial" w:cs="Arial" w:eastAsia="Arial" w:hAnsi="Arial"/>
          <w:sz w:val="17"/>
          <w:szCs w:val="17"/>
          <w:color w:val="auto"/>
        </w:rPr>
      </w:pPr>
    </w:p>
    <w:p>
      <w:pPr>
        <w:jc w:val="both"/>
        <w:ind w:firstLine="885"/>
        <w:spacing w:after="0" w:line="266" w:lineRule="auto"/>
        <w:tabs>
          <w:tab w:leader="none" w:pos="1744"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Investment Representations. </w:t>
      </w:r>
      <w:r>
        <w:rPr>
          <w:rFonts w:ascii="Arial" w:cs="Arial" w:eastAsia="Arial" w:hAnsi="Arial"/>
          <w:sz w:val="18"/>
          <w:szCs w:val="18"/>
          <w:color w:val="auto"/>
        </w:rPr>
        <w:t>The Committee may require Grantee (or Grantee’s estate or heirs) to represent and warrant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individual is acquiring the shares of Stock for investment and without any present intention to sell or distribute such shares and to make such other representations as are deemed necessary or appropriate by the Company and its counsel.</w:t>
      </w:r>
    </w:p>
    <w:p>
      <w:pPr>
        <w:spacing w:after="0" w:line="176" w:lineRule="exact"/>
        <w:rPr>
          <w:rFonts w:ascii="Arial" w:cs="Arial" w:eastAsia="Arial" w:hAnsi="Arial"/>
          <w:sz w:val="18"/>
          <w:szCs w:val="18"/>
          <w:color w:val="auto"/>
        </w:rPr>
      </w:pPr>
    </w:p>
    <w:p>
      <w:pPr>
        <w:ind w:firstLine="885"/>
        <w:spacing w:after="0" w:line="282" w:lineRule="auto"/>
        <w:tabs>
          <w:tab w:leader="none" w:pos="1751"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Continued Service. </w:t>
      </w:r>
      <w:r>
        <w:rPr>
          <w:rFonts w:ascii="Arial" w:cs="Arial" w:eastAsia="Arial" w:hAnsi="Arial"/>
          <w:sz w:val="18"/>
          <w:szCs w:val="18"/>
          <w:color w:val="auto"/>
        </w:rPr>
        <w:t>Neither the grant of Restricted Stock Units nor this Agreement gives Grantee the right to continue Service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its Affiliates in any capacity.</w:t>
      </w:r>
    </w:p>
    <w:p>
      <w:pPr>
        <w:spacing w:after="0" w:line="161" w:lineRule="exact"/>
        <w:rPr>
          <w:rFonts w:ascii="Arial" w:cs="Arial" w:eastAsia="Arial" w:hAnsi="Arial"/>
          <w:sz w:val="18"/>
          <w:szCs w:val="18"/>
          <w:color w:val="auto"/>
        </w:rPr>
      </w:pPr>
    </w:p>
    <w:p>
      <w:pPr>
        <w:jc w:val="both"/>
        <w:ind w:firstLine="885"/>
        <w:spacing w:after="0" w:line="266" w:lineRule="auto"/>
        <w:tabs>
          <w:tab w:leader="none" w:pos="1751"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and construction of this Agreement and the Plan shall be construed in accordance with and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laws of the State of Delaware other than any conflicts or choice of law rule or principle that might otherwise refer construction or interpretation of the Plan and this Agreement to the substantive laws of any other jurisdiction.</w:t>
      </w:r>
    </w:p>
    <w:p>
      <w:pPr>
        <w:spacing w:after="0" w:line="176" w:lineRule="exact"/>
        <w:rPr>
          <w:rFonts w:ascii="Arial" w:cs="Arial" w:eastAsia="Arial" w:hAnsi="Arial"/>
          <w:sz w:val="18"/>
          <w:szCs w:val="18"/>
          <w:color w:val="auto"/>
        </w:rPr>
      </w:pPr>
    </w:p>
    <w:p>
      <w:pPr>
        <w:ind w:firstLine="885"/>
        <w:spacing w:after="0" w:line="282" w:lineRule="auto"/>
        <w:tabs>
          <w:tab w:leader="none" w:pos="1751"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shall be binding upon and inure to the benefit of the Company and Grantee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heirs, executors, administrators, legal representatives, successors and assigns.</w:t>
      </w:r>
    </w:p>
    <w:p>
      <w:pPr>
        <w:spacing w:after="0" w:line="161" w:lineRule="exact"/>
        <w:rPr>
          <w:rFonts w:ascii="Arial" w:cs="Arial" w:eastAsia="Arial" w:hAnsi="Arial"/>
          <w:sz w:val="18"/>
          <w:szCs w:val="18"/>
          <w:color w:val="auto"/>
        </w:rPr>
      </w:pPr>
    </w:p>
    <w:p>
      <w:pPr>
        <w:ind w:firstLine="885"/>
        <w:spacing w:after="0" w:line="347" w:lineRule="auto"/>
        <w:tabs>
          <w:tab w:leader="none" w:pos="1751"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Tax Treatment; Section 409A</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may incur tax liability as a result of the vesting of the Restricted Stock Units or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Stock and payment of Dividend Equivalents or the disposition of shares of Stock. Grantee should consult his or her own tax adviser for tax advice.</w:t>
      </w:r>
    </w:p>
    <w:p>
      <w:pPr>
        <w:spacing w:after="0" w:line="120"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1" w:name="page112"/>
    <w:bookmarkEnd w:id="111"/>
    <w:p>
      <w:pPr>
        <w:ind w:firstLine="885"/>
        <w:spacing w:after="0" w:line="347" w:lineRule="auto"/>
        <w:tabs>
          <w:tab w:leader="none" w:pos="1751"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Amendment. </w:t>
      </w:r>
      <w:r>
        <w:rPr>
          <w:rFonts w:ascii="Arial" w:cs="Arial" w:eastAsia="Arial" w:hAnsi="Arial"/>
          <w:sz w:val="16"/>
          <w:szCs w:val="16"/>
          <w:color w:val="auto"/>
        </w:rPr>
        <w:t>The terms and conditions set forth in this Agreement may only be amended by the written consent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except to the extent set forth in Section 16 of the Plan regarding Section 409A of the Code and any other provision set forth in the Plan.</w:t>
      </w:r>
    </w:p>
    <w:p>
      <w:pPr>
        <w:spacing w:after="0" w:line="116" w:lineRule="exact"/>
        <w:rPr>
          <w:rFonts w:ascii="Arial" w:cs="Arial" w:eastAsia="Arial" w:hAnsi="Arial"/>
          <w:sz w:val="16"/>
          <w:szCs w:val="16"/>
          <w:color w:val="auto"/>
        </w:rPr>
      </w:pPr>
    </w:p>
    <w:p>
      <w:pPr>
        <w:ind w:firstLine="885"/>
        <w:spacing w:after="0" w:line="313" w:lineRule="auto"/>
        <w:tabs>
          <w:tab w:leader="none" w:pos="1751"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2016 Equity Incentive Plan. </w:t>
      </w:r>
      <w:r>
        <w:rPr>
          <w:rFonts w:ascii="Arial" w:cs="Arial" w:eastAsia="Arial" w:hAnsi="Arial"/>
          <w:sz w:val="17"/>
          <w:szCs w:val="17"/>
          <w:color w:val="auto"/>
        </w:rPr>
        <w:t>The Restricted Stock Units and payment of Dividend Equivalents granted hereunder shall be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such additional terms and conditions as may be imposed under the terms of the Plan, a copy of which has been provided to Grantee.</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NATIONAL CINEMEDIA, INC.</w:t>
      </w:r>
    </w:p>
    <w:p>
      <w:pPr>
        <w:spacing w:after="0" w:line="256"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J. England</w:t>
            </w:r>
          </w:p>
        </w:tc>
      </w:tr>
      <w:tr>
        <w:trPr>
          <w:trHeight w:val="222"/>
        </w:trPr>
        <w:tc>
          <w:tcPr>
            <w:tcW w:w="6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Andrew J. England</w:t>
            </w:r>
          </w:p>
        </w:tc>
      </w:tr>
      <w:tr>
        <w:trPr>
          <w:trHeight w:val="230"/>
        </w:trPr>
        <w:tc>
          <w:tcPr>
            <w:tcW w:w="6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[Grantee Signature Page Follows]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ACKNOWLEDGMENT AND AGREEMENT</w:t>
      </w:r>
    </w:p>
    <w:p>
      <w:pPr>
        <w:spacing w:after="0" w:line="229"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6"/>
          <w:szCs w:val="16"/>
          <w:color w:val="auto"/>
        </w:rPr>
        <w:t>Grantee acknowledges receipt of this Agreement, agrees to all of the terms and conditions described in this Agreement and in the Plan, a copy of which is attached. Grantee acknowledges that Grantee has carefully reviewed the Plan, and agrees that the Plan will control in the event of any provision in this Agreement is in conflict with the Plan. Grantee also agrees that to the extent the Plan is silent, or to the extent the Plan provides, this Agreement and the terms hereof will control. To accept this Agreement, Grantee must sign and date this signature page and return it to the Company no later than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2016 Equity Incentive Plan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Form S-8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37"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NATIONAL CINEMEDIA,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 a Delaware limited liability company (a wholly owned subsidiary of National CineMedia, Inc.)</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 333-200976 on Form S-3 and in Registration Statements No. 333-188488, No. 333-176054, No. 333-158836, No. 333-140652 and No. 333-210996 on Form S-8 of our reports dated February 23, 2017, relating to the consolidated financial statements of National CineMedia, Inc. and subsidiary, and the effectiveness of National CineMedia, Inc. and subsidiary’s internal control over financial reporting, appearing in this Annual Report on Form 10-K of National CineMedia, Inc. for the year ended December 29,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J. England, certify that:</w:t>
      </w:r>
    </w:p>
    <w:p>
      <w:pPr>
        <w:spacing w:after="0" w:line="117" w:lineRule="exact"/>
        <w:rPr>
          <w:sz w:val="20"/>
          <w:szCs w:val="20"/>
          <w:color w:val="auto"/>
        </w:rPr>
      </w:pPr>
    </w:p>
    <w:p>
      <w:pPr>
        <w:ind w:left="740" w:hanging="177"/>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17" w:lineRule="exact"/>
        <w:rPr>
          <w:rFonts w:ascii="Arial" w:cs="Arial" w:eastAsia="Arial" w:hAnsi="Arial"/>
          <w:sz w:val="18"/>
          <w:szCs w:val="18"/>
          <w:color w:val="auto"/>
        </w:rPr>
      </w:pPr>
    </w:p>
    <w:p>
      <w:pPr>
        <w:ind w:right="200" w:firstLine="563"/>
        <w:spacing w:after="0" w:line="342" w:lineRule="auto"/>
        <w:tabs>
          <w:tab w:leader="none" w:pos="735"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563"/>
        <w:spacing w:after="0" w:line="277" w:lineRule="auto"/>
        <w:tabs>
          <w:tab w:leader="none" w:pos="7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00" w:firstLine="563"/>
        <w:spacing w:after="0" w:line="264" w:lineRule="auto"/>
        <w:tabs>
          <w:tab w:leader="none" w:pos="7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00" w:firstLine="563"/>
        <w:spacing w:after="0" w:line="264" w:lineRule="auto"/>
        <w:tabs>
          <w:tab w:leader="none" w:pos="799"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63"/>
        <w:spacing w:after="0" w:line="264" w:lineRule="auto"/>
        <w:tabs>
          <w:tab w:leader="none" w:pos="8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00" w:firstLine="563"/>
        <w:spacing w:after="0" w:line="342" w:lineRule="auto"/>
        <w:tabs>
          <w:tab w:leader="none" w:pos="799" w:val="left"/>
        </w:tabs>
        <w:numPr>
          <w:ilvl w:val="0"/>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63"/>
        <w:spacing w:after="0" w:line="264" w:lineRule="auto"/>
        <w:tabs>
          <w:tab w:leader="none" w:pos="8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160" w:firstLine="563"/>
        <w:spacing w:after="0" w:line="308" w:lineRule="auto"/>
        <w:tabs>
          <w:tab w:leader="none" w:pos="7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00" w:firstLine="563"/>
        <w:spacing w:after="0" w:line="277" w:lineRule="auto"/>
        <w:tabs>
          <w:tab w:leader="none" w:pos="799"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563"/>
        <w:spacing w:after="0" w:line="277" w:lineRule="auto"/>
        <w:tabs>
          <w:tab w:leader="none" w:pos="809"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Katherine L. Scherping, certify that:</w:t>
      </w:r>
    </w:p>
    <w:p>
      <w:pPr>
        <w:spacing w:after="0" w:line="117" w:lineRule="exact"/>
        <w:rPr>
          <w:sz w:val="20"/>
          <w:szCs w:val="20"/>
          <w:color w:val="auto"/>
        </w:rPr>
      </w:pPr>
    </w:p>
    <w:p>
      <w:pPr>
        <w:ind w:left="740" w:hanging="177"/>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17" w:lineRule="exact"/>
        <w:rPr>
          <w:rFonts w:ascii="Arial" w:cs="Arial" w:eastAsia="Arial" w:hAnsi="Arial"/>
          <w:sz w:val="18"/>
          <w:szCs w:val="18"/>
          <w:color w:val="auto"/>
        </w:rPr>
      </w:pPr>
    </w:p>
    <w:p>
      <w:pPr>
        <w:ind w:right="200" w:firstLine="563"/>
        <w:spacing w:after="0" w:line="342" w:lineRule="auto"/>
        <w:tabs>
          <w:tab w:leader="none" w:pos="735"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563"/>
        <w:spacing w:after="0" w:line="277" w:lineRule="auto"/>
        <w:tabs>
          <w:tab w:leader="none" w:pos="7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00" w:firstLine="563"/>
        <w:spacing w:after="0" w:line="264" w:lineRule="auto"/>
        <w:tabs>
          <w:tab w:leader="none" w:pos="7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00" w:firstLine="563"/>
        <w:spacing w:after="0" w:line="264" w:lineRule="auto"/>
        <w:tabs>
          <w:tab w:leader="none" w:pos="799"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63"/>
        <w:spacing w:after="0" w:line="264" w:lineRule="auto"/>
        <w:tabs>
          <w:tab w:leader="none" w:pos="809"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00" w:firstLine="563"/>
        <w:spacing w:after="0" w:line="342" w:lineRule="auto"/>
        <w:tabs>
          <w:tab w:leader="none" w:pos="799" w:val="left"/>
        </w:tabs>
        <w:numPr>
          <w:ilvl w:val="0"/>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63"/>
        <w:spacing w:after="0" w:line="264" w:lineRule="auto"/>
        <w:tabs>
          <w:tab w:leader="none" w:pos="809"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160" w:firstLine="563"/>
        <w:spacing w:after="0" w:line="308" w:lineRule="auto"/>
        <w:tabs>
          <w:tab w:leader="none" w:pos="73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00" w:firstLine="563"/>
        <w:spacing w:after="0" w:line="277" w:lineRule="auto"/>
        <w:tabs>
          <w:tab w:leader="none" w:pos="79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563"/>
        <w:spacing w:after="0" w:line="277" w:lineRule="auto"/>
        <w:tabs>
          <w:tab w:leader="none" w:pos="80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Katherine L. Scherping</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connection with the Annual Report on Form 10-K for the period ending December 29, 2016 (the “Report”) of National CineMedia, Inc.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“Registrant”) as filed with the Securities and Exchange Commission on the date hereof, I, Andrew J. England, the Chief Executive Officer and Director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Registrant, certify, pursuant to 18 U.S.C. § 1350, as adopted pursuant to § 906 of the Sarbanes-Oxley Act of 2002, that to the best of my knowledge:</w:t>
      </w:r>
    </w:p>
    <w:p>
      <w:pPr>
        <w:spacing w:after="0" w:line="114" w:lineRule="exact"/>
        <w:rPr>
          <w:sz w:val="20"/>
          <w:szCs w:val="20"/>
          <w:color w:val="auto"/>
        </w:rPr>
      </w:pPr>
    </w:p>
    <w:p>
      <w:pPr>
        <w:ind w:left="740" w:hanging="177"/>
        <w:spacing w:after="0"/>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40" w:hanging="177"/>
        <w:spacing w:after="0"/>
        <w:tabs>
          <w:tab w:leader="none" w:pos="7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/s/Andrew J. England</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60" w:firstLine="555"/>
        <w:spacing w:after="0" w:line="312" w:lineRule="auto"/>
        <w:rPr>
          <w:sz w:val="20"/>
          <w:szCs w:val="20"/>
          <w:color w:val="auto"/>
        </w:rPr>
      </w:pPr>
      <w:r>
        <w:rPr>
          <w:rFonts w:ascii="Arial" w:cs="Arial" w:eastAsia="Arial" w:hAnsi="Arial"/>
          <w:sz w:val="16"/>
          <w:szCs w:val="16"/>
          <w:color w:val="auto"/>
        </w:rPr>
        <w:t>In connection with the Annual Report on Form 10-K for the period ending December 29, 2016 (the “Report”) of National CineMedia, Inc.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39" w:lineRule="exact"/>
        <w:rPr>
          <w:sz w:val="20"/>
          <w:szCs w:val="20"/>
          <w:color w:val="auto"/>
        </w:rPr>
      </w:pPr>
    </w:p>
    <w:p>
      <w:pPr>
        <w:ind w:left="740" w:hanging="177"/>
        <w:spacing w:after="0"/>
        <w:tabs>
          <w:tab w:leader="none" w:pos="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40" w:hanging="177"/>
        <w:spacing w:after="0"/>
        <w:tabs>
          <w:tab w:leader="none" w:pos="7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Katherine L. Scherping</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and Accounting Officer)</w:t>
      </w: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upperLetter"/>
      <w:start w:val="1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decimal"/>
      <w:start w:val="2"/>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1"/>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1)"/>
      <w:numFmt w:val="decimal"/>
      <w:start w:val="5"/>
    </w:lvl>
  </w:abstractNum>
  <w:abstractNum w:abstractNumId="27">
    <w:nsid w:val="235BA861"/>
    <w:multiLevelType w:val="hybridMultilevel"/>
    <w:lvl w:ilvl="0">
      <w:lvlJc w:val="left"/>
      <w:lvlText w:val="(%1)"/>
      <w:numFmt w:val="lowerLetter"/>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2"/>
    </w:lvl>
  </w:abstractNum>
  <w:abstractNum w:abstractNumId="33">
    <w:nsid w:val="10233C99"/>
    <w:multiLevelType w:val="hybridMultilevel"/>
    <w:lvl w:ilvl="0">
      <w:lvlJc w:val="left"/>
      <w:lvlText w:val="%1."/>
      <w:numFmt w:val="decimal"/>
      <w:start w:val="3"/>
    </w:lvl>
  </w:abstractNum>
  <w:abstractNum w:abstractNumId="34">
    <w:nsid w:val="3F6AB60F"/>
    <w:multiLevelType w:val="hybridMultilevel"/>
    <w:lvl w:ilvl="0">
      <w:lvlJc w:val="left"/>
      <w:lvlText w:val="%1."/>
      <w:numFmt w:val="decimal"/>
      <w:start w:val="4"/>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3"/>
    </w:lvl>
  </w:abstractNum>
  <w:abstractNum w:abstractNumId="37">
    <w:nsid w:val="77AE35EB"/>
    <w:multiLevelType w:val="hybridMultilevel"/>
    <w:lvl w:ilvl="0">
      <w:lvlJc w:val="left"/>
      <w:lvlText w:val="%1."/>
      <w:numFmt w:val="decimal"/>
      <w:start w:val="6"/>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1."/>
      <w:numFmt w:val="decimal"/>
      <w:start w:val="7"/>
    </w:lvl>
  </w:abstractNum>
  <w:abstractNum w:abstractNumId="41">
    <w:nsid w:val="2F305DEF"/>
    <w:multiLevelType w:val="hybridMultilevel"/>
    <w:lvl w:ilvl="0">
      <w:lvlJc w:val="left"/>
      <w:lvlText w:val="%1."/>
      <w:numFmt w:val="decimal"/>
      <w:start w:val="8"/>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2"/>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decimal"/>
      <w:start w:val="9"/>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10"/>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decimal"/>
      <w:start w:val="11"/>
    </w:lvl>
  </w:abstractNum>
  <w:abstractNum w:abstractNumId="52">
    <w:nsid w:val="98A3148"/>
    <w:multiLevelType w:val="hybridMultilevel"/>
    <w:lvl w:ilvl="0">
      <w:lvlJc w:val="left"/>
      <w:lvlText w:val="%1."/>
      <w:numFmt w:val="decimal"/>
      <w:start w:val="12"/>
    </w:lvl>
  </w:abstractNum>
  <w:abstractNum w:abstractNumId="53">
    <w:nsid w:val="799D0247"/>
    <w:multiLevelType w:val="hybridMultilevel"/>
    <w:lvl w:ilvl="0">
      <w:lvlJc w:val="left"/>
      <w:lvlText w:val="%1."/>
      <w:numFmt w:val="decimal"/>
      <w:start w:val="13"/>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1"/>
    </w:lvl>
  </w:abstractNum>
  <w:abstractNum w:abstractNumId="56">
    <w:nsid w:val="168E121F"/>
    <w:multiLevelType w:val="hybridMultilevel"/>
    <w:lvl w:ilvl="0">
      <w:lvlJc w:val="left"/>
      <w:lvlText w:val="%1"/>
      <w:numFmt w:val="decimal"/>
      <w:start w:val="1"/>
    </w:lvl>
    <w:lvl w:ilvl="1">
      <w:lvlJc w:val="left"/>
      <w:lvlText w:val="(%2)"/>
      <w:numFmt w:val="decimal"/>
      <w:start w:val="1"/>
    </w:lvl>
  </w:abstractNum>
  <w:abstractNum w:abstractNumId="57">
    <w:nsid w:val="1EBA5D23"/>
    <w:multiLevelType w:val="hybridMultilevel"/>
    <w:lvl w:ilvl="0">
      <w:lvlJc w:val="left"/>
      <w:lvlText w:val="%1."/>
      <w:numFmt w:val="decimal"/>
      <w:start w:val="14"/>
    </w:lvl>
    <w:lvl w:ilvl="1">
      <w:lvlJc w:val="left"/>
      <w:lvlText w:val="%2"/>
      <w:numFmt w:val="decimal"/>
      <w:start w:val="1"/>
    </w:lvl>
  </w:abstractNum>
  <w:abstractNum w:abstractNumId="58">
    <w:nsid w:val="661E3F1E"/>
    <w:multiLevelType w:val="hybridMultilevel"/>
    <w:lvl w:ilvl="0">
      <w:lvlJc w:val="left"/>
      <w:lvlText w:val="%1."/>
      <w:numFmt w:val="decimal"/>
      <w:start w:val="15"/>
    </w:lvl>
  </w:abstractNum>
  <w:abstractNum w:abstractNumId="59">
    <w:nsid w:val="5DC79EA8"/>
    <w:multiLevelType w:val="hybridMultilevel"/>
    <w:lvl w:ilvl="0">
      <w:lvlJc w:val="left"/>
      <w:lvlText w:val="%1."/>
      <w:numFmt w:val="decimal"/>
      <w:start w:val="16"/>
    </w:lvl>
  </w:abstractNum>
  <w:abstractNum w:abstractNumId="60">
    <w:nsid w:val="540A471C"/>
    <w:multiLevelType w:val="hybridMultilevel"/>
    <w:lvl w:ilvl="0">
      <w:lvlJc w:val="left"/>
      <w:lvlText w:val="%1"/>
      <w:numFmt w:val="decimal"/>
      <w:start w:val="1"/>
    </w:lvl>
    <w:lvl w:ilvl="1">
      <w:lvlJc w:val="left"/>
      <w:lvlText w:val="(%2)"/>
      <w:numFmt w:val="decimal"/>
      <w:start w:val="1"/>
    </w:lvl>
  </w:abstractNum>
  <w:abstractNum w:abstractNumId="61">
    <w:nsid w:val="7BD3EE7B"/>
    <w:multiLevelType w:val="hybridMultilevel"/>
    <w:lvl w:ilvl="0">
      <w:lvlJc w:val="left"/>
      <w:lvlText w:val="%1."/>
      <w:numFmt w:val="decimal"/>
      <w:start w:val="17"/>
    </w:lvl>
    <w:lvl w:ilvl="1">
      <w:lvlJc w:val="left"/>
      <w:lvlText w:val="%2"/>
      <w:numFmt w:val="decimal"/>
      <w:start w:val="1"/>
    </w:lvl>
  </w:abstractNum>
  <w:abstractNum w:abstractNumId="62">
    <w:nsid w:val="51D9C564"/>
    <w:multiLevelType w:val="hybridMultilevel"/>
    <w:lvl w:ilvl="0">
      <w:lvlJc w:val="left"/>
      <w:lvlText w:val="%1"/>
      <w:numFmt w:val="decimal"/>
      <w:start w:val="1"/>
    </w:lvl>
    <w:lvl w:ilvl="1">
      <w:lvlJc w:val="left"/>
      <w:lvlText w:val="%2."/>
      <w:numFmt w:val="upperLetter"/>
      <w:start w:val="2"/>
    </w:lvl>
  </w:abstractNum>
  <w:abstractNum w:abstractNumId="63">
    <w:nsid w:val="613EFDC5"/>
    <w:multiLevelType w:val="hybridMultilevel"/>
    <w:lvl w:ilvl="0">
      <w:lvlJc w:val="left"/>
      <w:lvlText w:val="%1."/>
      <w:numFmt w:val="decimal"/>
      <w:start w:val="1"/>
    </w:lvl>
    <w:lvl w:ilvl="1">
      <w:lvlJc w:val="left"/>
      <w:lvlText w:val="%2"/>
      <w:numFmt w:val="upperLetter"/>
      <w:start w:val="1"/>
    </w:lvl>
  </w:abstractNum>
  <w:abstractNum w:abstractNumId="64">
    <w:nsid w:val="BF72B14"/>
    <w:multiLevelType w:val="hybridMultilevel"/>
    <w:lvl w:ilvl="0">
      <w:lvlJc w:val="left"/>
      <w:lvlText w:val="%1."/>
      <w:numFmt w:val="decimal"/>
      <w:start w:val="5"/>
    </w:lvl>
  </w:abstractNum>
  <w:abstractNum w:abstractNumId="65">
    <w:nsid w:val="11447B73"/>
    <w:multiLevelType w:val="hybridMultilevel"/>
    <w:lvl w:ilvl="0">
      <w:lvlJc w:val="left"/>
      <w:lvlText w:val="%1."/>
      <w:numFmt w:val="decimal"/>
      <w:start w:val="10"/>
    </w:lvl>
  </w:abstractNum>
  <w:abstractNum w:abstractNumId="66">
    <w:nsid w:val="42963E5A"/>
    <w:multiLevelType w:val="hybridMultilevel"/>
    <w:lvl w:ilvl="0">
      <w:lvlJc w:val="left"/>
      <w:lvlText w:val="%1."/>
      <w:numFmt w:val="decimal"/>
      <w:start w:val="16"/>
    </w:lvl>
  </w:abstractNum>
  <w:abstractNum w:abstractNumId="67">
    <w:nsid w:val="A0382C5"/>
    <w:multiLevelType w:val="hybridMultilevel"/>
    <w:lvl w:ilvl="0">
      <w:lvlJc w:val="left"/>
      <w:lvlText w:val="%1"/>
      <w:numFmt w:val="decimal"/>
      <w:start w:val="1"/>
    </w:lvl>
    <w:lvl w:ilvl="1">
      <w:lvlJc w:val="left"/>
      <w:lvlText w:val="%2."/>
      <w:numFmt w:val="upperLetter"/>
      <w:start w:val="2"/>
    </w:lvl>
  </w:abstractNum>
  <w:abstractNum w:abstractNumId="68">
    <w:nsid w:val="8F2B15E"/>
    <w:multiLevelType w:val="hybridMultilevel"/>
    <w:lvl w:ilvl="0">
      <w:lvlJc w:val="left"/>
      <w:lvlText w:val="%1."/>
      <w:numFmt w:val="decimal"/>
      <w:start w:val="1"/>
    </w:lvl>
    <w:lvl w:ilvl="1">
      <w:lvlJc w:val="left"/>
      <w:lvlText w:val="%2"/>
      <w:numFmt w:val="upperLetter"/>
      <w:start w:val="1"/>
    </w:lvl>
  </w:abstractNum>
  <w:abstractNum w:abstractNumId="69">
    <w:nsid w:val="1A32234B"/>
    <w:multiLevelType w:val="hybridMultilevel"/>
    <w:lvl w:ilvl="0">
      <w:lvlJc w:val="left"/>
      <w:lvlText w:val="%1."/>
      <w:numFmt w:val="decimal"/>
      <w:start w:val="3"/>
    </w:lvl>
  </w:abstractNum>
  <w:abstractNum w:abstractNumId="70">
    <w:nsid w:val="3B0FD379"/>
    <w:multiLevelType w:val="hybridMultilevel"/>
    <w:lvl w:ilvl="0">
      <w:lvlJc w:val="left"/>
      <w:lvlText w:val="%1."/>
      <w:numFmt w:val="decimal"/>
      <w:start w:val="9"/>
    </w:lvl>
  </w:abstractNum>
  <w:abstractNum w:abstractNumId="71">
    <w:nsid w:val="68EB2F63"/>
    <w:multiLevelType w:val="hybridMultilevel"/>
    <w:lvl w:ilvl="0">
      <w:lvlJc w:val="left"/>
      <w:lvlText w:val="%1."/>
      <w:numFmt w:val="decimal"/>
      <w:start w:val="15"/>
    </w:lvl>
  </w:abstractNum>
  <w:abstractNum w:abstractNumId="72">
    <w:nsid w:val="4962813B"/>
    <w:multiLevelType w:val="hybridMultilevel"/>
    <w:lvl w:ilvl="0">
      <w:lvlJc w:val="left"/>
      <w:lvlText w:val="%1."/>
      <w:numFmt w:val="decimal"/>
      <w:start w:val="16"/>
    </w:lvl>
  </w:abstractNum>
  <w:abstractNum w:abstractNumId="73">
    <w:nsid w:val="60B6DF70"/>
    <w:multiLevelType w:val="hybridMultilevel"/>
    <w:lvl w:ilvl="0">
      <w:lvlJc w:val="left"/>
      <w:lvlText w:val="%1"/>
      <w:numFmt w:val="decimal"/>
      <w:start w:val="1"/>
    </w:lvl>
    <w:lvl w:ilvl="1">
      <w:lvlJc w:val="left"/>
      <w:lvlText w:val="%2."/>
      <w:numFmt w:val="upperLetter"/>
      <w:start w:val="2"/>
    </w:lvl>
  </w:abstractNum>
  <w:abstractNum w:abstractNumId="74">
    <w:nsid w:val="6A5EE64"/>
    <w:multiLevelType w:val="hybridMultilevel"/>
    <w:lvl w:ilvl="0">
      <w:lvlJc w:val="left"/>
      <w:lvlText w:val="%1."/>
      <w:numFmt w:val="decimal"/>
      <w:start w:val="1"/>
    </w:lvl>
    <w:lvl w:ilvl="1">
      <w:lvlJc w:val="left"/>
      <w:lvlText w:val="%2"/>
      <w:numFmt w:val="upperLetter"/>
      <w:start w:val="1"/>
    </w:lvl>
  </w:abstractNum>
  <w:abstractNum w:abstractNumId="75">
    <w:nsid w:val="14330624"/>
    <w:multiLevelType w:val="hybridMultilevel"/>
    <w:lvl w:ilvl="0">
      <w:lvlJc w:val="left"/>
      <w:lvlText w:val="%1."/>
      <w:numFmt w:val="decimal"/>
      <w:start w:val="4"/>
    </w:lvl>
  </w:abstractNum>
  <w:abstractNum w:abstractNumId="76">
    <w:nsid w:val="7FFFCA11"/>
    <w:multiLevelType w:val="hybridMultilevel"/>
    <w:lvl w:ilvl="0">
      <w:lvlJc w:val="left"/>
      <w:lvlText w:val="%1."/>
      <w:numFmt w:val="decimal"/>
      <w:start w:val="9"/>
    </w:lvl>
  </w:abstractNum>
  <w:abstractNum w:abstractNumId="77">
    <w:nsid w:val="1A27709E"/>
    <w:multiLevelType w:val="hybridMultilevel"/>
    <w:lvl w:ilvl="0">
      <w:lvlJc w:val="left"/>
      <w:lvlText w:val="%1."/>
      <w:numFmt w:val="decimal"/>
      <w:start w:val="16"/>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lowerLetter"/>
      <w:start w:val="1"/>
    </w:lvl>
  </w:abstractNum>
  <w:abstractNum w:abstractNumId="80">
    <w:nsid w:val="7FB7E0AA"/>
    <w:multiLevelType w:val="hybridMultilevel"/>
    <w:lvl w:ilvl="0">
      <w:lvlJc w:val="left"/>
      <w:lvlText w:val="%1."/>
      <w:numFmt w:val="decimal"/>
      <w:start w:val="5"/>
    </w:lvl>
  </w:abstractNum>
  <w:abstractNum w:abstractNumId="81">
    <w:nsid w:val="6EB5BD4"/>
    <w:multiLevelType w:val="hybridMultilevel"/>
    <w:lvl w:ilvl="0">
      <w:lvlJc w:val="left"/>
      <w:lvlText w:val="(%1)"/>
      <w:numFmt w:val="lowerLetter"/>
      <w:start w:val="1"/>
    </w:lvl>
  </w:abstractNum>
  <w:abstractNum w:abstractNumId="82">
    <w:nsid w:val="6F6DD9AC"/>
    <w:multiLevelType w:val="hybridMultilevel"/>
    <w:lvl w:ilvl="0">
      <w:lvlJc w:val="left"/>
      <w:lvlText w:val="%1."/>
      <w:numFmt w:val="decimal"/>
      <w:start w:val="1"/>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decimal"/>
      <w:start w:val="5"/>
    </w:lvl>
  </w:abstractNum>
  <w:abstractNum w:abstractNumId="85">
    <w:nsid w:val="76272110"/>
    <w:multiLevelType w:val="hybridMultilevel"/>
    <w:lvl w:ilvl="0">
      <w:lvlJc w:val="left"/>
      <w:lvlText w:val="(%1)"/>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2019-12-29T06:38:17Z</dcterms:created>
  <dcterms:modified xsi:type="dcterms:W3CDTF">2019-12-29T06:38:17Z</dcterms:modified>
</cp:coreProperties>
</file>