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81915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118110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29, 2017</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8" w:lineRule="exact"/>
        <w:rPr>
          <w:sz w:val="24"/>
          <w:szCs w:val="24"/>
          <w:color w:val="auto"/>
        </w:rPr>
      </w:pPr>
    </w:p>
    <w:p>
      <w:pPr>
        <w:ind w:left="42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231775</wp:posOffset>
            </wp:positionV>
            <wp:extent cx="17322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150495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111760</wp:posOffset>
            </wp:positionV>
            <wp:extent cx="1603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spacing w:after="0"/>
              <w:rPr>
                <w:sz w:val="19"/>
                <w:szCs w:val="19"/>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350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As of August 4, 2017, the registrant had 154,053,718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447040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4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0" w:type="dxa"/>
            <w:vAlign w:val="bottom"/>
            <w:gridSpan w:val="3"/>
            <w:vMerge w:val="restart"/>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vMerge w:val="continue"/>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480" w:type="dxa"/>
            <w:vAlign w:val="bottom"/>
            <w:gridSpan w:val="14"/>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Income</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Statements of Cash Flows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9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680" w:type="dxa"/>
            <w:vAlign w:val="bottom"/>
            <w:gridSpan w:val="7"/>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40" w:type="dxa"/>
            <w:vAlign w:val="bottom"/>
            <w:gridSpan w:val="6"/>
          </w:tcPr>
          <w:p>
            <w:pPr>
              <w:jc w:val="center"/>
              <w:ind w:right="4560"/>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4780" w:type="dxa"/>
            <w:vAlign w:val="bottom"/>
            <w:gridSpan w:val="2"/>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660" w:type="dxa"/>
            <w:vAlign w:val="bottom"/>
            <w:gridSpan w:val="15"/>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7"/>
                <w:szCs w:val="17"/>
                <w:color w:val="auto"/>
              </w:rPr>
            </w:pPr>
          </w:p>
        </w:tc>
        <w:tc>
          <w:tcPr>
            <w:tcW w:w="5640" w:type="dxa"/>
            <w:vAlign w:val="bottom"/>
            <w:gridSpan w:val="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8220" w:type="dxa"/>
            <w:vAlign w:val="bottom"/>
            <w:gridSpan w:val="13"/>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680" w:type="dxa"/>
            <w:vAlign w:val="bottom"/>
            <w:gridSpan w:val="1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29,</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29,</w:t>
            </w:r>
          </w:p>
        </w:tc>
      </w:tr>
      <w:tr>
        <w:trPr>
          <w:trHeight w:val="171"/>
        </w:trPr>
        <w:tc>
          <w:tcPr>
            <w:tcW w:w="788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Receivables, net of allowance of $6.4 and $6.3, respectively</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ASSETS: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of $68.3 and $64.1,</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11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20"/>
                <w:szCs w:val="20"/>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assets, net of accumulated amortization of $132.2 and $118.9,</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20"/>
                <w:szCs w:val="20"/>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 net</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assets</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790.3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607.6</w:t>
            </w:r>
          </w:p>
        </w:tc>
        <w:tc>
          <w:tcPr>
            <w:tcW w:w="10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904.6</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founding members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Amounts due to managing member</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payroll and related expenses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net of debt issuance costs of $9.7 and $10.7, respectively</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920.3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liabilities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990.9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MEMBERS’ EQUITY/(DEFICIT)</w:t>
            </w: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(256.9)</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AND EQUITY/(DEFICIT)</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904.6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5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June 29,</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June 29,</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r>
      <w:tr>
        <w:trPr>
          <w:trHeight w:val="171"/>
        </w:trPr>
        <w:tc>
          <w:tcPr>
            <w:tcW w:w="5040" w:type="dxa"/>
            <w:vAlign w:val="bottom"/>
            <w:tcBorders>
              <w:bottom w:val="single" w:sz="8" w:color="CFF2FA"/>
            </w:tcBorders>
          </w:tcPr>
          <w:p>
            <w:pPr>
              <w:spacing w:after="0"/>
              <w:rPr>
                <w:sz w:val="14"/>
                <w:szCs w:val="14"/>
                <w:color w:val="auto"/>
              </w:rPr>
            </w:pPr>
          </w:p>
        </w:tc>
        <w:tc>
          <w:tcPr>
            <w:tcW w:w="100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2FA"/>
            </w:tcBorders>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2FA"/>
            </w:tcBorders>
          </w:tcPr>
          <w:p>
            <w:pPr>
              <w:spacing w:after="0"/>
              <w:rPr>
                <w:sz w:val="14"/>
                <w:szCs w:val="14"/>
                <w:color w:val="auto"/>
              </w:rPr>
            </w:pPr>
          </w:p>
        </w:tc>
      </w:tr>
      <w:tr>
        <w:trPr>
          <w:trHeight w:val="209"/>
        </w:trPr>
        <w:tc>
          <w:tcPr>
            <w:tcW w:w="504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 members</w:t>
            </w:r>
          </w:p>
        </w:tc>
        <w:tc>
          <w:tcPr>
            <w:tcW w:w="100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9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94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94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9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0"/>
        </w:trPr>
        <w:tc>
          <w:tcPr>
            <w:tcW w:w="5040" w:type="dxa"/>
            <w:vAlign w:val="bottom"/>
            <w:shd w:val="clear" w:color="auto" w:fill="CFF2FA"/>
          </w:tcPr>
          <w:p>
            <w:pPr>
              <w:ind w:left="140"/>
              <w:spacing w:after="0"/>
              <w:rPr>
                <w:sz w:val="20"/>
                <w:szCs w:val="20"/>
                <w:color w:val="auto"/>
              </w:rPr>
            </w:pPr>
            <w:r>
              <w:rPr>
                <w:rFonts w:ascii="Arial" w:cs="Arial" w:eastAsia="Arial" w:hAnsi="Arial"/>
                <w:sz w:val="18"/>
                <w:szCs w:val="18"/>
                <w:color w:val="auto"/>
              </w:rPr>
              <w:t>of $7.6, $7.2, $16.0 and $14.5, respectively)</w:t>
            </w:r>
          </w:p>
        </w:tc>
        <w:tc>
          <w:tcPr>
            <w:tcW w:w="1200" w:type="dxa"/>
            <w:vAlign w:val="bottom"/>
            <w:gridSpan w:val="2"/>
            <w:shd w:val="clear" w:color="auto" w:fill="CFF2FA"/>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FF2FA"/>
          </w:tcPr>
          <w:p>
            <w:pPr>
              <w:spacing w:after="0"/>
              <w:rPr>
                <w:sz w:val="20"/>
                <w:szCs w:val="20"/>
                <w:color w:val="auto"/>
              </w:rPr>
            </w:pPr>
          </w:p>
        </w:tc>
        <w:tc>
          <w:tcPr>
            <w:tcW w:w="200" w:type="dxa"/>
            <w:vAlign w:val="bottom"/>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FF2FA"/>
          </w:tcPr>
          <w:p>
            <w:pPr>
              <w:spacing w:after="0"/>
              <w:rPr>
                <w:sz w:val="20"/>
                <w:szCs w:val="20"/>
                <w:color w:val="auto"/>
              </w:rPr>
            </w:pPr>
          </w:p>
        </w:tc>
        <w:tc>
          <w:tcPr>
            <w:tcW w:w="280" w:type="dxa"/>
            <w:vAlign w:val="bottom"/>
            <w:gridSpan w:val="2"/>
            <w:shd w:val="clear" w:color="auto" w:fill="CFF2FA"/>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169.0</w:t>
            </w:r>
          </w:p>
        </w:tc>
        <w:tc>
          <w:tcPr>
            <w:tcW w:w="240" w:type="dxa"/>
            <w:vAlign w:val="bottom"/>
            <w:shd w:val="clear" w:color="auto" w:fill="CFF2FA"/>
          </w:tcPr>
          <w:p>
            <w:pPr>
              <w:spacing w:after="0"/>
              <w:rPr>
                <w:sz w:val="20"/>
                <w:szCs w:val="20"/>
                <w:color w:val="auto"/>
              </w:rPr>
            </w:pPr>
          </w:p>
        </w:tc>
        <w:tc>
          <w:tcPr>
            <w:tcW w:w="200" w:type="dxa"/>
            <w:vAlign w:val="bottom"/>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FF2FA"/>
          </w:tcPr>
          <w:p>
            <w:pPr>
              <w:spacing w:after="0"/>
              <w:rPr>
                <w:sz w:val="20"/>
                <w:szCs w:val="20"/>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Advertising operating costs</w:t>
            </w:r>
          </w:p>
        </w:tc>
        <w:tc>
          <w:tcPr>
            <w:tcW w:w="100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Theater access fees—founding members</w:t>
            </w:r>
          </w:p>
        </w:tc>
        <w:tc>
          <w:tcPr>
            <w:tcW w:w="100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Administrative and other costs</w:t>
            </w:r>
          </w:p>
        </w:tc>
        <w:tc>
          <w:tcPr>
            <w:tcW w:w="100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Administrative fee—managing member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2FA"/>
          </w:tcPr>
          <w:p>
            <w:pPr>
              <w:spacing w:after="0"/>
              <w:rPr>
                <w:sz w:val="19"/>
                <w:szCs w:val="19"/>
                <w:color w:val="auto"/>
              </w:rPr>
            </w:pPr>
          </w:p>
        </w:tc>
      </w:tr>
      <w:tr>
        <w:trPr>
          <w:trHeight w:val="223"/>
        </w:trPr>
        <w:tc>
          <w:tcPr>
            <w:tcW w:w="5040" w:type="dxa"/>
            <w:vAlign w:val="bottom"/>
            <w:tcBorders>
              <w:bottom w:val="single" w:sz="8" w:color="CFF2FA"/>
            </w:tcBorders>
          </w:tcPr>
          <w:p>
            <w:pPr>
              <w:ind w:left="6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4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FF2FA"/>
            </w:tcBorders>
          </w:tcPr>
          <w:p>
            <w:pPr>
              <w:spacing w:after="0"/>
              <w:rPr>
                <w:sz w:val="19"/>
                <w:szCs w:val="19"/>
                <w:color w:val="auto"/>
              </w:rPr>
            </w:pPr>
          </w:p>
        </w:tc>
      </w:tr>
      <w:tr>
        <w:trPr>
          <w:trHeight w:val="223"/>
        </w:trPr>
        <w:tc>
          <w:tcPr>
            <w:tcW w:w="5040" w:type="dxa"/>
            <w:vAlign w:val="bottom"/>
            <w:shd w:val="clear" w:color="auto" w:fill="CFF2FA"/>
          </w:tcPr>
          <w:p>
            <w:pPr>
              <w:ind w:left="620"/>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2FA"/>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NON-OPERATING EXPENSES: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Interest on borrowings</w:t>
            </w:r>
          </w:p>
        </w:tc>
        <w:tc>
          <w:tcPr>
            <w:tcW w:w="100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Other non-operating income</w:t>
            </w:r>
          </w:p>
        </w:tc>
        <w:tc>
          <w:tcPr>
            <w:tcW w:w="100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bottom w:val="single" w:sz="8" w:color="CFF2FA"/>
            </w:tcBorders>
          </w:tcPr>
          <w:p>
            <w:pPr>
              <w:ind w:left="6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2F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FF2F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Borders>
              <w:bottom w:val="single" w:sz="8" w:color="CFF2FA"/>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FF2FA"/>
            </w:tcBorders>
          </w:tcPr>
          <w:p>
            <w:pPr>
              <w:spacing w:after="0"/>
              <w:rPr>
                <w:sz w:val="19"/>
                <w:szCs w:val="19"/>
                <w:color w:val="auto"/>
              </w:rPr>
            </w:pPr>
          </w:p>
        </w:tc>
      </w:tr>
      <w:tr>
        <w:trPr>
          <w:trHeight w:val="223"/>
        </w:trPr>
        <w:tc>
          <w:tcPr>
            <w:tcW w:w="5040" w:type="dxa"/>
            <w:vAlign w:val="bottom"/>
            <w:shd w:val="clear" w:color="auto" w:fill="CFF2FA"/>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2FA"/>
          </w:tcPr>
          <w:p>
            <w:pPr>
              <w:spacing w:after="0"/>
              <w:rPr>
                <w:sz w:val="19"/>
                <w:szCs w:val="19"/>
                <w:color w:val="auto"/>
              </w:rPr>
            </w:pPr>
          </w:p>
        </w:tc>
      </w:tr>
      <w:tr>
        <w:trPr>
          <w:trHeight w:val="223"/>
        </w:trPr>
        <w:tc>
          <w:tcPr>
            <w:tcW w:w="5040" w:type="dxa"/>
            <w:vAlign w:val="bottom"/>
            <w:tcBorders>
              <w:bottom w:val="single" w:sz="8" w:color="CFF2FA"/>
            </w:tcBorders>
          </w:tcPr>
          <w:p>
            <w:pPr>
              <w:ind w:left="38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2FA"/>
            </w:tcBorders>
          </w:tcPr>
          <w:p>
            <w:pPr>
              <w:spacing w:after="0"/>
              <w:rPr>
                <w:sz w:val="19"/>
                <w:szCs w:val="19"/>
                <w:color w:val="auto"/>
              </w:rPr>
            </w:pPr>
          </w:p>
        </w:tc>
      </w:tr>
      <w:tr>
        <w:trPr>
          <w:trHeight w:val="223"/>
        </w:trPr>
        <w:tc>
          <w:tcPr>
            <w:tcW w:w="504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FF2FA"/>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FF2FA"/>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FF2FA"/>
            </w:tcBorders>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5"/>
              </w:rPr>
              <w:t>Six Months Ended</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29,</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right"/>
              <w:ind w:right="451"/>
              <w:spacing w:after="0" w:line="133"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1"/>
                <w:szCs w:val="11"/>
                <w:color w:val="auto"/>
              </w:rPr>
            </w:pPr>
          </w:p>
        </w:tc>
      </w:tr>
      <w:tr>
        <w:trPr>
          <w:trHeight w:val="171"/>
        </w:trPr>
        <w:tc>
          <w:tcPr>
            <w:tcW w:w="6720" w:type="dxa"/>
            <w:vAlign w:val="bottom"/>
          </w:tcPr>
          <w:p>
            <w:pPr>
              <w:spacing w:after="0"/>
              <w:rPr>
                <w:sz w:val="14"/>
                <w:szCs w:val="14"/>
                <w:color w:val="auto"/>
              </w:rPr>
            </w:pPr>
          </w:p>
        </w:tc>
        <w:tc>
          <w:tcPr>
            <w:tcW w:w="22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40" w:type="dxa"/>
            <w:vAlign w:val="bottom"/>
            <w:gridSpan w:val="2"/>
          </w:tcPr>
          <w:p>
            <w:pPr>
              <w:jc w:val="right"/>
              <w:ind w:right="91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1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Impairment on investment</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Receivables, net</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Amounts due to founding members and managing member</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6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notes receivable - founding members</w:t>
            </w:r>
          </w:p>
        </w:tc>
        <w:tc>
          <w:tcPr>
            <w:tcW w:w="114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Proceeds from borrowings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of borrowings</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(87.0)</w:t>
            </w: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Payment of debt issuance costs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Founding member integration payments</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1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Beginning of period</w:t>
            </w:r>
          </w:p>
        </w:tc>
        <w:tc>
          <w:tcPr>
            <w:tcW w:w="114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1140" w:type="dxa"/>
            <w:vAlign w:val="bottom"/>
          </w:tcPr>
          <w:p>
            <w:pPr>
              <w:spacing w:after="0"/>
              <w:rPr>
                <w:sz w:val="19"/>
                <w:szCs w:val="19"/>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ind w:right="457"/>
              <w:spacing w:after="0" w:line="13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ind w:right="475"/>
              <w:spacing w:after="0" w:line="133"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1"/>
                <w:szCs w:val="11"/>
                <w:color w:val="auto"/>
              </w:rPr>
            </w:pPr>
          </w:p>
        </w:tc>
      </w:tr>
      <w:tr>
        <w:trPr>
          <w:trHeight w:val="171"/>
        </w:trPr>
        <w:tc>
          <w:tcPr>
            <w:tcW w:w="646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201.8</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24.7</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80" w:firstLine="555"/>
        <w:spacing w:after="0" w:line="271" w:lineRule="auto"/>
        <w:rPr>
          <w:sz w:val="20"/>
          <w:szCs w:val="20"/>
          <w:color w:val="auto"/>
        </w:rPr>
      </w:pPr>
      <w:r>
        <w:rPr>
          <w:rFonts w:ascii="Arial" w:cs="Arial" w:eastAsia="Arial" w:hAnsi="Arial"/>
          <w:sz w:val="17"/>
          <w:szCs w:val="17"/>
          <w:color w:val="auto"/>
        </w:rPr>
        <w:t>National CineMedia, LLC (“NCM LLC”, “the Company” or “we”) commenced operations on April 1, 2005 and is owned by National CineMedia, Inc. (“NCM, Inc.”, “manager” or “managing member”), American Multi-Cinema, Inc. and AMC ShowPlace Theatres, Inc., wholly owned subsidiaries of AMC Entertainment, Inc. (“AMC”),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in-theater network in North America, allowing NCM LLC to sell advertising under long-term exhibitor services agreements (“ESAs”) with the founding members (approximately 20 years remaining as of June 29, 2017) and certain third-party theater circuits, referred to in this document as “network affiliates” under long-term network affiliate agreements, which have terms from one to twenty years.</w:t>
      </w:r>
    </w:p>
    <w:p>
      <w:pPr>
        <w:spacing w:after="0" w:line="71"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As of June 29, 2017, NCM LLC had 154,053,718 common membership units outstanding, of which 60,614,606 (39.3%) were owned by NCM, Inc., 37,992,630 (24.7%) were owned by AMC, 27,871,862 (18.1%) were owned by Cinemark and 27,574,620 (17.9%) were owned by Regal. The membership units held by the founding members are exchangeable into NCM, Inc. common stock on a one-for-one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29, 2016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29, 2016.</w:t>
      </w:r>
    </w:p>
    <w:p>
      <w:pPr>
        <w:spacing w:after="0" w:line="70"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6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29, 2016 contain a complete discussion of the Company’s significant accounting policies. Following is additional information related to the Company’s accounting policies.</w:t>
      </w:r>
    </w:p>
    <w:p>
      <w:pPr>
        <w:spacing w:after="0" w:line="16" w:lineRule="exact"/>
        <w:rPr>
          <w:sz w:val="20"/>
          <w:szCs w:val="20"/>
          <w:color w:val="auto"/>
        </w:rPr>
      </w:pPr>
    </w:p>
    <w:p>
      <w:pPr>
        <w:ind w:right="140" w:firstLine="555"/>
        <w:spacing w:after="0" w:line="253"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June 29, 2017 and December 29, 2016, there were no advertising agency groups or individual customers through which the Company sources national advertising revenue representing more than 10% of the Company’s outstanding gross receivable balance. During the three and six months ended June 29, 2017 and June 30, 2016, the Company had no customers that accounted for more than 10% of revenue.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2016 and 2017,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and six months ended June 29, 2017 and June 30, 2016, NCM, Inc. acquired 19,205, 15,922, 740,194 and 597,245 units, respectively, due to the vesting of restricted stock and restricted stock units and exercise of stock options and contributed $0.0 million, $0.0 million, $0.6 million and $0.3 million to NCM LLC for stock option exercises for the three and six months ended June 29, 2017 and June 30, 2016,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 xml:space="preserve">In the first quarter of 2017, the Company adopted Accounting Standards Update 2016-07, </w:t>
      </w:r>
      <w:r>
        <w:rPr>
          <w:rFonts w:ascii="Arial" w:cs="Arial" w:eastAsia="Arial" w:hAnsi="Arial"/>
          <w:sz w:val="18"/>
          <w:szCs w:val="18"/>
          <w:i w:val="1"/>
          <w:iCs w:val="1"/>
          <w:color w:val="auto"/>
        </w:rPr>
        <w:t>Investments- Equity Method and Joint Ventures: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Transition to the Equity Method of Accounting </w:t>
      </w:r>
      <w:r>
        <w:rPr>
          <w:rFonts w:ascii="Arial" w:cs="Arial" w:eastAsia="Arial" w:hAnsi="Arial"/>
          <w:sz w:val="18"/>
          <w:szCs w:val="18"/>
          <w:color w:val="auto"/>
        </w:rPr>
        <w:t>(“ASU 2016-07”) on a prospective basis. ASU 2016-07 eliminates the requirement to apply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retrospectively when a reporting entity obtains significant influence over a previously held investment. The adoption of ASU 2016-07 did not have a material impact on the unaudited Condensed Financial Statements or notes thereto.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In August 2015, the FASB revised the effective date for this standard to annual and interim periods beginning on or after December 15, 2017, with early adoption permitted, but not earlier than the original effective date of annual and interim periods beginning after December 15, 2016, for public entities. ASU 2014-09 allows for either a full retrospective or a modified retrospective transition method. The Company expects to adopt this guidance using the modified retrospective transition method during the first quarter of 2018. The Company expects to identify the same performance obligations under ASU 2014-09 as compared with deliverables and separate units of account previously identified. The Company has evaluated ASU 2014-09 and does not expect the effect of adopting this guidance to be material to the unaudited Condensed Financial Statements, however, the Company does expect additional disclosures in its notes to the unaudited Condensed Financial Statements.</w:t>
      </w:r>
    </w:p>
    <w:p>
      <w:pPr>
        <w:spacing w:after="0" w:line="7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requires equity investments that are not accounted for under the equity method of accounting to be measured at fair value with changes recognized in earnings (rather than reported through other comprehensive income) and updates certain presentation and disclosure requirements. The guidance is effective for reporting periods (interim and annual) beginning after December 15, 2017, for public companies and should be adopted on a prospective basis. The Company is currently evaluating the impact that adopting this guidance will have on the unaudited Condensed Financial Statements or notes thereto.</w:t>
      </w:r>
    </w:p>
    <w:p>
      <w:pPr>
        <w:spacing w:after="0" w:line="85" w:lineRule="exact"/>
        <w:rPr>
          <w:sz w:val="20"/>
          <w:szCs w:val="20"/>
          <w:color w:val="auto"/>
        </w:rPr>
      </w:pPr>
    </w:p>
    <w:p>
      <w:pPr>
        <w:ind w:right="180" w:firstLine="555"/>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(“ASU 2016-02”). ASU 2016-02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Company is currently evaluating the impact that adopting this guidance will have on the unaudited Condensed Financial Statements or notes thereto.</w:t>
      </w:r>
    </w:p>
    <w:p>
      <w:pPr>
        <w:spacing w:after="0" w:line="129"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Financial Statements or notes thereto.</w:t>
      </w:r>
    </w:p>
    <w:p>
      <w:pPr>
        <w:spacing w:after="0" w:line="8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 xml:space="preserve">In August 2016, the FASB issued Accounting Standards Update 2016-15, </w:t>
      </w:r>
      <w:r>
        <w:rPr>
          <w:rFonts w:ascii="Arial" w:cs="Arial" w:eastAsia="Arial" w:hAnsi="Arial"/>
          <w:sz w:val="17"/>
          <w:szCs w:val="17"/>
          <w:i w:val="1"/>
          <w:iCs w:val="1"/>
          <w:color w:val="auto"/>
        </w:rPr>
        <w:t>Statement of Cash Flows (Topic 230): Classification of Certain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Receipts and Cash Payments </w:t>
      </w:r>
      <w:r>
        <w:rPr>
          <w:rFonts w:ascii="Arial" w:cs="Arial" w:eastAsia="Arial" w:hAnsi="Arial"/>
          <w:sz w:val="17"/>
          <w:szCs w:val="17"/>
          <w:color w:val="auto"/>
        </w:rPr>
        <w:t>(“ASU 2016-15”), which provides guidance on how certain cash receipts and cash payments are to be presented and classified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statement of cash flows. ASU 2016-15 is effective for fiscal years beginning after December 15, 2017, including interim periods within those fiscal years, with early adoption permitted. A retrospective transition method should be used in the application of the amendments within ASU 2016-15. If retrospective application is considered impracticable, retrospective application may be used as of the earliest date practicable. The Company is currently evaluating the impact that adopting this guidance will have on the Condensed Financial Statements or notes thereto.</w:t>
      </w:r>
    </w:p>
    <w:p>
      <w:pPr>
        <w:spacing w:after="0" w:line="70"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the reconciliation of the beginning-of-period and end-of-period amounts shown in the statement of cash flows include restricted cash and restricted cash equivalents. If restricted cash is presented separately from cash and cash equivalents on the balance sheet, companies will have to reconcile the amounts presented on the statement of cash flows to the amounts on the balance sheet. Companies will also need to disclose information about the nature of the restrictions. ASU 2016-18 is effective for fiscal years beginning after December 15, 2017, including interim periods within those fiscal years. The Company is currently evaluating the impact that adopting this guidance will have on the unaudited Condensed Financial Statements or notes thereto.</w:t>
      </w:r>
    </w:p>
    <w:p>
      <w:pPr>
        <w:spacing w:after="0" w:line="57"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0"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 In accordance with the Common Unit Adjustment Agreement with the founding members, on an annual basis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determines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During the first quarter of 2017, the Company issued 2,351,029 common membership units to the founding members for the rights to exclusive access to the theater screens and attendees added, net of dispositions by the founding members to the Company’s network during the 2016 fiscal year. Also during the first quarter of 2017, NCM, Inc. and NCM LLC entered into a binding Memorandum of Understanding (“MOU”) with AMC to effectuate aspects of a final judgment (the “Final Judgment”) entered into by the Department of Justice (the “DOJ”) in connection with AMC’s acquisition of Carmike Cinemas, Inc. (“Carmike”). Pursuant to the MOU, the Company issued 18,425,423 common membership units to AMC in respect of the annual attendance at such Carmike theaters in accordance with the Common Unit Adjustment Agreement during the first quarter of 2017. AMC’s acquisition of Carmike meets the criteria for a Common Unit Adjustment because it resulted in an extraordinary attendance increase of approximately 9.5%. Further, the Final Judgment required AMC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transfer advertising rights to 17 theaters from NCM LLC to another advertising provider. Pursuant to the MOU, AMC surrendered 4,657,673 common membership units in respect of such theaters. The 4,657,673 common membership units were comprised of (i) 2,850,453 common membership units pursuant to the adjustment for divested theaters in the Common Unit Adjustment Agreement and (ii) an additional 1,807,220 common membership units valued at $25.0 million to compensate for NCM LLC’s lost operating income for these theaters during the 10-year term of the Final Judgment. To facilitate the theater transfers, during the first quarter of 2017, AMC and Regal entered into an amendment of its ESA with the Company and Cinemark entered into a waiver of certain rights under its ESA. The Company recorded a net intangible asset of $201.8 million during the first quarter of 2017 related to these transactions.</w:t>
      </w:r>
    </w:p>
    <w:p>
      <w:pPr>
        <w:spacing w:after="0" w:line="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During the first quarter of 2016, the Company issued 1,416,515 common membership units to the founding members for the rights to exclusive access to the theater screens and attendees added, net of dispositions by the founding members to the Company’s network during the 2015 fiscal year and NCM LLC recorded a net intangible asset of $21.1 million during the first quarter of 2016 as a result of the Common Unit Adjustment.</w:t>
      </w:r>
    </w:p>
    <w:p>
      <w:pPr>
        <w:spacing w:after="0" w:line="5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b w:val="1"/>
          <w:bCs w:val="1"/>
          <w:i w:val="1"/>
          <w:iCs w:val="1"/>
          <w:color w:val="auto"/>
        </w:rPr>
        <w:t>Integration Payments</w:t>
      </w:r>
      <w:r>
        <w:rPr>
          <w:rFonts w:ascii="Arial" w:cs="Arial" w:eastAsia="Arial" w:hAnsi="Arial"/>
          <w:sz w:val="17"/>
          <w:szCs w:val="17"/>
          <w:color w:val="auto"/>
        </w:rPr>
        <w:t>—If an existing on-screen advertising agreement with an alternative provider is in place with respect to any acquired theaters,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theaters are subject to an existing on-screen advertising agreement with an alternative provider, AMC will make integration payments to NCM LLC. The integration payments will continue until the earlier of (i) the date the theaters are transferred to the Company’s network or (ii) the expiration of the ESA. During the three and six months ended June 29, 2017 and June 30, 2016, NCM LLC recorded a reduction to net intangible assets of $4.3 million, $0.7 million, $4.7 million and $0.8 million, respectively, related to integration payments. These integration payments are due from AMC related to their acquisitions of theaters from Carmike, and Rave Cinemas and from Cinemark related to their acquisition of theaters from Rave Cinemas. During the three and six months ended June 29, 2017 and June 30, 2016, AMC and Cinemark paid a total of $0.5 million, $0.1 million, $1.5 million and $1.0 million, respectively, in integration payments (as payments are made one quarter in arrears).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 Integration payments are calculated based upon the advertising cash flow that the Company would have generated if it had exclusive access to sell advertising in the theaters with pre-existing advertising agreements.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20" w:right="20" w:hanging="558"/>
        <w:spacing w:after="0" w:line="272" w:lineRule="auto"/>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pre-show, use of the lobby entertainment network (“LEN”) and rights to sell and display certain lobby promotions. Further, 30 to 60 seconds of advertising included in the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64" w:lineRule="exact"/>
        <w:rPr>
          <w:rFonts w:ascii="Arial" w:cs="Arial" w:eastAsia="Arial" w:hAnsi="Arial"/>
          <w:sz w:val="17"/>
          <w:szCs w:val="17"/>
          <w:color w:val="auto"/>
        </w:rPr>
      </w:pPr>
    </w:p>
    <w:p>
      <w:pPr>
        <w:ind w:left="1120" w:right="20" w:hanging="558"/>
        <w:spacing w:after="0" w:line="266"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the Company’s network.</w:t>
      </w:r>
    </w:p>
    <w:p>
      <w:pPr>
        <w:spacing w:after="0" w:line="68" w:lineRule="exact"/>
        <w:rPr>
          <w:rFonts w:ascii="Arial" w:cs="Arial" w:eastAsia="Arial" w:hAnsi="Arial"/>
          <w:sz w:val="18"/>
          <w:szCs w:val="18"/>
          <w:color w:val="auto"/>
        </w:rPr>
      </w:pPr>
    </w:p>
    <w:p>
      <w:pPr>
        <w:ind w:left="1120" w:right="120" w:hanging="558"/>
        <w:spacing w:after="0" w:line="266"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Software License Agreement. </w:t>
      </w:r>
      <w:r>
        <w:rPr>
          <w:rFonts w:ascii="Arial" w:cs="Arial" w:eastAsia="Arial" w:hAnsi="Arial"/>
          <w:sz w:val="18"/>
          <w:szCs w:val="18"/>
          <w:color w:val="auto"/>
        </w:rPr>
        <w:t>At the date of NCM, Inc.’s IPO, NCM LLC was granted a perpetual, royalty-free license from the founding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to use certain proprietary software that existed at the time for the delivery of digital advertising and other content through the DCN to screens in the U.S. NCM LLC has made improvements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jc w:val="center"/>
        <w:ind w:right="54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to this software since NCM, Inc.’s IPO date and the Company owns those improvements, except for improvements that were developed jointly by NCM LLC and the founding members, if 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8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6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5"/>
              <w:spacing w:after="0" w:line="133" w:lineRule="exact"/>
              <w:rPr>
                <w:sz w:val="20"/>
                <w:szCs w:val="20"/>
                <w:color w:val="auto"/>
              </w:rPr>
            </w:pPr>
            <w:r>
              <w:rPr>
                <w:rFonts w:ascii="Arial" w:cs="Arial" w:eastAsia="Arial" w:hAnsi="Arial"/>
                <w:sz w:val="14"/>
                <w:szCs w:val="14"/>
                <w:b w:val="1"/>
                <w:bCs w:val="1"/>
                <w:color w:val="auto"/>
              </w:rPr>
              <w:t>June 29,</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4"/>
              <w:spacing w:after="0" w:line="133" w:lineRule="exact"/>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55"/>
              <w:spacing w:after="0" w:line="133" w:lineRule="exact"/>
              <w:rPr>
                <w:sz w:val="20"/>
                <w:szCs w:val="20"/>
                <w:color w:val="auto"/>
              </w:rPr>
            </w:pPr>
            <w:r>
              <w:rPr>
                <w:rFonts w:ascii="Arial" w:cs="Arial" w:eastAsia="Arial" w:hAnsi="Arial"/>
                <w:sz w:val="14"/>
                <w:szCs w:val="14"/>
                <w:b w:val="1"/>
                <w:bCs w:val="1"/>
                <w:color w:val="auto"/>
              </w:rPr>
              <w:t>June 29,</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4"/>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0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gridSpan w:val="5"/>
          </w:tcPr>
          <w:p>
            <w:pPr>
              <w:ind w:left="240"/>
              <w:spacing w:after="0" w:line="182" w:lineRule="exact"/>
              <w:rPr>
                <w:sz w:val="20"/>
                <w:szCs w:val="20"/>
                <w:color w:val="auto"/>
              </w:rPr>
            </w:pPr>
            <w:r>
              <w:rPr>
                <w:rFonts w:ascii="Arial" w:cs="Arial" w:eastAsia="Arial" w:hAnsi="Arial"/>
                <w:sz w:val="18"/>
                <w:szCs w:val="18"/>
                <w:color w:val="auto"/>
              </w:rPr>
              <w:t>Revenue: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56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Beverage concessionaire revenue (included in</w:t>
            </w:r>
          </w:p>
        </w:tc>
        <w:tc>
          <w:tcPr>
            <w:tcW w:w="6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56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80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7.6</w:t>
            </w:r>
          </w:p>
        </w:tc>
        <w:tc>
          <w:tcPr>
            <w:tcW w:w="36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7.1</w:t>
            </w:r>
          </w:p>
        </w:tc>
        <w:tc>
          <w:tcPr>
            <w:tcW w:w="44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16.0</w:t>
            </w:r>
          </w:p>
        </w:tc>
        <w:tc>
          <w:tcPr>
            <w:tcW w:w="3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560" w:type="dxa"/>
            <w:vAlign w:val="bottom"/>
            <w:gridSpan w:val="4"/>
          </w:tcPr>
          <w:p>
            <w:pPr>
              <w:ind w:left="140"/>
              <w:spacing w:after="0"/>
              <w:rPr>
                <w:sz w:val="20"/>
                <w:szCs w:val="20"/>
                <w:color w:val="auto"/>
              </w:rPr>
            </w:pPr>
            <w:r>
              <w:rPr>
                <w:rFonts w:ascii="Arial" w:cs="Arial" w:eastAsia="Arial" w:hAnsi="Arial"/>
                <w:sz w:val="18"/>
                <w:szCs w:val="18"/>
                <w:color w:val="auto"/>
              </w:rPr>
              <w:t>Advertising inventory revenue (included in</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560" w:type="dxa"/>
            <w:vAlign w:val="bottom"/>
            <w:gridSpan w:val="4"/>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CFF2FA"/>
            </w:tcBorders>
            <w:shd w:val="clear" w:color="auto" w:fill="CFF2FA"/>
          </w:tcPr>
          <w:p>
            <w:pPr>
              <w:spacing w:after="0"/>
              <w:rPr>
                <w:sz w:val="18"/>
                <w:szCs w:val="18"/>
                <w:color w:val="auto"/>
              </w:rPr>
            </w:pPr>
          </w:p>
        </w:tc>
        <w:tc>
          <w:tcPr>
            <w:tcW w:w="1480" w:type="dxa"/>
            <w:vAlign w:val="bottom"/>
            <w:tcBorders>
              <w:bottom w:val="single" w:sz="8" w:color="auto"/>
            </w:tcBorders>
            <w:gridSpan w:val="2"/>
            <w:shd w:val="clear" w:color="auto" w:fill="CFF2FA"/>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3080" w:type="dxa"/>
            <w:vAlign w:val="bottom"/>
            <w:tcBorders>
              <w:bottom w:val="single" w:sz="8" w:color="CFF2FA"/>
            </w:tcBorders>
            <w:gridSpan w:val="2"/>
            <w:shd w:val="clear" w:color="auto" w:fill="CFF2FA"/>
          </w:tcPr>
          <w:p>
            <w:pPr>
              <w:spacing w:after="0"/>
              <w:rPr>
                <w:sz w:val="18"/>
                <w:szCs w:val="18"/>
                <w:color w:val="auto"/>
              </w:rPr>
            </w:pPr>
          </w:p>
        </w:tc>
        <w:tc>
          <w:tcPr>
            <w:tcW w:w="660" w:type="dxa"/>
            <w:vAlign w:val="bottom"/>
            <w:tcBorders>
              <w:bottom w:val="single" w:sz="8" w:color="CFF2FA"/>
            </w:tcBorders>
            <w:shd w:val="clear" w:color="auto" w:fill="CFF2FA"/>
          </w:tcPr>
          <w:p>
            <w:pPr>
              <w:spacing w:after="0"/>
              <w:rPr>
                <w:sz w:val="18"/>
                <w:szCs w:val="18"/>
                <w:color w:val="auto"/>
              </w:rPr>
            </w:pPr>
          </w:p>
        </w:tc>
        <w:tc>
          <w:tcPr>
            <w:tcW w:w="140" w:type="dxa"/>
            <w:vAlign w:val="bottom"/>
            <w:tcBorders>
              <w:bottom w:val="single" w:sz="8" w:color="CFF2FA"/>
            </w:tcBorders>
            <w:shd w:val="clear" w:color="auto" w:fill="CFF2FA"/>
          </w:tcPr>
          <w:p>
            <w:pPr>
              <w:spacing w:after="0"/>
              <w:rPr>
                <w:sz w:val="18"/>
                <w:szCs w:val="18"/>
                <w:color w:val="auto"/>
              </w:rPr>
            </w:pPr>
          </w:p>
        </w:tc>
        <w:tc>
          <w:tcPr>
            <w:tcW w:w="860" w:type="dxa"/>
            <w:vAlign w:val="bottom"/>
            <w:tcBorders>
              <w:bottom w:val="single" w:sz="8" w:color="CFF2FA"/>
            </w:tcBorders>
            <w:shd w:val="clear" w:color="auto" w:fill="CFF2FA"/>
          </w:tcPr>
          <w:p>
            <w:pPr>
              <w:spacing w:after="0"/>
              <w:rPr>
                <w:sz w:val="18"/>
                <w:szCs w:val="18"/>
                <w:color w:val="auto"/>
              </w:rPr>
            </w:pPr>
          </w:p>
        </w:tc>
        <w:tc>
          <w:tcPr>
            <w:tcW w:w="200" w:type="dxa"/>
            <w:vAlign w:val="bottom"/>
            <w:tcBorders>
              <w:bottom w:val="single" w:sz="8" w:color="CFF2FA"/>
            </w:tcBorders>
            <w:shd w:val="clear" w:color="auto" w:fill="CFF2FA"/>
          </w:tcPr>
          <w:p>
            <w:pPr>
              <w:spacing w:after="0"/>
              <w:rPr>
                <w:sz w:val="18"/>
                <w:szCs w:val="18"/>
                <w:color w:val="auto"/>
              </w:rPr>
            </w:pPr>
          </w:p>
        </w:tc>
        <w:tc>
          <w:tcPr>
            <w:tcW w:w="160" w:type="dxa"/>
            <w:vAlign w:val="bottom"/>
            <w:tcBorders>
              <w:bottom w:val="single" w:sz="8" w:color="CFF2FA"/>
            </w:tcBorders>
            <w:shd w:val="clear" w:color="auto" w:fill="CFF2FA"/>
          </w:tcPr>
          <w:p>
            <w:pPr>
              <w:spacing w:after="0"/>
              <w:rPr>
                <w:sz w:val="18"/>
                <w:szCs w:val="18"/>
                <w:color w:val="auto"/>
              </w:rPr>
            </w:pPr>
          </w:p>
        </w:tc>
        <w:tc>
          <w:tcPr>
            <w:tcW w:w="840" w:type="dxa"/>
            <w:vAlign w:val="bottom"/>
            <w:tcBorders>
              <w:bottom w:val="single" w:sz="8" w:color="CFF2FA"/>
            </w:tcBorders>
            <w:shd w:val="clear" w:color="auto" w:fill="CFF2FA"/>
          </w:tcPr>
          <w:p>
            <w:pPr>
              <w:spacing w:after="0"/>
              <w:rPr>
                <w:sz w:val="18"/>
                <w:szCs w:val="18"/>
                <w:color w:val="auto"/>
              </w:rPr>
            </w:pPr>
          </w:p>
        </w:tc>
        <w:tc>
          <w:tcPr>
            <w:tcW w:w="280" w:type="dxa"/>
            <w:vAlign w:val="bottom"/>
            <w:tcBorders>
              <w:bottom w:val="single" w:sz="8" w:color="CFF2FA"/>
            </w:tcBorders>
            <w:shd w:val="clear" w:color="auto" w:fill="CFF2FA"/>
          </w:tcPr>
          <w:p>
            <w:pPr>
              <w:spacing w:after="0"/>
              <w:rPr>
                <w:sz w:val="18"/>
                <w:szCs w:val="18"/>
                <w:color w:val="auto"/>
              </w:rPr>
            </w:pPr>
          </w:p>
        </w:tc>
        <w:tc>
          <w:tcPr>
            <w:tcW w:w="160" w:type="dxa"/>
            <w:vAlign w:val="bottom"/>
            <w:tcBorders>
              <w:bottom w:val="single" w:sz="8" w:color="CFF2FA"/>
            </w:tcBorders>
            <w:shd w:val="clear" w:color="auto" w:fill="CFF2FA"/>
          </w:tcPr>
          <w:p>
            <w:pPr>
              <w:spacing w:after="0"/>
              <w:rPr>
                <w:sz w:val="18"/>
                <w:szCs w:val="18"/>
                <w:color w:val="auto"/>
              </w:rPr>
            </w:pPr>
          </w:p>
        </w:tc>
        <w:tc>
          <w:tcPr>
            <w:tcW w:w="840" w:type="dxa"/>
            <w:vAlign w:val="bottom"/>
            <w:tcBorders>
              <w:bottom w:val="single" w:sz="8" w:color="CFF2FA"/>
            </w:tcBorders>
            <w:shd w:val="clear" w:color="auto" w:fill="CFF2FA"/>
          </w:tcPr>
          <w:p>
            <w:pPr>
              <w:spacing w:after="0"/>
              <w:rPr>
                <w:sz w:val="18"/>
                <w:szCs w:val="18"/>
                <w:color w:val="auto"/>
              </w:rPr>
            </w:pPr>
          </w:p>
        </w:tc>
        <w:tc>
          <w:tcPr>
            <w:tcW w:w="220" w:type="dxa"/>
            <w:vAlign w:val="bottom"/>
            <w:tcBorders>
              <w:bottom w:val="single" w:sz="8" w:color="CFF2FA"/>
            </w:tcBorders>
            <w:shd w:val="clear" w:color="auto" w:fill="CFF2FA"/>
          </w:tcPr>
          <w:p>
            <w:pPr>
              <w:spacing w:after="0"/>
              <w:rPr>
                <w:sz w:val="18"/>
                <w:szCs w:val="18"/>
                <w:color w:val="auto"/>
              </w:rPr>
            </w:pPr>
          </w:p>
        </w:tc>
        <w:tc>
          <w:tcPr>
            <w:tcW w:w="160" w:type="dxa"/>
            <w:vAlign w:val="bottom"/>
            <w:tcBorders>
              <w:bottom w:val="single" w:sz="8" w:color="CFF2FA"/>
            </w:tcBorders>
            <w:shd w:val="clear" w:color="auto" w:fill="CFF2FA"/>
          </w:tcPr>
          <w:p>
            <w:pPr>
              <w:spacing w:after="0"/>
              <w:rPr>
                <w:sz w:val="18"/>
                <w:szCs w:val="18"/>
                <w:color w:val="auto"/>
              </w:rPr>
            </w:pPr>
          </w:p>
        </w:tc>
        <w:tc>
          <w:tcPr>
            <w:tcW w:w="840" w:type="dxa"/>
            <w:vAlign w:val="bottom"/>
            <w:tcBorders>
              <w:bottom w:val="single" w:sz="8" w:color="CFF2FA"/>
            </w:tcBorders>
            <w:shd w:val="clear" w:color="auto" w:fill="CFF2FA"/>
          </w:tcPr>
          <w:p>
            <w:pPr>
              <w:spacing w:after="0"/>
              <w:rPr>
                <w:sz w:val="18"/>
                <w:szCs w:val="18"/>
                <w:color w:val="auto"/>
              </w:rPr>
            </w:pPr>
          </w:p>
        </w:tc>
        <w:tc>
          <w:tcPr>
            <w:tcW w:w="120" w:type="dxa"/>
            <w:vAlign w:val="bottom"/>
            <w:tcBorders>
              <w:bottom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560" w:type="dxa"/>
            <w:vAlign w:val="bottom"/>
            <w:gridSpan w:val="4"/>
          </w:tcPr>
          <w:p>
            <w:pPr>
              <w:ind w:left="1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56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6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2FA"/>
          </w:tcPr>
          <w:p>
            <w:pPr>
              <w:spacing w:after="0"/>
              <w:rPr>
                <w:sz w:val="18"/>
                <w:szCs w:val="18"/>
                <w:color w:val="auto"/>
              </w:rPr>
            </w:pPr>
          </w:p>
        </w:tc>
        <w:tc>
          <w:tcPr>
            <w:tcW w:w="456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6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56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6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560" w:type="dxa"/>
            <w:vAlign w:val="bottom"/>
            <w:gridSpan w:val="4"/>
          </w:tcPr>
          <w:p>
            <w:pPr>
              <w:ind w:left="140"/>
              <w:spacing w:after="0"/>
              <w:rPr>
                <w:sz w:val="20"/>
                <w:szCs w:val="20"/>
                <w:color w:val="auto"/>
              </w:rPr>
            </w:pPr>
            <w:r>
              <w:rPr>
                <w:rFonts w:ascii="Arial" w:cs="Arial" w:eastAsia="Arial" w:hAnsi="Arial"/>
                <w:sz w:val="18"/>
                <w:szCs w:val="18"/>
                <w:color w:val="auto"/>
              </w:rPr>
              <w:t>Purchase of movie tickets and concession products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60" w:type="dxa"/>
            <w:vAlign w:val="bottom"/>
            <w:gridSpan w:val="4"/>
          </w:tcPr>
          <w:p>
            <w:pPr>
              <w:ind w:left="260"/>
              <w:spacing w:after="0"/>
              <w:rPr>
                <w:sz w:val="20"/>
                <w:szCs w:val="20"/>
                <w:color w:val="auto"/>
              </w:rPr>
            </w:pPr>
            <w:r>
              <w:rPr>
                <w:rFonts w:ascii="Arial" w:cs="Arial" w:eastAsia="Arial" w:hAnsi="Arial"/>
                <w:sz w:val="18"/>
                <w:szCs w:val="18"/>
                <w:color w:val="auto"/>
              </w:rPr>
              <w:t>and rental of theatre space (included in advertising</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560" w:type="dxa"/>
            <w:vAlign w:val="bottom"/>
            <w:gridSpan w:val="4"/>
          </w:tcPr>
          <w:p>
            <w:pPr>
              <w:ind w:left="26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(4)</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56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6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2FA"/>
          </w:tcPr>
          <w:p>
            <w:pPr>
              <w:spacing w:after="0"/>
              <w:rPr>
                <w:sz w:val="18"/>
                <w:szCs w:val="18"/>
                <w:color w:val="auto"/>
              </w:rPr>
            </w:pPr>
          </w:p>
        </w:tc>
        <w:tc>
          <w:tcPr>
            <w:tcW w:w="456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6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56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in administrative and other costs) </w:t>
            </w:r>
            <w:r>
              <w:rPr>
                <w:rFonts w:ascii="Arial" w:cs="Arial" w:eastAsia="Arial" w:hAnsi="Arial"/>
                <w:sz w:val="18"/>
                <w:szCs w:val="18"/>
                <w:i w:val="1"/>
                <w:iCs w:val="1"/>
                <w:color w:val="auto"/>
              </w:rPr>
              <w:t>(4)</w:t>
            </w:r>
          </w:p>
        </w:tc>
        <w:tc>
          <w:tcPr>
            <w:tcW w:w="6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2FA"/>
          </w:tcPr>
          <w:p>
            <w:pPr>
              <w:spacing w:after="0"/>
              <w:rPr>
                <w:sz w:val="20"/>
                <w:szCs w:val="20"/>
                <w:color w:val="auto"/>
              </w:rPr>
            </w:pPr>
          </w:p>
        </w:tc>
        <w:tc>
          <w:tcPr>
            <w:tcW w:w="160" w:type="dxa"/>
            <w:vAlign w:val="bottom"/>
            <w:shd w:val="clear" w:color="auto" w:fill="CFF2FA"/>
          </w:tcPr>
          <w:p>
            <w:pPr>
              <w:spacing w:after="0"/>
              <w:rPr>
                <w:sz w:val="20"/>
                <w:szCs w:val="20"/>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560" w:type="dxa"/>
            <w:vAlign w:val="bottom"/>
            <w:gridSpan w:val="4"/>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2FA"/>
          </w:tcPr>
          <w:p>
            <w:pPr>
              <w:spacing w:after="0"/>
              <w:rPr>
                <w:sz w:val="16"/>
                <w:szCs w:val="16"/>
                <w:color w:val="auto"/>
              </w:rPr>
            </w:pPr>
          </w:p>
        </w:tc>
        <w:tc>
          <w:tcPr>
            <w:tcW w:w="4560" w:type="dxa"/>
            <w:vAlign w:val="bottom"/>
            <w:gridSpan w:val="4"/>
            <w:shd w:val="clear" w:color="auto" w:fill="CFF2FA"/>
          </w:tcPr>
          <w:p>
            <w:pPr>
              <w:spacing w:after="0" w:line="189" w:lineRule="exact"/>
              <w:rPr>
                <w:sz w:val="20"/>
                <w:szCs w:val="20"/>
                <w:color w:val="auto"/>
              </w:rPr>
            </w:pPr>
            <w:r>
              <w:rPr>
                <w:rFonts w:ascii="Arial" w:cs="Arial" w:eastAsia="Arial" w:hAnsi="Arial"/>
                <w:sz w:val="18"/>
                <w:szCs w:val="18"/>
                <w:color w:val="auto"/>
              </w:rPr>
              <w:t>Non-operating expenses:</w:t>
            </w:r>
          </w:p>
        </w:tc>
        <w:tc>
          <w:tcPr>
            <w:tcW w:w="660" w:type="dxa"/>
            <w:vAlign w:val="bottom"/>
            <w:shd w:val="clear" w:color="auto" w:fill="CFF2FA"/>
          </w:tcPr>
          <w:p>
            <w:pPr>
              <w:spacing w:after="0"/>
              <w:rPr>
                <w:sz w:val="16"/>
                <w:szCs w:val="16"/>
                <w:color w:val="auto"/>
              </w:rPr>
            </w:pPr>
          </w:p>
        </w:tc>
        <w:tc>
          <w:tcPr>
            <w:tcW w:w="140" w:type="dxa"/>
            <w:vAlign w:val="bottom"/>
            <w:shd w:val="clear" w:color="auto" w:fill="CFF2FA"/>
          </w:tcPr>
          <w:p>
            <w:pPr>
              <w:spacing w:after="0"/>
              <w:rPr>
                <w:sz w:val="16"/>
                <w:szCs w:val="16"/>
                <w:color w:val="auto"/>
              </w:rPr>
            </w:pPr>
          </w:p>
        </w:tc>
        <w:tc>
          <w:tcPr>
            <w:tcW w:w="860" w:type="dxa"/>
            <w:vAlign w:val="bottom"/>
            <w:shd w:val="clear" w:color="auto" w:fill="CFF2FA"/>
          </w:tcPr>
          <w:p>
            <w:pPr>
              <w:spacing w:after="0"/>
              <w:rPr>
                <w:sz w:val="16"/>
                <w:szCs w:val="16"/>
                <w:color w:val="auto"/>
              </w:rPr>
            </w:pPr>
          </w:p>
        </w:tc>
        <w:tc>
          <w:tcPr>
            <w:tcW w:w="200" w:type="dxa"/>
            <w:vAlign w:val="bottom"/>
            <w:shd w:val="clear" w:color="auto" w:fill="CFF2FA"/>
          </w:tcPr>
          <w:p>
            <w:pPr>
              <w:spacing w:after="0"/>
              <w:rPr>
                <w:sz w:val="16"/>
                <w:szCs w:val="16"/>
                <w:color w:val="auto"/>
              </w:rPr>
            </w:pPr>
          </w:p>
        </w:tc>
        <w:tc>
          <w:tcPr>
            <w:tcW w:w="160" w:type="dxa"/>
            <w:vAlign w:val="bottom"/>
            <w:shd w:val="clear" w:color="auto" w:fill="CFF2FA"/>
          </w:tcPr>
          <w:p>
            <w:pPr>
              <w:spacing w:after="0"/>
              <w:rPr>
                <w:sz w:val="16"/>
                <w:szCs w:val="16"/>
                <w:color w:val="auto"/>
              </w:rPr>
            </w:pPr>
          </w:p>
        </w:tc>
        <w:tc>
          <w:tcPr>
            <w:tcW w:w="840" w:type="dxa"/>
            <w:vAlign w:val="bottom"/>
            <w:shd w:val="clear" w:color="auto" w:fill="CFF2FA"/>
          </w:tcPr>
          <w:p>
            <w:pPr>
              <w:spacing w:after="0"/>
              <w:rPr>
                <w:sz w:val="16"/>
                <w:szCs w:val="16"/>
                <w:color w:val="auto"/>
              </w:rPr>
            </w:pPr>
          </w:p>
        </w:tc>
        <w:tc>
          <w:tcPr>
            <w:tcW w:w="280" w:type="dxa"/>
            <w:vAlign w:val="bottom"/>
            <w:shd w:val="clear" w:color="auto" w:fill="CFF2FA"/>
          </w:tcPr>
          <w:p>
            <w:pPr>
              <w:spacing w:after="0"/>
              <w:rPr>
                <w:sz w:val="16"/>
                <w:szCs w:val="16"/>
                <w:color w:val="auto"/>
              </w:rPr>
            </w:pPr>
          </w:p>
        </w:tc>
        <w:tc>
          <w:tcPr>
            <w:tcW w:w="160" w:type="dxa"/>
            <w:vAlign w:val="bottom"/>
            <w:shd w:val="clear" w:color="auto" w:fill="CFF2FA"/>
          </w:tcPr>
          <w:p>
            <w:pPr>
              <w:spacing w:after="0"/>
              <w:rPr>
                <w:sz w:val="16"/>
                <w:szCs w:val="16"/>
                <w:color w:val="auto"/>
              </w:rPr>
            </w:pPr>
          </w:p>
        </w:tc>
        <w:tc>
          <w:tcPr>
            <w:tcW w:w="840" w:type="dxa"/>
            <w:vAlign w:val="bottom"/>
            <w:shd w:val="clear" w:color="auto" w:fill="CFF2FA"/>
          </w:tcPr>
          <w:p>
            <w:pPr>
              <w:spacing w:after="0"/>
              <w:rPr>
                <w:sz w:val="16"/>
                <w:szCs w:val="16"/>
                <w:color w:val="auto"/>
              </w:rPr>
            </w:pPr>
          </w:p>
        </w:tc>
        <w:tc>
          <w:tcPr>
            <w:tcW w:w="220" w:type="dxa"/>
            <w:vAlign w:val="bottom"/>
            <w:shd w:val="clear" w:color="auto" w:fill="CFF2FA"/>
          </w:tcPr>
          <w:p>
            <w:pPr>
              <w:spacing w:after="0"/>
              <w:rPr>
                <w:sz w:val="16"/>
                <w:szCs w:val="16"/>
                <w:color w:val="auto"/>
              </w:rPr>
            </w:pPr>
          </w:p>
        </w:tc>
        <w:tc>
          <w:tcPr>
            <w:tcW w:w="160" w:type="dxa"/>
            <w:vAlign w:val="bottom"/>
            <w:shd w:val="clear" w:color="auto" w:fill="CFF2FA"/>
          </w:tcPr>
          <w:p>
            <w:pPr>
              <w:spacing w:after="0"/>
              <w:rPr>
                <w:sz w:val="16"/>
                <w:szCs w:val="16"/>
                <w:color w:val="auto"/>
              </w:rPr>
            </w:pPr>
          </w:p>
        </w:tc>
        <w:tc>
          <w:tcPr>
            <w:tcW w:w="840" w:type="dxa"/>
            <w:vAlign w:val="bottom"/>
            <w:shd w:val="clear" w:color="auto" w:fill="CFF2FA"/>
          </w:tcPr>
          <w:p>
            <w:pPr>
              <w:spacing w:after="0"/>
              <w:rPr>
                <w:sz w:val="16"/>
                <w:szCs w:val="16"/>
                <w:color w:val="auto"/>
              </w:rPr>
            </w:pPr>
          </w:p>
        </w:tc>
        <w:tc>
          <w:tcPr>
            <w:tcW w:w="120" w:type="dxa"/>
            <w:vAlign w:val="bottom"/>
            <w:shd w:val="clear" w:color="auto" w:fill="CFF2FA"/>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2FA"/>
            </w:tcBorders>
            <w:shd w:val="clear" w:color="auto" w:fill="CFF2FA"/>
          </w:tcPr>
          <w:p>
            <w:pPr>
              <w:spacing w:after="0" w:line="20" w:lineRule="exact"/>
              <w:rPr>
                <w:sz w:val="1"/>
                <w:szCs w:val="1"/>
                <w:color w:val="auto"/>
              </w:rPr>
            </w:pPr>
          </w:p>
        </w:tc>
        <w:tc>
          <w:tcPr>
            <w:tcW w:w="680" w:type="dxa"/>
            <w:vAlign w:val="bottom"/>
            <w:tcBorders>
              <w:top w:val="single" w:sz="8" w:color="auto"/>
            </w:tcBorders>
            <w:shd w:val="clear" w:color="auto" w:fill="CFF2FA"/>
          </w:tcPr>
          <w:p>
            <w:pPr>
              <w:spacing w:after="0" w:line="20" w:lineRule="exact"/>
              <w:rPr>
                <w:sz w:val="1"/>
                <w:szCs w:val="1"/>
                <w:color w:val="auto"/>
              </w:rPr>
            </w:pPr>
          </w:p>
        </w:tc>
        <w:tc>
          <w:tcPr>
            <w:tcW w:w="800" w:type="dxa"/>
            <w:vAlign w:val="bottom"/>
            <w:tcBorders>
              <w:top w:val="single" w:sz="8" w:color="auto"/>
            </w:tcBorders>
            <w:shd w:val="clear" w:color="auto" w:fill="CFF2FA"/>
          </w:tcPr>
          <w:p>
            <w:pPr>
              <w:spacing w:after="0" w:line="20" w:lineRule="exact"/>
              <w:rPr>
                <w:sz w:val="1"/>
                <w:szCs w:val="1"/>
                <w:color w:val="auto"/>
              </w:rPr>
            </w:pPr>
          </w:p>
        </w:tc>
        <w:tc>
          <w:tcPr>
            <w:tcW w:w="320" w:type="dxa"/>
            <w:vAlign w:val="bottom"/>
            <w:tcBorders>
              <w:top w:val="single" w:sz="8" w:color="auto"/>
            </w:tcBorders>
            <w:shd w:val="clear" w:color="auto" w:fill="CFF2FA"/>
          </w:tcPr>
          <w:p>
            <w:pPr>
              <w:spacing w:after="0" w:line="20" w:lineRule="exact"/>
              <w:rPr>
                <w:sz w:val="1"/>
                <w:szCs w:val="1"/>
                <w:color w:val="auto"/>
              </w:rPr>
            </w:pPr>
          </w:p>
        </w:tc>
        <w:tc>
          <w:tcPr>
            <w:tcW w:w="2760" w:type="dxa"/>
            <w:vAlign w:val="bottom"/>
            <w:tcBorders>
              <w:top w:val="single" w:sz="8" w:color="CFF2FA"/>
            </w:tcBorders>
            <w:shd w:val="clear" w:color="auto" w:fill="CFF2FA"/>
          </w:tcPr>
          <w:p>
            <w:pPr>
              <w:spacing w:after="0" w:line="20" w:lineRule="exact"/>
              <w:rPr>
                <w:sz w:val="1"/>
                <w:szCs w:val="1"/>
                <w:color w:val="auto"/>
              </w:rPr>
            </w:pPr>
          </w:p>
        </w:tc>
        <w:tc>
          <w:tcPr>
            <w:tcW w:w="660" w:type="dxa"/>
            <w:vAlign w:val="bottom"/>
            <w:tcBorders>
              <w:top w:val="single" w:sz="8" w:color="CFF2FA"/>
            </w:tcBorders>
            <w:shd w:val="clear" w:color="auto" w:fill="CFF2FA"/>
          </w:tcPr>
          <w:p>
            <w:pPr>
              <w:spacing w:after="0" w:line="20" w:lineRule="exact"/>
              <w:rPr>
                <w:sz w:val="1"/>
                <w:szCs w:val="1"/>
                <w:color w:val="auto"/>
              </w:rPr>
            </w:pPr>
          </w:p>
        </w:tc>
        <w:tc>
          <w:tcPr>
            <w:tcW w:w="140" w:type="dxa"/>
            <w:vAlign w:val="bottom"/>
            <w:tcBorders>
              <w:top w:val="single" w:sz="8" w:color="CFF2FA"/>
            </w:tcBorders>
            <w:shd w:val="clear" w:color="auto" w:fill="CFF2FA"/>
          </w:tcPr>
          <w:p>
            <w:pPr>
              <w:spacing w:after="0" w:line="20" w:lineRule="exact"/>
              <w:rPr>
                <w:sz w:val="1"/>
                <w:szCs w:val="1"/>
                <w:color w:val="auto"/>
              </w:rPr>
            </w:pPr>
          </w:p>
        </w:tc>
        <w:tc>
          <w:tcPr>
            <w:tcW w:w="860" w:type="dxa"/>
            <w:vAlign w:val="bottom"/>
            <w:tcBorders>
              <w:top w:val="single" w:sz="8" w:color="CFF2FA"/>
            </w:tcBorders>
            <w:shd w:val="clear" w:color="auto" w:fill="CFF2FA"/>
          </w:tcPr>
          <w:p>
            <w:pPr>
              <w:spacing w:after="0" w:line="20" w:lineRule="exact"/>
              <w:rPr>
                <w:sz w:val="1"/>
                <w:szCs w:val="1"/>
                <w:color w:val="auto"/>
              </w:rPr>
            </w:pPr>
          </w:p>
        </w:tc>
        <w:tc>
          <w:tcPr>
            <w:tcW w:w="200" w:type="dxa"/>
            <w:vAlign w:val="bottom"/>
            <w:tcBorders>
              <w:top w:val="single" w:sz="8" w:color="CFF2FA"/>
            </w:tcBorders>
            <w:shd w:val="clear" w:color="auto" w:fill="CFF2FA"/>
          </w:tcPr>
          <w:p>
            <w:pPr>
              <w:spacing w:after="0" w:line="20" w:lineRule="exact"/>
              <w:rPr>
                <w:sz w:val="1"/>
                <w:szCs w:val="1"/>
                <w:color w:val="auto"/>
              </w:rPr>
            </w:pPr>
          </w:p>
        </w:tc>
        <w:tc>
          <w:tcPr>
            <w:tcW w:w="160" w:type="dxa"/>
            <w:vAlign w:val="bottom"/>
            <w:tcBorders>
              <w:top w:val="single" w:sz="8" w:color="CFF2FA"/>
            </w:tcBorders>
            <w:shd w:val="clear" w:color="auto" w:fill="CFF2FA"/>
          </w:tcPr>
          <w:p>
            <w:pPr>
              <w:spacing w:after="0" w:line="20" w:lineRule="exact"/>
              <w:rPr>
                <w:sz w:val="1"/>
                <w:szCs w:val="1"/>
                <w:color w:val="auto"/>
              </w:rPr>
            </w:pPr>
          </w:p>
        </w:tc>
        <w:tc>
          <w:tcPr>
            <w:tcW w:w="840" w:type="dxa"/>
            <w:vAlign w:val="bottom"/>
            <w:tcBorders>
              <w:top w:val="single" w:sz="8" w:color="CFF2FA"/>
            </w:tcBorders>
            <w:shd w:val="clear" w:color="auto" w:fill="CFF2FA"/>
          </w:tcPr>
          <w:p>
            <w:pPr>
              <w:spacing w:after="0" w:line="20" w:lineRule="exact"/>
              <w:rPr>
                <w:sz w:val="1"/>
                <w:szCs w:val="1"/>
                <w:color w:val="auto"/>
              </w:rPr>
            </w:pPr>
          </w:p>
        </w:tc>
        <w:tc>
          <w:tcPr>
            <w:tcW w:w="280" w:type="dxa"/>
            <w:vAlign w:val="bottom"/>
            <w:tcBorders>
              <w:top w:val="single" w:sz="8" w:color="CFF2FA"/>
            </w:tcBorders>
            <w:shd w:val="clear" w:color="auto" w:fill="CFF2FA"/>
          </w:tcPr>
          <w:p>
            <w:pPr>
              <w:spacing w:after="0" w:line="20" w:lineRule="exact"/>
              <w:rPr>
                <w:sz w:val="1"/>
                <w:szCs w:val="1"/>
                <w:color w:val="auto"/>
              </w:rPr>
            </w:pPr>
          </w:p>
        </w:tc>
        <w:tc>
          <w:tcPr>
            <w:tcW w:w="160" w:type="dxa"/>
            <w:vAlign w:val="bottom"/>
            <w:tcBorders>
              <w:top w:val="single" w:sz="8" w:color="CFF2FA"/>
            </w:tcBorders>
            <w:shd w:val="clear" w:color="auto" w:fill="CFF2FA"/>
          </w:tcPr>
          <w:p>
            <w:pPr>
              <w:spacing w:after="0" w:line="20" w:lineRule="exact"/>
              <w:rPr>
                <w:sz w:val="1"/>
                <w:szCs w:val="1"/>
                <w:color w:val="auto"/>
              </w:rPr>
            </w:pPr>
          </w:p>
        </w:tc>
        <w:tc>
          <w:tcPr>
            <w:tcW w:w="84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160" w:type="dxa"/>
            <w:vAlign w:val="bottom"/>
            <w:tcBorders>
              <w:top w:val="single" w:sz="8" w:color="CFF2FA"/>
            </w:tcBorders>
            <w:shd w:val="clear" w:color="auto" w:fill="CFF2FA"/>
          </w:tcPr>
          <w:p>
            <w:pPr>
              <w:spacing w:after="0" w:line="20" w:lineRule="exact"/>
              <w:rPr>
                <w:sz w:val="1"/>
                <w:szCs w:val="1"/>
                <w:color w:val="auto"/>
              </w:rPr>
            </w:pPr>
          </w:p>
        </w:tc>
        <w:tc>
          <w:tcPr>
            <w:tcW w:w="84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560" w:type="dxa"/>
            <w:vAlign w:val="bottom"/>
            <w:gridSpan w:val="4"/>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560" w:type="dxa"/>
            <w:vAlign w:val="bottom"/>
            <w:gridSpan w:val="4"/>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80" w:hanging="558"/>
        <w:spacing w:after="0" w:line="254"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For the six months ended June 29, 2017 and June 30,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w:t>
      </w:r>
    </w:p>
    <w:p>
      <w:pPr>
        <w:spacing w:after="0" w:line="2" w:lineRule="exact"/>
        <w:rPr>
          <w:rFonts w:ascii="Arial" w:cs="Arial" w:eastAsia="Arial" w:hAnsi="Arial"/>
          <w:sz w:val="18"/>
          <w:szCs w:val="18"/>
          <w:i w:val="1"/>
          <w:iCs w:val="1"/>
          <w:color w:val="auto"/>
        </w:rPr>
      </w:pPr>
    </w:p>
    <w:p>
      <w:pPr>
        <w:ind w:left="560" w:hanging="558"/>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60" w:right="360" w:hanging="558"/>
        <w:spacing w:after="0" w:line="250"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560" w:hanging="558"/>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60" w:hanging="558"/>
        <w:spacing w:after="0" w:line="281" w:lineRule="auto"/>
        <w:tabs>
          <w:tab w:leader="none" w:pos="560"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Pursuant to the Management Services Agreement between NCM, Inc. and NCM LLC, NCM, Inc. provides certain specific management services to NCM LLC, including the services of the Chief Executive Officer, President, Chief Financial Officer, Executive Vice President, General Counsel and Executive Vice President, People and Organization.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6"/>
          <w:szCs w:val="16"/>
          <w:i w:val="1"/>
          <w:iCs w:val="1"/>
          <w:color w:val="auto"/>
        </w:rPr>
      </w:pPr>
    </w:p>
    <w:p>
      <w:pPr>
        <w:ind w:left="560" w:right="20" w:hanging="558"/>
        <w:spacing w:after="0" w:line="253"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-2346960</wp:posOffset>
            </wp:positionV>
            <wp:extent cx="1715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00" w:top="121" w:right="2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960" w:type="dxa"/>
            <w:vAlign w:val="bottom"/>
          </w:tcPr>
          <w:p>
            <w:pPr>
              <w:jc w:val="center"/>
              <w:ind w:left="348"/>
              <w:spacing w:after="0" w:line="133" w:lineRule="exact"/>
              <w:rPr>
                <w:sz w:val="20"/>
                <w:szCs w:val="20"/>
                <w:color w:val="auto"/>
              </w:rPr>
            </w:pPr>
            <w:r>
              <w:rPr>
                <w:rFonts w:ascii="Arial" w:cs="Arial" w:eastAsia="Arial" w:hAnsi="Arial"/>
                <w:sz w:val="14"/>
                <w:szCs w:val="14"/>
                <w:b w:val="1"/>
                <w:bCs w:val="1"/>
                <w:color w:val="auto"/>
                <w:w w:val="89"/>
              </w:rPr>
              <w:t>June 29,</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FF2FA"/>
          </w:tcPr>
          <w:p>
            <w:pPr>
              <w:ind w:left="240"/>
              <w:spacing w:after="0"/>
              <w:rPr>
                <w:sz w:val="20"/>
                <w:szCs w:val="20"/>
                <w:color w:val="auto"/>
              </w:rPr>
            </w:pPr>
            <w:r>
              <w:rPr>
                <w:rFonts w:ascii="Arial" w:cs="Arial" w:eastAsia="Arial" w:hAnsi="Arial"/>
                <w:sz w:val="18"/>
                <w:szCs w:val="18"/>
                <w:color w:val="auto"/>
              </w:rPr>
              <w:t>Purchase of movie tickets and concession products</w:t>
            </w:r>
          </w:p>
        </w:tc>
        <w:tc>
          <w:tcPr>
            <w:tcW w:w="160" w:type="dxa"/>
            <w:vAlign w:val="bottom"/>
            <w:tcBorders>
              <w:top w:val="single" w:sz="8" w:color="CFF2FA"/>
            </w:tcBorders>
            <w:shd w:val="clear" w:color="auto" w:fill="CFF2FA"/>
          </w:tcPr>
          <w:p>
            <w:pPr>
              <w:spacing w:after="0"/>
              <w:rPr>
                <w:sz w:val="18"/>
                <w:szCs w:val="18"/>
                <w:color w:val="auto"/>
              </w:rPr>
            </w:pPr>
          </w:p>
        </w:tc>
        <w:tc>
          <w:tcPr>
            <w:tcW w:w="960" w:type="dxa"/>
            <w:vAlign w:val="bottom"/>
            <w:tcBorders>
              <w:top w:val="single" w:sz="8" w:color="auto"/>
            </w:tcBorders>
            <w:shd w:val="clear" w:color="auto" w:fill="CFF2FA"/>
          </w:tcPr>
          <w:p>
            <w:pPr>
              <w:spacing w:after="0"/>
              <w:rPr>
                <w:sz w:val="18"/>
                <w:szCs w:val="18"/>
                <w:color w:val="auto"/>
              </w:rPr>
            </w:pPr>
          </w:p>
        </w:tc>
        <w:tc>
          <w:tcPr>
            <w:tcW w:w="44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1280" w:type="dxa"/>
            <w:vAlign w:val="bottom"/>
            <w:tcBorders>
              <w:top w:val="single" w:sz="8" w:color="auto"/>
            </w:tcBorders>
            <w:shd w:val="clear" w:color="auto" w:fill="CFF2FA"/>
          </w:tcPr>
          <w:p>
            <w:pPr>
              <w:spacing w:after="0"/>
              <w:rPr>
                <w:sz w:val="18"/>
                <w:szCs w:val="18"/>
                <w:color w:val="auto"/>
              </w:rPr>
            </w:pPr>
          </w:p>
        </w:tc>
        <w:tc>
          <w:tcPr>
            <w:tcW w:w="100" w:type="dxa"/>
            <w:vAlign w:val="bottom"/>
            <w:tcBorders>
              <w:top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380"/>
              <w:spacing w:after="0"/>
              <w:rPr>
                <w:sz w:val="20"/>
                <w:szCs w:val="20"/>
                <w:color w:val="auto"/>
              </w:rPr>
            </w:pPr>
            <w:r>
              <w:rPr>
                <w:rFonts w:ascii="Arial" w:cs="Arial" w:eastAsia="Arial" w:hAnsi="Arial"/>
                <w:sz w:val="18"/>
                <w:szCs w:val="18"/>
                <w:color w:val="auto"/>
              </w:rPr>
              <w:t>(included in prepaid expenses)</w:t>
            </w:r>
          </w:p>
        </w:tc>
        <w:tc>
          <w:tcPr>
            <w:tcW w:w="960" w:type="dxa"/>
            <w:vAlign w:val="bottom"/>
            <w:shd w:val="clear" w:color="auto" w:fill="CFF2FA"/>
          </w:tcPr>
          <w:p>
            <w:pPr>
              <w:spacing w:after="0"/>
              <w:rPr>
                <w:sz w:val="20"/>
                <w:szCs w:val="20"/>
                <w:color w:val="auto"/>
              </w:rPr>
            </w:pPr>
          </w:p>
        </w:tc>
        <w:tc>
          <w:tcPr>
            <w:tcW w:w="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38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960" w:type="dxa"/>
            <w:vAlign w:val="bottom"/>
            <w:shd w:val="clear" w:color="auto" w:fill="CFF2FA"/>
          </w:tcPr>
          <w:p>
            <w:pPr>
              <w:spacing w:after="0"/>
              <w:rPr>
                <w:sz w:val="19"/>
                <w:szCs w:val="19"/>
                <w:color w:val="auto"/>
              </w:rPr>
            </w:pPr>
          </w:p>
        </w:tc>
        <w:tc>
          <w:tcPr>
            <w:tcW w:w="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960" w:type="dxa"/>
            <w:vAlign w:val="bottom"/>
            <w:shd w:val="clear" w:color="auto" w:fill="CFF2FA"/>
          </w:tcPr>
          <w:p>
            <w:pPr>
              <w:spacing w:after="0"/>
              <w:rPr>
                <w:sz w:val="19"/>
                <w:szCs w:val="19"/>
                <w:color w:val="auto"/>
              </w:rPr>
            </w:pPr>
          </w:p>
        </w:tc>
        <w:tc>
          <w:tcPr>
            <w:tcW w:w="4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Common unit adjustments, net of amortization and integration</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payments (included in intangible assets) </w:t>
            </w:r>
            <w:r>
              <w:rPr>
                <w:rFonts w:ascii="Arial" w:cs="Arial" w:eastAsia="Arial" w:hAnsi="Arial"/>
                <w:sz w:val="18"/>
                <w:szCs w:val="18"/>
                <w:i w:val="1"/>
                <w:iCs w:val="1"/>
                <w:color w:val="auto"/>
              </w:rPr>
              <w:t>(3)</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715.0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right="200" w:hanging="558"/>
        <w:spacing w:after="0" w:line="250" w:lineRule="auto"/>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-825500</wp:posOffset>
            </wp:positionV>
            <wp:extent cx="1363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3"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six months ended June 29, 2017 and June 30, 2016 were as follows (in millions):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29,</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29,</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1"/>
                <w:szCs w:val="11"/>
                <w:color w:val="auto"/>
              </w:rPr>
            </w:pPr>
          </w:p>
        </w:tc>
      </w:tr>
      <w:tr>
        <w:trPr>
          <w:trHeight w:val="171"/>
        </w:trPr>
        <w:tc>
          <w:tcPr>
            <w:tcW w:w="2880" w:type="dxa"/>
            <w:vAlign w:val="bottom"/>
          </w:tcPr>
          <w:p>
            <w:pPr>
              <w:spacing w:after="0"/>
              <w:rPr>
                <w:sz w:val="14"/>
                <w:szCs w:val="14"/>
                <w:color w:val="auto"/>
              </w:rPr>
            </w:pPr>
          </w:p>
        </w:tc>
        <w:tc>
          <w:tcPr>
            <w:tcW w:w="18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8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Cinemark</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8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8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23"/>
        </w:trPr>
        <w:tc>
          <w:tcPr>
            <w:tcW w:w="2880" w:type="dxa"/>
            <w:vAlign w:val="bottom"/>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14.9</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The mandatory distributions of available cash by the Company to its founding members for the three months ended June 29, 2017 of $15.2 million is included in amounts due to founding members on the unaudited Condensed Balance Sheets as of June 29, 2017 and will be made in the third quarter of 2017. The mandatory distributions of available cash by the Company to its managing member for the three months ended June 29, 2017 of $9.9 million is included in amounts due to managing member on the unaudited Condensed Balance Sheets as of June 29, 2017 and will be made in the third quarter of 2017.</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June 29, 2017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10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Integration payments due from founding members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29, 2016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Regal</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Integration payments due from founding members</w:t>
            </w: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w:t>
            </w: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298"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r>
      <w:tr>
        <w:trPr>
          <w:trHeight w:val="171"/>
        </w:trPr>
        <w:tc>
          <w:tcPr>
            <w:tcW w:w="80" w:type="dxa"/>
            <w:vAlign w:val="bottom"/>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FF0FC"/>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Cost and other reimbursement</w:t>
            </w:r>
          </w:p>
        </w:tc>
        <w:tc>
          <w:tcPr>
            <w:tcW w:w="8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(0.5)</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23"/>
        </w:trPr>
        <w:tc>
          <w:tcPr>
            <w:tcW w:w="80" w:type="dxa"/>
            <w:vAlign w:val="bottom"/>
          </w:tcPr>
          <w:p>
            <w:pPr>
              <w:spacing w:after="0"/>
              <w:rPr>
                <w:sz w:val="19"/>
                <w:szCs w:val="19"/>
                <w:color w:val="auto"/>
              </w:rPr>
            </w:pPr>
          </w:p>
        </w:tc>
        <w:tc>
          <w:tcPr>
            <w:tcW w:w="54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 xml:space="preserve">Total amounts due to managing member </w:t>
            </w:r>
            <w:r>
              <w:rPr>
                <w:rFonts w:ascii="Arial" w:cs="Arial" w:eastAsia="Arial" w:hAnsi="Arial"/>
                <w:sz w:val="18"/>
                <w:szCs w:val="18"/>
                <w:i w:val="1"/>
                <w:iCs w:val="1"/>
                <w:color w:val="auto"/>
              </w:rPr>
              <w:t>(1)</w:t>
            </w: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94" w:lineRule="exact"/>
        <w:rPr>
          <w:sz w:val="20"/>
          <w:szCs w:val="20"/>
          <w:color w:val="auto"/>
        </w:rPr>
      </w:pPr>
    </w:p>
    <w:p>
      <w:pPr>
        <w:ind w:left="2020" w:right="20" w:hanging="553"/>
        <w:spacing w:after="0" w:line="302" w:lineRule="auto"/>
        <w:tabs>
          <w:tab w:leader="none" w:pos="202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Subsequent to the issuance of the December 29, 2016 financial statements, an error was identified related to the recording of related party balances between the Company and NCM, Inc. As of June 29, 2017, the Company recorded a reduction of approximately $6.4 million to cost and other reimbursement receivables, resulting in an increase to its “Amounts due to managing member” balance and an equivalent reduction to its members’ capital balance related to the correction of out of period errors.</w:t>
      </w:r>
    </w:p>
    <w:p>
      <w:pPr>
        <w:spacing w:after="0" w:line="46"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 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NCM Inc.’s common stock on a one-for-one basis, or at NCM Inc.’s option, a cash payment equal to the market price of one share of NCM, Inc. common stock. During the fourth quarter of 2015, AMC exercised the redemption right of an aggregate 200,000 common membership units for a like number of shares of NCM, Inc.’s common stock. These shares remained outstanding as of June 29, 2017. During the six months ended June 29, 2017, AMC received cash dividends of approximately $0.1 million on these shares of NCM, Inc. common stock.</w:t>
      </w:r>
    </w:p>
    <w:p>
      <w:pPr>
        <w:spacing w:after="0" w:line="50"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b w:val="1"/>
          <w:bCs w:val="1"/>
          <w:i w:val="1"/>
          <w:iCs w:val="1"/>
          <w:color w:val="auto"/>
        </w:rPr>
        <w:t>Memorandum of Understanding with AMC</w:t>
      </w:r>
      <w:r>
        <w:rPr>
          <w:rFonts w:ascii="Arial" w:cs="Arial" w:eastAsia="Arial" w:hAnsi="Arial"/>
          <w:sz w:val="16"/>
          <w:szCs w:val="16"/>
          <w:color w:val="auto"/>
        </w:rPr>
        <w:t>— Pursuant to the Final Judgment, AMC is required to divest the majority of its equity interests in NCM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AMC also agreed to reimburse the Company for its incurred and ongoing costs and expenses in connection with the Final Judgment including, but not limited to, its financial advisor and legal fees up to $1.0 million of such costs and expenses. During the six months ended June 29, 2017, the Company incurred $1.2 million of these costs, of which $1.0 million was recorded as a reduction to “Amounts due to founding members” within the Condensed Balance Sheets and the remaining $0.2 million is included in administrative costs within the Condensed Income Statement.</w:t>
      </w:r>
    </w:p>
    <w:p>
      <w:pPr>
        <w:spacing w:after="0" w:line="65"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b w:val="1"/>
          <w:bCs w:val="1"/>
          <w:i w:val="1"/>
          <w:iCs w:val="1"/>
          <w:color w:val="auto"/>
        </w:rPr>
        <w:t>AC JV, LLC Transactions</w:t>
      </w:r>
      <w:r>
        <w:rPr>
          <w:rFonts w:ascii="Arial" w:cs="Arial" w:eastAsia="Arial" w:hAnsi="Arial"/>
          <w:sz w:val="18"/>
          <w:szCs w:val="18"/>
          <w:color w:val="auto"/>
        </w:rPr>
        <w:t>—In December 2013, the Company sold its Fathom Events business to a newly formed limited liability company, AC JV,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$1.0 million as of</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June 29, 2017 and December 29, 2016, respectively. Equity in earnings from AC JV, LLC for the three and six months ended June 29, 2017 and June 30, 2016, were $0.0 million, $0.0 million, $0.1 million and $0.0 million, respectively, and is included in non-operating expenses in the unaudited Condensed Statements of Income.</w:t>
      </w:r>
    </w:p>
    <w:p>
      <w:pPr>
        <w:spacing w:after="0" w:line="73"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—The Company has an agreement with LA Live, an affiliate of The Anschutz Corporation to provide in-theater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Anschutz Corporation is a wholly-owned subsidiary of the Anschutz Company, which is the controlling stockholder of Regal. During the three and six months ended June 29, 2017 and June 30, 2016, there was $0.1 million, $0.1 million, $0.1 million and $0.1 million, respectively, included in advertising operating costs related to LA Live, and there was approximately $0.1 million and $0.1 million of accounts payable with this company as of June 29, 2017 and December 29, 2016, respectively.</w:t>
      </w:r>
    </w:p>
    <w:p>
      <w:pPr>
        <w:spacing w:after="0" w:line="80"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—NCM LLC has an agreement with AEG Live, an affiliate of The Anschutz Corporation, for AEG Live to showcase musical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artists in NCM LLC’s pre-show. During the three and six months ended June 29, 2017 and June 30, 2016, NCM LLC recorded approximately $0.3 million, $0.4 million, $0.6 million and $0.8 million, respectively, in revenue from AEG Live. As of June 29, 2017 and December 29, 2016, the Company had approximately $0.2 million and $0.2 million, respectively, of accounts receivable from AEG Live.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June 29, 2017 and December 29, 2016 and the significant terms of its borrowing arrangements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Outstanding Balance as of</w:t>
            </w: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June 29,</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December 29,</w:t>
            </w:r>
          </w:p>
        </w:tc>
        <w:tc>
          <w:tcPr>
            <w:tcW w:w="2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2FA"/>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2FA"/>
            </w:tcBorders>
            <w:shd w:val="clear" w:color="auto" w:fill="CFF2FA"/>
          </w:tcPr>
          <w:p>
            <w:pPr>
              <w:spacing w:after="0"/>
              <w:rPr>
                <w:sz w:val="19"/>
                <w:szCs w:val="19"/>
                <w:color w:val="auto"/>
              </w:rPr>
            </w:pPr>
          </w:p>
        </w:tc>
        <w:tc>
          <w:tcPr>
            <w:tcW w:w="220" w:type="dxa"/>
            <w:vAlign w:val="bottom"/>
            <w:tcBorders>
              <w:top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top w:val="single" w:sz="8" w:color="CFF2FA"/>
            </w:tcBorders>
            <w:shd w:val="clear" w:color="auto" w:fill="CFF2FA"/>
          </w:tcPr>
          <w:p>
            <w:pPr>
              <w:spacing w:after="0"/>
              <w:rPr>
                <w:sz w:val="19"/>
                <w:szCs w:val="19"/>
                <w:color w:val="auto"/>
              </w:rPr>
            </w:pPr>
          </w:p>
        </w:tc>
        <w:tc>
          <w:tcPr>
            <w:tcW w:w="17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2FA"/>
            </w:tcBorders>
            <w:shd w:val="clear" w:color="auto" w:fill="CFF2FA"/>
          </w:tcPr>
          <w:p>
            <w:pPr>
              <w:spacing w:after="0"/>
              <w:rPr>
                <w:sz w:val="19"/>
                <w:szCs w:val="19"/>
                <w:color w:val="auto"/>
              </w:rPr>
            </w:pPr>
          </w:p>
        </w:tc>
        <w:tc>
          <w:tcPr>
            <w:tcW w:w="8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November 26, 2019</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secured notes due 2022</w:t>
            </w:r>
          </w:p>
        </w:tc>
        <w:tc>
          <w:tcPr>
            <w:tcW w:w="14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2FA"/>
          </w:tcPr>
          <w:p>
            <w:pPr>
              <w:spacing w:after="0"/>
              <w:rPr>
                <w:sz w:val="19"/>
                <w:szCs w:val="19"/>
                <w:color w:val="auto"/>
              </w:rPr>
            </w:pPr>
          </w:p>
        </w:tc>
        <w:tc>
          <w:tcPr>
            <w:tcW w:w="1900" w:type="dxa"/>
            <w:vAlign w:val="bottom"/>
            <w:gridSpan w:val="2"/>
            <w:shd w:val="clear" w:color="auto" w:fill="CFF2FA"/>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860" w:type="dxa"/>
            <w:vAlign w:val="bottom"/>
            <w:shd w:val="clear" w:color="auto" w:fill="CFF2FA"/>
          </w:tcPr>
          <w:p>
            <w:pPr>
              <w:jc w:val="right"/>
              <w:ind w:right="36"/>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Senior unsecured notes due 2026</w:t>
            </w:r>
          </w:p>
        </w:tc>
        <w:tc>
          <w:tcPr>
            <w:tcW w:w="140" w:type="dxa"/>
            <w:vAlign w:val="bottom"/>
            <w:tcBorders>
              <w:bottom w:val="single" w:sz="8" w:color="CFF2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CFF2FA"/>
            </w:tcBorders>
          </w:tcPr>
          <w:p>
            <w:pPr>
              <w:spacing w:after="0"/>
              <w:rPr>
                <w:sz w:val="19"/>
                <w:szCs w:val="19"/>
                <w:color w:val="auto"/>
              </w:rPr>
            </w:pPr>
          </w:p>
        </w:tc>
        <w:tc>
          <w:tcPr>
            <w:tcW w:w="1900" w:type="dxa"/>
            <w:vAlign w:val="bottom"/>
            <w:tcBorders>
              <w:bottom w:val="single" w:sz="8" w:color="CFF2FA"/>
            </w:tcBorders>
            <w:gridSpan w:val="2"/>
          </w:tcPr>
          <w:p>
            <w:pPr>
              <w:jc w:val="center"/>
              <w:ind w:right="180"/>
              <w:spacing w:after="0"/>
              <w:rPr>
                <w:sz w:val="20"/>
                <w:szCs w:val="20"/>
                <w:color w:val="auto"/>
              </w:rPr>
            </w:pPr>
            <w:r>
              <w:rPr>
                <w:rFonts w:ascii="Arial" w:cs="Arial" w:eastAsia="Arial" w:hAnsi="Arial"/>
                <w:sz w:val="18"/>
                <w:szCs w:val="18"/>
                <w:color w:val="auto"/>
                <w:w w:val="91"/>
              </w:rPr>
              <w:t>August 15, 2026</w:t>
            </w:r>
          </w:p>
        </w:tc>
        <w:tc>
          <w:tcPr>
            <w:tcW w:w="860" w:type="dxa"/>
            <w:vAlign w:val="bottom"/>
            <w:tcBorders>
              <w:bottom w:val="single" w:sz="8" w:color="CFF2FA"/>
            </w:tcBorders>
          </w:tcPr>
          <w:p>
            <w:pPr>
              <w:jc w:val="right"/>
              <w:ind w:right="36"/>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shd w:val="clear" w:color="auto" w:fill="CFF2FA"/>
          </w:tcPr>
          <w:p>
            <w:pPr>
              <w:spacing w:after="0"/>
              <w:rPr>
                <w:sz w:val="19"/>
                <w:szCs w:val="19"/>
                <w:color w:val="auto"/>
              </w:rPr>
            </w:pPr>
          </w:p>
        </w:tc>
        <w:tc>
          <w:tcPr>
            <w:tcW w:w="220" w:type="dxa"/>
            <w:vAlign w:val="bottom"/>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935.0</w:t>
            </w:r>
          </w:p>
        </w:tc>
        <w:tc>
          <w:tcPr>
            <w:tcW w:w="240" w:type="dxa"/>
            <w:vAlign w:val="bottom"/>
            <w:shd w:val="clear" w:color="auto" w:fill="CFF2FA"/>
          </w:tcPr>
          <w:p>
            <w:pPr>
              <w:spacing w:after="0"/>
              <w:rPr>
                <w:sz w:val="19"/>
                <w:szCs w:val="19"/>
                <w:color w:val="auto"/>
              </w:rPr>
            </w:pPr>
          </w:p>
        </w:tc>
        <w:tc>
          <w:tcPr>
            <w:tcW w:w="17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20"/>
              <w:spacing w:after="0"/>
              <w:rPr>
                <w:sz w:val="20"/>
                <w:szCs w:val="20"/>
                <w:color w:val="auto"/>
              </w:rPr>
            </w:pPr>
            <w:r>
              <w:rPr>
                <w:rFonts w:ascii="Arial" w:cs="Arial" w:eastAsia="Arial" w:hAnsi="Arial"/>
                <w:sz w:val="18"/>
                <w:szCs w:val="18"/>
                <w:color w:val="auto"/>
              </w:rPr>
              <w:t>Less: debt issuance costs related to term</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loans and senior notes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220" w:type="dxa"/>
            <w:vAlign w:val="bottom"/>
            <w:tcBorders>
              <w:top w:val="single" w:sz="8" w:color="auto"/>
              <w:bottom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920.3</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924.3</w:t>
            </w:r>
          </w:p>
        </w:tc>
        <w:tc>
          <w:tcPr>
            <w:tcW w:w="240" w:type="dxa"/>
            <w:vAlign w:val="bottom"/>
            <w:tcBorders>
              <w:top w:val="single" w:sz="8" w:color="CFF2FA"/>
              <w:bottom w:val="single" w:sz="8" w:color="CFF2FA"/>
            </w:tcBorders>
            <w:shd w:val="clear" w:color="auto" w:fill="CFF2FA"/>
          </w:tcPr>
          <w:p>
            <w:pPr>
              <w:spacing w:after="0"/>
              <w:rPr>
                <w:sz w:val="19"/>
                <w:szCs w:val="19"/>
                <w:color w:val="auto"/>
              </w:rPr>
            </w:pPr>
          </w:p>
        </w:tc>
        <w:tc>
          <w:tcPr>
            <w:tcW w:w="17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6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9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June 29, 2017, the Company’s senior secured credit facility consisted of a $175.0 million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a $270.0 million term loan. On May 26, 2016, the Company entered into an incremental amendment of its senior secured credit facility whereby the revolving credit facility was increased by $40.0 million from $135.0 million to $175.0 million.</w:t>
      </w:r>
    </w:p>
    <w:p>
      <w:pPr>
        <w:spacing w:after="0" w:line="73"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7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As of June 29, 2017, the Company’s total availability under the $175.0 million revolving credit facility was $160.2 million, net of $4.8 million in letters of credit.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weighted-average interest rate on the outstanding balance on the revolving credit facility as of June 29, 2017 was 4.2%.</w:t>
      </w:r>
    </w:p>
    <w:p>
      <w:pPr>
        <w:spacing w:after="0" w:line="8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June 29, 2017 was 3.8%. Interest on the term loans is currently paid monthly.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June 29, 2017,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June 29, 2017, the Company’s consolidated net senior secured leverage ratio was 3.3 times (versus the covenant of 6.5 times).</w:t>
      </w:r>
    </w:p>
    <w:p>
      <w:pPr>
        <w:spacing w:after="0" w:line="8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color w:val="auto"/>
        </w:rPr>
        <w:t>—On April 27, 2012, the Company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are senior secured obligations of the Company, rank the same as the Company’s senior secured credit facility, subject to certain exceptions, and share in the same collateral that secures the Company’s obligations under the senior secured credit facility. The Notes due 2022 contain certain non-maintenance covenants with which the Company was in compliance as of June 29, 2017.</w:t>
      </w:r>
    </w:p>
    <w:p>
      <w:pPr>
        <w:spacing w:after="0" w:line="85"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the Company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The Notes due 2026 pay interest semi-annually in arrears on February 15 and August 15 of each year, which commenced on February 15, 2017. The Notes due 2026 were issued at 100% of the face amount thereof and are the senior unsecured obligations of the Company and will be effectively subordinated to all existing and future secured debt, including the Notes due 2022, its senior secured credit facility and any future asset backed loan facility. The Notes due 2026 will rank equally in right of payment with all of the Company’s existing and future senior indebtedness, including the Notes due 2022, the Company’s existing senior secured credit facility, any future asset backed loan facility, in each case, without giving effect to collateral arrangements. The Notes due 2026 will be effectively subordinated to all liabilities of any subsidiaries that the Company may form or acquire in the future, unless those subsidiaries become guarantors of the Notes due 2026. The Company does not currently have any subsidiaries, and the Notes due 2026 will not be guaranteed by any subsidiaries that the Company may form or acquire in the future except in very limited circumstances. The Notes due 2026 contain certain non-maintenance covenants with which the Company was in compliance as of June 29, 2017.</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one to twenty years, prior to any renewal periods of which some are at the option of the Company. As of June 29, 2017, the maximum potential amount of future payments the Company could be required to make pursuant to the minimum revenue guarantees is $62.4 million over the remaining terms of the network affiliate agreements, which calculation does not include any potential future extensions. As of June 29, 2017 and December 29, 2016, the Company had no liabilities recorded for these obligations, as such guarantees are less than the expected share of revenue paid to the network affiliate.</w:t>
      </w:r>
    </w:p>
    <w:p>
      <w:pPr>
        <w:spacing w:after="0" w:line="74"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increase occurring for fiscal year 2017,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June 29, 2017 and December 29, 2016, the Company had no liabilities recorded for the minimum payment, as the theater access fee was in excess of the minimum.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29,</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29,</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180" w:hanging="551"/>
        <w:spacing w:after="0"/>
        <w:tabs>
          <w:tab w:leader="none" w:pos="218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2180" w:hanging="551"/>
        <w:spacing w:after="0"/>
        <w:tabs>
          <w:tab w:leader="none" w:pos="218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w:t>
      </w:r>
    </w:p>
    <w:p>
      <w:pPr>
        <w:spacing w:after="0" w:line="9" w:lineRule="exact"/>
        <w:rPr>
          <w:rFonts w:ascii="Arial" w:cs="Arial" w:eastAsia="Arial" w:hAnsi="Arial"/>
          <w:sz w:val="18"/>
          <w:szCs w:val="18"/>
          <w:i w:val="1"/>
          <w:iCs w:val="1"/>
          <w:color w:val="auto"/>
        </w:rPr>
      </w:pPr>
    </w:p>
    <w:p>
      <w:pPr>
        <w:ind w:left="2180" w:right="240"/>
        <w:spacing w:after="0" w:line="290" w:lineRule="auto"/>
        <w:rPr>
          <w:rFonts w:ascii="Arial" w:cs="Arial" w:eastAsia="Arial" w:hAnsi="Arial"/>
          <w:sz w:val="18"/>
          <w:szCs w:val="18"/>
          <w:i w:val="1"/>
          <w:iCs w:val="1"/>
          <w:color w:val="auto"/>
        </w:rPr>
      </w:pPr>
      <w:r>
        <w:rPr>
          <w:rFonts w:ascii="Arial" w:cs="Arial" w:eastAsia="Arial" w:hAnsi="Arial"/>
          <w:sz w:val="17"/>
          <w:szCs w:val="17"/>
          <w:color w:val="auto"/>
        </w:rPr>
        <w:t>contracts. The equity securities were accounted for under the cost method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-582295</wp:posOffset>
            </wp:positionV>
            <wp:extent cx="977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3"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During the three and six months ended June 29, 2017 and June 30, 2016, the Company recorded other-than-temporary impairment charges of $1.7 million, $0.7 million, $3.1 million and $0.7 million, respectively, on certain of its investments due to a significant deterioration in the business prospects of the investee or new information regarding the fair value of the investee in the second quarter of 2017. These impairment charges brought the investments to a remaining fair value of $0.1 million. The fair value of the other investments has not been estimated as of June 29, 2017 and December 29, 2016 as there were no identified events or changes in the circumstances that had a significant adverse effect on the fair value of those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70"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As of June 29, 2017 and December 29, 2016, the Company had notes receivable totaling $12.5 million and $13.9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6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As of June 29,</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29,</w:t>
            </w: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0"/>
              <w:spacing w:after="0" w:line="13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6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c>
          <w:tcPr>
            <w:tcW w:w="100" w:type="dxa"/>
            <w:vAlign w:val="bottom"/>
          </w:tcPr>
          <w:p>
            <w:pPr>
              <w:spacing w:after="0"/>
              <w:rPr>
                <w:sz w:val="14"/>
                <w:szCs w:val="14"/>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i w:val="1"/>
                <w:iCs w:val="1"/>
                <w:color w:val="auto"/>
                <w:w w:val="95"/>
              </w:rPr>
              <w:t>(1)</w:t>
            </w: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Notes due 2022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9"/>
                <w:szCs w:val="19"/>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2260" w:right="220" w:hanging="550"/>
        <w:spacing w:after="0" w:line="264" w:lineRule="auto"/>
        <w:tabs>
          <w:tab w:leader="none" w:pos="2260" w:val="left"/>
        </w:tabs>
        <w:numPr>
          <w:ilvl w:val="1"/>
          <w:numId w:val="7"/>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63" w:lineRule="exact"/>
        <w:rPr>
          <w:rFonts w:ascii="Arial" w:cs="Arial" w:eastAsia="Arial" w:hAnsi="Arial"/>
          <w:sz w:val="18"/>
          <w:szCs w:val="18"/>
          <w:i w:val="1"/>
          <w:iCs w:val="1"/>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-668020</wp:posOffset>
            </wp:positionV>
            <wp:extent cx="6261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0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On July 14, 2017, the Company acquired </w:t>
      </w:r>
      <w:r>
        <w:rPr>
          <w:rFonts w:ascii="Arial" w:cs="Arial" w:eastAsia="Arial" w:hAnsi="Arial"/>
          <w:sz w:val="18"/>
          <w:szCs w:val="18"/>
          <w:i w:val="1"/>
          <w:iCs w:val="1"/>
          <w:color w:val="auto"/>
        </w:rPr>
        <w:t>Fantasy Movie League</w:t>
      </w:r>
      <w:r>
        <w:rPr>
          <w:rFonts w:ascii="Arial" w:cs="Arial" w:eastAsia="Arial" w:hAnsi="Arial"/>
          <w:sz w:val="18"/>
          <w:szCs w:val="18"/>
          <w:color w:val="auto"/>
        </w:rPr>
        <w:t>, the maker of an online and mobile game that allows moviegoers to predict the movie box office for $0.2 million in cash. The game will be featured in the Company’s new pre-show and mobile app as part of the Company’s digital strategy to reach and engage movie audiences with content, commerce and gaming beyond the movie theater screen. The preliminary purchase price allocation is in process.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in our annual report on Form 10-K for the Company’s fiscal year ended December 29, 2016.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29,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Cinema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Accelerator </w:t>
      </w:r>
      <w:r>
        <w:rPr>
          <w:rFonts w:ascii="Arial" w:cs="Arial" w:eastAsia="Arial" w:hAnsi="Arial"/>
          <w:sz w:val="16"/>
          <w:szCs w:val="16"/>
          <w:color w:val="auto"/>
        </w:rPr>
        <w:t>digital product to reach entertainment audiences beyond the theater. We have long-term ESAs (approximately 20 years remaining as of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2017) with the founding members and multi-year agreements with our network affiliates, which expire at various dates between September 30, 2017 and July 22, 2031. The weighted average remaining term (based on attendance) of the ESAs and the network affiliate agreements is 17.4 years as of June 29, 2017. The ESAs and network affiliate agreements grant us exclusive rights in their theaters to sell advertising, subject to limited exceptions. Our pre-show and LEN programming are distributed predominantly via satellite through our proprietary DCN. Approximately 97% of the aggregate founding member and network affiliate theater attendance is generated by theaters connected to our DCN (the remaining screens receive advertisements on USB drives) and 100% of the pre-show is projected on digital projectors (91% digital cinema projectors and 9% LCD projectors) as of June 29, 2017.</w:t>
      </w:r>
    </w:p>
    <w:p>
      <w:pPr>
        <w:spacing w:after="0" w:line="65"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to discuss and analyze operating results and address significant variances to budget and prior year in an effort to identify trends and changes in our business. We focus on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local and regional and total advertising revenue per attendee. We also monitor free cash flow, the dividend coverage ratio, financial leverage ratio (net debt divided by Adjusted OIBDA), cash balances and revolving credit facility availability to ensure debt covenant compliance and that there is adequate cash availability to fund our working capital needs and debt obligations and current and future distributions to members.</w:t>
      </w:r>
    </w:p>
    <w:p>
      <w:pPr>
        <w:spacing w:after="0" w:line="70" w:lineRule="exact"/>
        <w:rPr>
          <w:sz w:val="20"/>
          <w:szCs w:val="20"/>
          <w:color w:val="auto"/>
        </w:rPr>
      </w:pPr>
    </w:p>
    <w:p>
      <w:pPr>
        <w:ind w:right="620" w:firstLine="555"/>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in our Form 10-K filed with the SEC on February 28, 2017 for the Company’s fiscal year ended December 29, 2016.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OIBDA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Q2 2017</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Q2 2016</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YTD 2017</w:t>
            </w:r>
          </w:p>
        </w:tc>
        <w:tc>
          <w:tcPr>
            <w:tcW w:w="2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8"/>
              </w:rPr>
              <w:t>YTD 2016</w:t>
            </w:r>
          </w:p>
        </w:tc>
        <w:tc>
          <w:tcPr>
            <w:tcW w:w="280" w:type="dxa"/>
            <w:vAlign w:val="bottom"/>
            <w:vMerge w:val="restart"/>
          </w:tcPr>
          <w:p>
            <w:pPr>
              <w:spacing w:after="0"/>
              <w:rPr>
                <w:sz w:val="11"/>
                <w:szCs w:val="11"/>
                <w:color w:val="auto"/>
              </w:rPr>
            </w:pPr>
          </w:p>
        </w:tc>
        <w:tc>
          <w:tcPr>
            <w:tcW w:w="8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2017 to</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Borders>
              <w:bottom w:val="single" w:sz="8" w:color="CFF2FA"/>
            </w:tcBorders>
          </w:tcPr>
          <w:p>
            <w:pPr>
              <w:spacing w:after="0"/>
              <w:rPr>
                <w:sz w:val="14"/>
                <w:szCs w:val="14"/>
                <w:color w:val="auto"/>
              </w:rPr>
            </w:pPr>
          </w:p>
        </w:tc>
        <w:tc>
          <w:tcPr>
            <w:tcW w:w="3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vMerge w:val="continue"/>
          </w:tcPr>
          <w:p>
            <w:pPr>
              <w:spacing w:after="0"/>
              <w:rPr>
                <w:sz w:val="14"/>
                <w:szCs w:val="14"/>
                <w:color w:val="auto"/>
              </w:rPr>
            </w:pPr>
          </w:p>
        </w:tc>
        <w:tc>
          <w:tcPr>
            <w:tcW w:w="6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vMerge w:val="continue"/>
          </w:tcPr>
          <w:p>
            <w:pPr>
              <w:spacing w:after="0"/>
              <w:rPr>
                <w:sz w:val="14"/>
                <w:szCs w:val="14"/>
                <w:color w:val="auto"/>
              </w:rPr>
            </w:pPr>
          </w:p>
        </w:tc>
        <w:tc>
          <w:tcPr>
            <w:tcW w:w="60" w:type="dxa"/>
            <w:vAlign w:val="bottom"/>
            <w:tcBorders>
              <w:bottom w:val="single" w:sz="8" w:color="CFF2FA"/>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2FA"/>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2FA"/>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2016</w:t>
            </w:r>
          </w:p>
        </w:tc>
        <w:tc>
          <w:tcPr>
            <w:tcW w:w="340" w:type="dxa"/>
            <w:vAlign w:val="bottom"/>
            <w:tcBorders>
              <w:bottom w:val="single" w:sz="8" w:color="CFF2FA"/>
            </w:tcBorders>
            <w:gridSpan w:val="2"/>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2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2FA"/>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2FA"/>
          </w:tcPr>
          <w:p>
            <w:pPr>
              <w:spacing w:after="0"/>
              <w:rPr>
                <w:sz w:val="19"/>
                <w:szCs w:val="19"/>
                <w:color w:val="auto"/>
              </w:rPr>
            </w:pPr>
          </w:p>
        </w:tc>
        <w:tc>
          <w:tcPr>
            <w:tcW w:w="1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169.0</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w:t>
            </w:r>
          </w:p>
        </w:tc>
        <w:tc>
          <w:tcPr>
            <w:tcW w:w="3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86.6</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2FA"/>
            </w:tcBorders>
          </w:tcPr>
          <w:p>
            <w:pPr>
              <w:ind w:left="240"/>
              <w:spacing w:after="0"/>
              <w:rPr>
                <w:sz w:val="20"/>
                <w:szCs w:val="20"/>
                <w:color w:val="auto"/>
              </w:rPr>
            </w:pPr>
            <w:r>
              <w:rPr>
                <w:rFonts w:ascii="Arial" w:cs="Arial" w:eastAsia="Arial" w:hAnsi="Arial"/>
                <w:sz w:val="18"/>
                <w:szCs w:val="18"/>
                <w:color w:val="auto"/>
                <w:w w:val="98"/>
              </w:rPr>
              <w:t>Network, administrative and unallocated costs</w:t>
            </w:r>
          </w:p>
        </w:tc>
        <w:tc>
          <w:tcPr>
            <w:tcW w:w="32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FF2FA"/>
            </w:tcBorders>
          </w:tcPr>
          <w:p>
            <w:pPr>
              <w:spacing w:after="0"/>
              <w:rPr>
                <w:sz w:val="19"/>
                <w:szCs w:val="19"/>
                <w:color w:val="auto"/>
              </w:rPr>
            </w:pPr>
          </w:p>
        </w:tc>
        <w:tc>
          <w:tcPr>
            <w:tcW w:w="6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FF2FA"/>
            </w:tcBorders>
          </w:tcPr>
          <w:p>
            <w:pPr>
              <w:spacing w:after="0"/>
              <w:rPr>
                <w:sz w:val="19"/>
                <w:szCs w:val="19"/>
                <w:color w:val="auto"/>
              </w:rPr>
            </w:pPr>
          </w:p>
        </w:tc>
        <w:tc>
          <w:tcPr>
            <w:tcW w:w="6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gridSpan w:val="2"/>
          </w:tcPr>
          <w:p>
            <w:pPr>
              <w:jc w:val="right"/>
              <w:ind w:right="8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2FA"/>
            </w:tcBorders>
          </w:tcPr>
          <w:p>
            <w:pPr>
              <w:spacing w:after="0"/>
              <w:rPr>
                <w:sz w:val="19"/>
                <w:szCs w:val="19"/>
                <w:color w:val="auto"/>
              </w:rPr>
            </w:pPr>
          </w:p>
        </w:tc>
        <w:tc>
          <w:tcPr>
            <w:tcW w:w="1140" w:type="dxa"/>
            <w:vAlign w:val="bottom"/>
            <w:tcBorders>
              <w:bottom w:val="single" w:sz="8" w:color="CFF2FA"/>
            </w:tcBorders>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2FA"/>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FF2FA"/>
          </w:tcPr>
          <w:p>
            <w:pPr>
              <w:spacing w:after="0"/>
              <w:rPr>
                <w:sz w:val="19"/>
                <w:szCs w:val="19"/>
                <w:color w:val="auto"/>
              </w:rPr>
            </w:pPr>
          </w:p>
        </w:tc>
        <w:tc>
          <w:tcPr>
            <w:tcW w:w="160" w:type="dxa"/>
            <w:vAlign w:val="bottom"/>
            <w:tcBorders>
              <w:bottom w:val="single" w:sz="8" w:color="auto"/>
            </w:tcBorders>
            <w:shd w:val="clear" w:color="auto" w:fill="CFF2FA"/>
          </w:tcPr>
          <w:p>
            <w:pPr>
              <w:spacing w:after="0"/>
              <w:rPr>
                <w:sz w:val="19"/>
                <w:szCs w:val="19"/>
                <w:color w:val="auto"/>
              </w:rPr>
            </w:pPr>
          </w:p>
        </w:tc>
        <w:tc>
          <w:tcPr>
            <w:tcW w:w="8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7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spacing w:after="0"/>
              <w:rPr>
                <w:sz w:val="19"/>
                <w:szCs w:val="19"/>
                <w:color w:val="auto"/>
              </w:rPr>
            </w:pPr>
          </w:p>
        </w:tc>
        <w:tc>
          <w:tcPr>
            <w:tcW w:w="8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135.6</w:t>
            </w:r>
          </w:p>
        </w:tc>
        <w:tc>
          <w:tcPr>
            <w:tcW w:w="2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2FA"/>
          </w:tcPr>
          <w:p>
            <w:pPr>
              <w:spacing w:after="0"/>
              <w:rPr>
                <w:sz w:val="20"/>
                <w:szCs w:val="20"/>
                <w:color w:val="auto"/>
              </w:rPr>
            </w:pPr>
            <w:r>
              <w:rPr>
                <w:rFonts w:ascii="Arial" w:cs="Arial" w:eastAsia="Arial" w:hAnsi="Arial"/>
                <w:sz w:val="18"/>
                <w:szCs w:val="18"/>
                <w:color w:val="auto"/>
              </w:rPr>
              <w:t>Non-operating expenses</w:t>
            </w:r>
          </w:p>
        </w:tc>
        <w:tc>
          <w:tcPr>
            <w:tcW w:w="3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CFF2FA"/>
              <w:bottom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6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top w:val="single" w:sz="8" w:color="CFF2FA"/>
              <w:bottom w:val="single" w:sz="8" w:color="CFF2FA"/>
            </w:tcBorders>
            <w:shd w:val="clear" w:color="auto" w:fill="CFF2FA"/>
          </w:tcPr>
          <w:p>
            <w:pPr>
              <w:spacing w:after="0"/>
              <w:rPr>
                <w:sz w:val="19"/>
                <w:szCs w:val="19"/>
                <w:color w:val="auto"/>
              </w:rPr>
            </w:pPr>
          </w:p>
        </w:tc>
        <w:tc>
          <w:tcPr>
            <w:tcW w:w="1080" w:type="dxa"/>
            <w:vAlign w:val="bottom"/>
            <w:tcBorders>
              <w:top w:val="single" w:sz="8" w:color="CFF2FA"/>
              <w:bottom w:val="single" w:sz="8" w:color="CFF2FA"/>
            </w:tcBorders>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1140" w:type="dxa"/>
            <w:vAlign w:val="bottom"/>
            <w:tcBorders>
              <w:top w:val="single" w:sz="8" w:color="CFF2FA"/>
              <w:bottom w:val="single" w:sz="8" w:color="CFF2FA"/>
            </w:tcBorders>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FF2FA"/>
          </w:tcPr>
          <w:p>
            <w:pPr>
              <w:spacing w:after="0"/>
              <w:rPr>
                <w:sz w:val="20"/>
                <w:szCs w:val="20"/>
                <w:color w:val="auto"/>
              </w:rPr>
            </w:pPr>
            <w:r>
              <w:rPr>
                <w:rFonts w:ascii="Arial" w:cs="Arial" w:eastAsia="Arial" w:hAnsi="Arial"/>
                <w:sz w:val="18"/>
                <w:szCs w:val="18"/>
                <w:color w:val="auto"/>
              </w:rPr>
              <w:t>OIBDA</w:t>
            </w:r>
          </w:p>
        </w:tc>
        <w:tc>
          <w:tcPr>
            <w:tcW w:w="4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FF2FA"/>
          </w:tcPr>
          <w:p>
            <w:pPr>
              <w:spacing w:after="0"/>
              <w:rPr>
                <w:sz w:val="19"/>
                <w:szCs w:val="19"/>
                <w:color w:val="auto"/>
              </w:rPr>
            </w:pPr>
          </w:p>
        </w:tc>
        <w:tc>
          <w:tcPr>
            <w:tcW w:w="1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2FA"/>
          </w:tcPr>
          <w:p>
            <w:pPr>
              <w:spacing w:after="0"/>
              <w:rPr>
                <w:sz w:val="19"/>
                <w:szCs w:val="19"/>
                <w:color w:val="auto"/>
              </w:rPr>
            </w:pP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69.9</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Adjusted OIBDA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2FA"/>
          </w:tcPr>
          <w:p>
            <w:pPr>
              <w:spacing w:after="0"/>
              <w:rPr>
                <w:sz w:val="20"/>
                <w:szCs w:val="20"/>
                <w:color w:val="auto"/>
              </w:rPr>
            </w:pPr>
            <w:r>
              <w:rPr>
                <w:rFonts w:ascii="Arial" w:cs="Arial" w:eastAsia="Arial" w:hAnsi="Arial"/>
                <w:sz w:val="18"/>
                <w:szCs w:val="18"/>
                <w:color w:val="auto"/>
              </w:rPr>
              <w:t>Adjusted OIBDA margin</w:t>
            </w:r>
          </w:p>
        </w:tc>
        <w:tc>
          <w:tcPr>
            <w:tcW w:w="3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94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43.5%</w:t>
            </w: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344.5</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 w:lineRule="exact"/>
        <w:rPr>
          <w:sz w:val="20"/>
          <w:szCs w:val="20"/>
          <w:color w:val="auto"/>
        </w:rPr>
      </w:pPr>
    </w:p>
    <w:p>
      <w:pPr>
        <w:ind w:left="560" w:right="140" w:hanging="552"/>
        <w:spacing w:after="0" w:line="290" w:lineRule="auto"/>
        <w:tabs>
          <w:tab w:leader="none" w:pos="56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380" w:firstLine="555"/>
        <w:spacing w:after="0" w:line="288"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Chief Executive Officer transition costs and early lease termination</w:t>
      </w:r>
    </w:p>
    <w:p>
      <w:pPr>
        <w:spacing w:after="0" w:line="267" w:lineRule="auto"/>
        <w:rPr>
          <w:sz w:val="20"/>
          <w:szCs w:val="20"/>
          <w:color w:val="auto"/>
        </w:rPr>
      </w:pPr>
      <w:r>
        <w:rPr>
          <w:rFonts w:ascii="Arial" w:cs="Arial" w:eastAsia="Arial" w:hAnsi="Arial"/>
          <w:sz w:val="17"/>
          <w:szCs w:val="17"/>
          <w:color w:val="auto"/>
        </w:rPr>
        <w:t>expense.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CEO turnover, early 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resignation of the Company’s former Chief Executive Officer or early lease termination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Q2 2017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Q2 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YTD 2017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YTD 2016</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28.3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1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1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Early lease termination expense </w:t>
            </w:r>
            <w:r>
              <w:rPr>
                <w:rFonts w:ascii="Arial" w:cs="Arial" w:eastAsia="Arial" w:hAnsi="Arial"/>
                <w:sz w:val="18"/>
                <w:szCs w:val="18"/>
                <w:i w:val="1"/>
                <w:iCs w:val="1"/>
                <w:color w:val="auto"/>
              </w:rPr>
              <w:t>(3)</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OIBDA</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Borders>
              <w:top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97.1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Adjusted OIBDA margin</w:t>
            </w:r>
          </w:p>
        </w:tc>
        <w:tc>
          <w:tcPr>
            <w:tcW w:w="1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43.6%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120" w:right="280" w:hanging="558"/>
        <w:spacing w:after="0" w:line="285" w:lineRule="auto"/>
        <w:tabs>
          <w:tab w:leader="none" w:pos="112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Share-based compensation costs are included in network operations, selling and marketing, administrative expense and administrative fee – managing member (includes $2.3 million of expense associated with modifying the former CEO’s equity awards in the first six months of 2016) in the accompanying unaudited Condensed Financial Statements. These costs represent both non-cash charges and cash charges paid through the administrative fee with the managing member. The amount of share-based compensation costs that were non-cash were $1.8 million, $2.5 million, $3.8 million and $5.4 million for the three and six months ended June 29, 2017 and June 30, 2016, respectively.</w:t>
      </w:r>
    </w:p>
    <w:p>
      <w:pPr>
        <w:spacing w:after="0" w:line="2" w:lineRule="exact"/>
        <w:rPr>
          <w:rFonts w:ascii="Arial" w:cs="Arial" w:eastAsia="Arial" w:hAnsi="Arial"/>
          <w:sz w:val="16"/>
          <w:szCs w:val="16"/>
          <w:i w:val="1"/>
          <w:iCs w:val="1"/>
          <w:color w:val="auto"/>
        </w:rPr>
      </w:pPr>
    </w:p>
    <w:p>
      <w:pPr>
        <w:ind w:left="1120" w:right="440" w:hanging="558"/>
        <w:spacing w:after="0" w:line="250" w:lineRule="auto"/>
        <w:tabs>
          <w:tab w:leader="none" w:pos="11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 – managing member in the accompanying unaudited Condensed Financial Statements.</w:t>
      </w:r>
    </w:p>
    <w:p>
      <w:pPr>
        <w:ind w:left="1120" w:right="160" w:hanging="558"/>
        <w:spacing w:after="0" w:line="290" w:lineRule="auto"/>
        <w:tabs>
          <w:tab w:leader="none" w:pos="112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Early lease termination expense represents a non-cash expense recorded upon the early termination of the lease of our corporate headquarters because the early termination payment made by the Company was reimbursed by the landlord of the new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-1268095</wp:posOffset>
            </wp:positionV>
            <wp:extent cx="13633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The results of operations data for the three and six months ended June 29, 2017 (second quarter of 2017) and June 30 2016 (second quarter of 2016) was derived from the unaudited Condensed Financial Statements and accounting records of NCM LLC and should be read in conjunction with the notes thereto.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2017 and Second Quarter of 2016</w:t>
      </w:r>
    </w:p>
    <w:p>
      <w:pPr>
        <w:spacing w:after="0" w:line="11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15.9%, from $115.4 million for the second quarter of 2016 to $97.1 million for the second quarter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Q2 2017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Q2 2016</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Q2 2017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2017 to</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Q2 2016</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2016</w:t>
            </w:r>
          </w:p>
        </w:tc>
        <w:tc>
          <w:tcPr>
            <w:tcW w:w="24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8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66.0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8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8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820" w:type="dxa"/>
            <w:vAlign w:val="bottom"/>
          </w:tcPr>
          <w:p>
            <w:pPr>
              <w:spacing w:after="0"/>
              <w:rPr>
                <w:sz w:val="19"/>
                <w:szCs w:val="19"/>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97.1</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40" w:type="dxa"/>
            <w:vAlign w:val="bottom"/>
            <w:gridSpan w:val="2"/>
          </w:tcPr>
          <w:p>
            <w:pPr>
              <w:jc w:val="right"/>
              <w:ind w:right="346"/>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0" w:name="page21"/>
    <w:bookmarkEnd w:id="20"/>
    <w:p>
      <w:pPr>
        <w:ind w:left="560"/>
        <w:spacing w:after="0"/>
        <w:rPr>
          <w:sz w:val="20"/>
          <w:szCs w:val="20"/>
          <w:color w:val="auto"/>
        </w:rPr>
      </w:pPr>
      <w:r>
        <w:rPr>
          <w:rFonts w:ascii="Arial" w:cs="Arial" w:eastAsia="Arial" w:hAnsi="Arial"/>
          <w:sz w:val="17"/>
          <w:szCs w:val="17"/>
          <w:color w:val="auto"/>
        </w:rPr>
        <w:t>The following table shows data on theater attendance and revenue per attendee for the second quarter of 2017 and the second quarter of 2016:</w:t>
      </w:r>
    </w:p>
    <w:p>
      <w:pPr>
        <w:spacing w:after="0" w:line="9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Q2 2017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Q2 2016</w:t>
            </w:r>
          </w:p>
        </w:tc>
        <w:tc>
          <w:tcPr>
            <w:tcW w:w="200" w:type="dxa"/>
            <w:vAlign w:val="bottom"/>
            <w:vMerge w:val="restart"/>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2017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0.482</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0.147</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8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0.559</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0.629</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0.607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0.670</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700" w:right="600" w:hanging="558"/>
        <w:spacing w:after="0" w:line="264" w:lineRule="auto"/>
        <w:tabs>
          <w:tab w:leader="none" w:pos="170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-432435</wp:posOffset>
            </wp:positionV>
            <wp:extent cx="986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3" w:lineRule="exact"/>
        <w:rPr>
          <w:sz w:val="20"/>
          <w:szCs w:val="20"/>
          <w:color w:val="auto"/>
        </w:rPr>
      </w:pPr>
    </w:p>
    <w:p>
      <w:pPr>
        <w:ind w:left="560" w:right="100"/>
        <w:spacing w:after="0" w:line="289"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$17.0 million, or 20.5%, decrease in national advertising revenue (excluding beverage revenue from the founding members) was due primarily to a 16.0% decrease in impressions sold, which resulted in a decrease in national inventory utilization from 124.0% in the second quarter of 2016 to 112.1% in the second quarter of 2017 on a 7.1% decrease in network attendance. Inventory utilization is calculated as utilized impressions divided by total advertising impressions, which is based on eleven 30-second salable national advertising units in our pre-show, which can be expanded, should market demand dictate. Impressions sold decreased due to lower demand in the scatter market and lower content partner spending in the second quarter of 2017, compared to the second quarter of 2016. National advertising revenue also declined due to an 11.4% decrease in national advertising CPMs (excluding beverage) in the second quarter of 2017, compared to the second quarter of 2016, due primarily to lower CPMs on upfront commitments year over year. These decreases to revenue were partially offset by a $1.3 million, or 10.4%, increase in online, mobile and other revenue not included in the inventory measured by impressions sold or CPMs.</w:t>
      </w:r>
    </w:p>
    <w:p>
      <w:pPr>
        <w:spacing w:after="0" w:line="59"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$1.8 million, or 7.1%, decrease in local and regional advertising revenue was primarily due to a decrease in revenue from contracts greater than $100,000, whereby they had a 27.3% decrease in the number of contracts, partially offset by a 1.8% increase in average contract value for the second quarter of 2017, compared to the second quarter of 2016. The decrease in contract volume was driven by both timing of when the advertisers bought this year, as well as, certain customers doing fewer promotional campaigns. These decreases in local and regional advertising revenue were partially offset by higher online and mobile revenue during the second quarter of 2017, compared to the second quarter of 2016.</w:t>
      </w:r>
    </w:p>
    <w:p>
      <w:pPr>
        <w:spacing w:after="0" w:line="85"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$0.5 million, or 7.0%, increase in national advertising revenue from the founding members’ beverage concessionaire agreements was primarily due to a 10.2% increase in beverage revenue CPMs, partially offset by a 9.2% decrease in founding member attendance in the second quarter of 2017, compared to the second quarter of 2016. The 2017 beverage revenue CPM is based on the change in CPM during segment one of the pre-show from 2015 to 2016, which increased 10.2%.</w:t>
      </w:r>
    </w:p>
    <w:p>
      <w:pPr>
        <w:spacing w:after="0" w:line="187"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$0.1 million, or 0.1%, from $68.9 million for the second quarter of 2016 to $68.8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2017. The following table shows the changes in operating expense for the second quarter of 2017 and the second quarter of 2016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Q2 2017</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Q2 2016</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55"/>
              <w:spacing w:after="0" w:line="133" w:lineRule="exact"/>
              <w:rPr>
                <w:sz w:val="20"/>
                <w:szCs w:val="20"/>
                <w:color w:val="auto"/>
              </w:rPr>
            </w:pPr>
            <w:r>
              <w:rPr>
                <w:rFonts w:ascii="Arial" w:cs="Arial" w:eastAsia="Arial" w:hAnsi="Arial"/>
                <w:sz w:val="14"/>
                <w:szCs w:val="14"/>
                <w:b w:val="1"/>
                <w:bCs w:val="1"/>
                <w:color w:val="auto"/>
                <w:w w:val="93"/>
              </w:rPr>
              <w:t>Q2 2017 to</w:t>
            </w:r>
          </w:p>
        </w:tc>
        <w:tc>
          <w:tcPr>
            <w:tcW w:w="2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Q2 2017 to</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tcBorders>
              <w:bottom w:val="single" w:sz="8" w:color="CFF2FA"/>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2FA"/>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Q2 2016</w:t>
            </w:r>
          </w:p>
        </w:tc>
        <w:tc>
          <w:tcPr>
            <w:tcW w:w="200" w:type="dxa"/>
            <w:vAlign w:val="bottom"/>
            <w:tcBorders>
              <w:bottom w:val="single" w:sz="8" w:color="CFF2FA"/>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2016</w:t>
            </w:r>
          </w:p>
        </w:tc>
        <w:tc>
          <w:tcPr>
            <w:tcW w:w="240" w:type="dxa"/>
            <w:vAlign w:val="bottom"/>
            <w:tcBorders>
              <w:bottom w:val="single" w:sz="8" w:color="CFF2FA"/>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980" w:type="dxa"/>
            <w:vAlign w:val="bottom"/>
            <w:shd w:val="clear" w:color="auto" w:fill="CFF2FA"/>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2FA"/>
          </w:tcPr>
          <w:p>
            <w:pPr>
              <w:spacing w:after="0"/>
              <w:rPr>
                <w:sz w:val="19"/>
                <w:szCs w:val="19"/>
                <w:color w:val="auto"/>
              </w:rPr>
            </w:pPr>
          </w:p>
        </w:tc>
        <w:tc>
          <w:tcPr>
            <w:tcW w:w="380" w:type="dxa"/>
            <w:vAlign w:val="bottom"/>
            <w:gridSpan w:val="2"/>
            <w:shd w:val="clear" w:color="auto" w:fill="CFF2FA"/>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2FA"/>
          </w:tcPr>
          <w:p>
            <w:pPr>
              <w:spacing w:after="0"/>
              <w:rPr>
                <w:sz w:val="19"/>
                <w:szCs w:val="19"/>
                <w:color w:val="auto"/>
              </w:rPr>
            </w:pPr>
          </w:p>
        </w:tc>
        <w:tc>
          <w:tcPr>
            <w:tcW w:w="220" w:type="dxa"/>
            <w:vAlign w:val="bottom"/>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(0.8)</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Network costs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18.7</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(0.2)</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spacing w:after="0"/>
              <w:rPr>
                <w:sz w:val="19"/>
                <w:szCs w:val="19"/>
                <w:color w:val="auto"/>
              </w:rPr>
            </w:pP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2FA"/>
          </w:tcPr>
          <w:p>
            <w:pPr>
              <w:spacing w:after="0"/>
              <w:rPr>
                <w:sz w:val="19"/>
                <w:szCs w:val="19"/>
                <w:color w:val="auto"/>
              </w:rPr>
            </w:pPr>
          </w:p>
        </w:tc>
        <w:tc>
          <w:tcPr>
            <w:tcW w:w="220" w:type="dxa"/>
            <w:vAlign w:val="bottom"/>
            <w:tcBorders>
              <w:bottom w:val="single" w:sz="8" w:color="auto"/>
            </w:tcBorders>
            <w:shd w:val="clear" w:color="auto" w:fill="CFF2FA"/>
          </w:tcPr>
          <w:p>
            <w:pPr>
              <w:spacing w:after="0"/>
              <w:rPr>
                <w:sz w:val="19"/>
                <w:szCs w:val="19"/>
                <w:color w:val="auto"/>
              </w:rPr>
            </w:pP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1" w:name="page22"/>
    <w:bookmarkEnd w:id="21"/>
    <w:p>
      <w:pPr>
        <w:ind w:left="560" w:right="100"/>
        <w:spacing w:after="0" w:line="279"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decreased $0.8 million, or 9.6%, from $8.3 million for the second quarter of 2016 to $7.5 million for the second quarter of 2017. This decrease was primarily due to a $0.7 million decrease in production costs related to lower revenue in the second quarter of 2017, compared to the second quarter of 2016, and a $0.2 million decrease in affiliate advertising expense which was driven by lower total advertising revenue, partially offset by an increase in the number of average affiliate screens during the period.</w:t>
      </w:r>
    </w:p>
    <w:p>
      <w:pPr>
        <w:spacing w:after="0" w:line="63"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$0.3 million, or 7.0%, from $4.3 million for the second quarter of 2016 to $4.0 million for the second quarter of 2017. This decrease was primarily the result of a $0.2 million decrease in personnel related expenses due to lower salaries and bonus expense (related to lower performance against internal targets) in the second quarter of 2017, compared to the second quarter of 2016.</w:t>
      </w:r>
    </w:p>
    <w:p>
      <w:pPr>
        <w:spacing w:after="0" w:line="57" w:lineRule="exact"/>
        <w:rPr>
          <w:sz w:val="20"/>
          <w:szCs w:val="20"/>
          <w:color w:val="auto"/>
        </w:rPr>
      </w:pPr>
    </w:p>
    <w:p>
      <w:pPr>
        <w:ind w:left="560" w:right="180"/>
        <w:spacing w:after="0" w:line="291" w:lineRule="auto"/>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decreased $0.2 million, or 1.1%, from $18.9 million for the second quarter of 2016 to $18.7 million for the second quarter of 2017. The decrease was due to a $0.4 million decrease in the expense associated with founding member attendance, partially offset by a $0.2 million increase in the expense associated with the founding member digital screens that are connected to the DCN, including higher quality digital cinema projectors and related equipment. The $0.4 million decrease in the theater access fee expense based upon attendance decreased $1.2 million due to a 9.2% decrease in founding member attendance, partially offset by a $0.8 million increase due to a contractual 8% rate increase (the payment per patron rate increase occurs every five years with this increase taking place in 2017). The $0.2 million increase in digital screen fee expense increased primarily due to an annual 5% increase specified in the ESAs.</w:t>
      </w:r>
    </w:p>
    <w:p>
      <w:pPr>
        <w:spacing w:after="0" w:line="59" w:lineRule="exact"/>
        <w:rPr>
          <w:sz w:val="20"/>
          <w:szCs w:val="20"/>
          <w:color w:val="auto"/>
        </w:rPr>
      </w:pPr>
    </w:p>
    <w:p>
      <w:pPr>
        <w:ind w:left="560" w:right="80"/>
        <w:spacing w:after="0" w:line="273"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$0.2 million, or 1.0%, from $19.1 million for the second quarter of 2016 to $18.9 million for the second quarter of 2017. These expenses decreased $1.2 million related to declines in marketing research expense, personnel related expenses primarily due to a lower bonus expense (related to lower performance against internal targets), lower promotional expense and lower non-cash barter expense related to the nature and timing of these expenses. These decreases in selling and marketing costs were partially offset by a $1.0 million increase in non-cash impairment expense from $0.7 million during the second quarter of 2016 to $1.7 million during the second quarter of 2017, related to investments obtained in prior years in exchange for advertising services.</w:t>
      </w:r>
    </w:p>
    <w:p>
      <w:pPr>
        <w:spacing w:after="0" w:line="70"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$1.6 million, or 28.6%, from $5.6 million for the second quarter of 2016 to $7.2 million for the second quarter of 2017 due primarily to a $1.8 million non-cash early lease termination charge for our corporate headquarters (the payment was reimbursed by the landlord).</w:t>
      </w:r>
    </w:p>
    <w:p>
      <w:pPr>
        <w:spacing w:after="0" w:line="73" w:lineRule="exact"/>
        <w:rPr>
          <w:sz w:val="20"/>
          <w:szCs w:val="20"/>
          <w:color w:val="auto"/>
        </w:rPr>
      </w:pPr>
    </w:p>
    <w:p>
      <w:pPr>
        <w:ind w:left="560" w:right="240"/>
        <w:spacing w:after="0" w:line="302"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decreased $0.5 million, or 13.2% from $3.8 million for the second quarter of 2016 to $3.3 million for the second quarter of 2017. The decrease was due primarily to a $0.2 million decrease in personnel related expenses by the managing member. Amounts recorded are based on the terms of the management services agreement which states NCM LLC pays NCM, Inc. service fees which are equal to the cost of NCM, Inc. employees and any reimbursable costs incurred by NCM, Inc.</w:t>
      </w:r>
    </w:p>
    <w:p>
      <w:pPr>
        <w:spacing w:after="0" w:line="46" w:lineRule="exact"/>
        <w:rPr>
          <w:sz w:val="20"/>
          <w:szCs w:val="20"/>
          <w:color w:val="auto"/>
        </w:rPr>
      </w:pPr>
    </w:p>
    <w:p>
      <w:pPr>
        <w:jc w:val="both"/>
        <w:ind w:left="560" w:right="18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$0.3 million, or 3.4%, from $8.9 million for the second quarter of 2016 to $9.2 million for the second quarter of 2017 primarily due to an increase in depreciation expense primarily from more software being placed into service during the period.</w:t>
      </w:r>
    </w:p>
    <w:p>
      <w:pPr>
        <w:spacing w:after="0" w:line="73"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$0.4 million, or 3.0%, from $13.3 million for the second quarter of 2016 to $12.9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second quarter of 2017. The following table shows the changes in non-operating expense for the second quarter of 2017 and the second quarter of 2016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Q2 2017</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Q2 2016</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59"/>
              <w:spacing w:after="0" w:line="133" w:lineRule="exact"/>
              <w:rPr>
                <w:sz w:val="20"/>
                <w:szCs w:val="20"/>
                <w:color w:val="auto"/>
              </w:rPr>
            </w:pPr>
            <w:r>
              <w:rPr>
                <w:rFonts w:ascii="Arial" w:cs="Arial" w:eastAsia="Arial" w:hAnsi="Arial"/>
                <w:sz w:val="14"/>
                <w:szCs w:val="14"/>
                <w:b w:val="1"/>
                <w:bCs w:val="1"/>
                <w:color w:val="auto"/>
                <w:w w:val="93"/>
              </w:rPr>
              <w:t>Q2 2017 to</w:t>
            </w:r>
          </w:p>
        </w:tc>
        <w:tc>
          <w:tcPr>
            <w:tcW w:w="2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Q2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FF2FA"/>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2FA"/>
            </w:tcBorders>
            <w:vMerge w:val="continue"/>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Q2 2016</w:t>
            </w:r>
          </w:p>
        </w:tc>
        <w:tc>
          <w:tcPr>
            <w:tcW w:w="200" w:type="dxa"/>
            <w:vAlign w:val="bottom"/>
            <w:tcBorders>
              <w:bottom w:val="single" w:sz="8" w:color="CFF2FA"/>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1040" w:type="dxa"/>
            <w:vAlign w:val="bottom"/>
            <w:shd w:val="clear" w:color="auto" w:fill="CFF2FA"/>
          </w:tcPr>
          <w:p>
            <w:pPr>
              <w:jc w:val="right"/>
              <w:ind w:right="8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13.1</w:t>
            </w:r>
          </w:p>
        </w:tc>
        <w:tc>
          <w:tcPr>
            <w:tcW w:w="140" w:type="dxa"/>
            <w:vAlign w:val="bottom"/>
            <w:shd w:val="clear" w:color="auto" w:fill="CFF2FA"/>
          </w:tcPr>
          <w:p>
            <w:pPr>
              <w:spacing w:after="0"/>
              <w:rPr>
                <w:sz w:val="19"/>
                <w:szCs w:val="19"/>
                <w:color w:val="auto"/>
              </w:rPr>
            </w:pPr>
          </w:p>
        </w:tc>
        <w:tc>
          <w:tcPr>
            <w:tcW w:w="340" w:type="dxa"/>
            <w:vAlign w:val="bottom"/>
            <w:gridSpan w:val="2"/>
            <w:shd w:val="clear" w:color="auto" w:fill="CFF2FA"/>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20" w:type="dxa"/>
            <w:vAlign w:val="bottom"/>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 non-operating expenses</w:t>
            </w:r>
          </w:p>
        </w:tc>
        <w:tc>
          <w:tcPr>
            <w:tcW w:w="1040" w:type="dxa"/>
            <w:vAlign w:val="bottom"/>
            <w:tcBorders>
              <w:top w:val="single" w:sz="8" w:color="auto"/>
              <w:bottom w:val="single" w:sz="8" w:color="auto"/>
            </w:tcBorders>
            <w:shd w:val="clear" w:color="auto" w:fill="CFF2FA"/>
          </w:tcPr>
          <w:p>
            <w:pPr>
              <w:jc w:val="right"/>
              <w:ind w:right="8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12.9</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260" w:type="dxa"/>
            <w:vAlign w:val="bottom"/>
            <w:tcBorders>
              <w:top w:val="single" w:sz="8" w:color="auto"/>
              <w:bottom w:val="single" w:sz="8" w:color="auto"/>
            </w:tcBorders>
            <w:shd w:val="clear" w:color="auto" w:fill="CFF2FA"/>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220" w:type="dxa"/>
            <w:vAlign w:val="bottom"/>
            <w:tcBorders>
              <w:top w:val="single" w:sz="8" w:color="auto"/>
              <w:bottom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FF2FA"/>
              <w:bottom w:val="single" w:sz="8" w:color="CFF2FA"/>
            </w:tcBorders>
            <w:shd w:val="clear" w:color="auto" w:fill="CFF2FA"/>
          </w:tcPr>
          <w:p>
            <w:pPr>
              <w:spacing w:after="0"/>
              <w:rPr>
                <w:sz w:val="19"/>
                <w:szCs w:val="19"/>
                <w:color w:val="auto"/>
              </w:rPr>
            </w:pPr>
          </w:p>
        </w:tc>
        <w:tc>
          <w:tcPr>
            <w:tcW w:w="1620" w:type="dxa"/>
            <w:vAlign w:val="bottom"/>
            <w:tcBorders>
              <w:top w:val="single" w:sz="8" w:color="CFF2FA"/>
              <w:bottom w:val="single" w:sz="8" w:color="CFF2FA"/>
            </w:tcBorders>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52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$0.4 million decrease in interest on borrowings related to a lower balance on our revolving credit facility and lower average interest rates on our senior notes.</w:t>
      </w:r>
    </w:p>
    <w:p>
      <w:pPr>
        <w:spacing w:after="0" w:line="62"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$17.8 million from $33.2 million for the second quarter of 2016 to $15.4 million in the second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net income was due to a decrease in operating income of $18.2 million, as described further above, partially offset by a decrease of $0.4 decrease in non-operating expenses, as described further above.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Six Months Ended June 29, 2017 and June 30, 2016</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decreased 11.8%, from $191.6 million for the six months ended June 30, 2016 to $169.0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29, 2017. The following is a summary of revenue by category (in millions):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8"/>
              <w:spacing w:after="0" w:line="133" w:lineRule="exact"/>
              <w:rPr>
                <w:sz w:val="20"/>
                <w:szCs w:val="20"/>
                <w:color w:val="auto"/>
              </w:rPr>
            </w:pPr>
            <w:r>
              <w:rPr>
                <w:rFonts w:ascii="Arial" w:cs="Arial" w:eastAsia="Arial" w:hAnsi="Arial"/>
                <w:sz w:val="14"/>
                <w:szCs w:val="14"/>
                <w:b w:val="1"/>
                <w:bCs w:val="1"/>
                <w:color w:val="auto"/>
              </w:rPr>
              <w:t>June 29,</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6"/>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8"/>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40" w:type="dxa"/>
            <w:vAlign w:val="bottom"/>
          </w:tcPr>
          <w:p>
            <w:pPr>
              <w:spacing w:after="0"/>
              <w:rPr>
                <w:sz w:val="11"/>
                <w:szCs w:val="1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YTD 2016</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2016</w:t>
            </w:r>
          </w:p>
        </w:tc>
        <w:tc>
          <w:tcPr>
            <w:tcW w:w="240" w:type="dxa"/>
            <w:vAlign w:val="bottom"/>
            <w:tcBorders>
              <w:bottom w:val="single" w:sz="8" w:color="CFF0FC"/>
            </w:tcBorders>
          </w:tcPr>
          <w:p>
            <w:pPr>
              <w:spacing w:after="0"/>
              <w:rPr>
                <w:sz w:val="14"/>
                <w:szCs w:val="14"/>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concessionaire agreements</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theatre attendance and revenue per attendee for the six months ended June 29, 2017 and June 30, 2016:</w:t>
      </w:r>
    </w:p>
    <w:p>
      <w:pPr>
        <w:spacing w:after="0" w:line="9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June 29,</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5"/>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0.387</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0.128</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8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0.448</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0.515</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0.556</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bl>
    <w:p>
      <w:pPr>
        <w:spacing w:after="0" w:line="229" w:lineRule="exact"/>
        <w:rPr>
          <w:sz w:val="20"/>
          <w:szCs w:val="20"/>
          <w:color w:val="auto"/>
        </w:rPr>
      </w:pPr>
    </w:p>
    <w:p>
      <w:pPr>
        <w:jc w:val="both"/>
        <w:ind w:left="1700" w:right="580" w:hanging="558"/>
        <w:spacing w:after="0" w:line="264" w:lineRule="auto"/>
        <w:tabs>
          <w:tab w:leader="none" w:pos="170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3" w:lineRule="exact"/>
        <w:rPr>
          <w:sz w:val="20"/>
          <w:szCs w:val="20"/>
          <w:color w:val="auto"/>
        </w:rPr>
      </w:pPr>
    </w:p>
    <w:p>
      <w:pPr>
        <w:ind w:left="560" w:right="20"/>
        <w:spacing w:after="0" w:line="288"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$22.8 million, or 17.1%, decrease in national advertising revenue (excluding beverage revenue from NCM LLC’s founding members) was due primarily to a 12.8% decrease in national advertising CPMs (excluding beverage) in the first six months of 2017, compared to the first six months 2016. The decrease in national advertising CPMs was due primarily to lower CPMs on upfront commitments, including content partners, year over year due to the timing and mix of spending by these advertisers. National advertising revenue also declined due to a 10.2% decrease in impressions sold, which resulted in a decrease in national inventory utilization from 102.6% in the first six months of 2016 to 93.0% in the first six months of 2017, on a 0.9% decrease in network attendance. Inventory utilization is calculated as utilized impressions divided by total advertising impressions, which is based on eleven 30-second salable national advertising units in our pre-show, which can be expanded, should market demand dictate. Impressions sold decreased due to lower demand in the scatter market and lower content partner spending in the first six months of 2017, compared to the first six months of 2016. These decreases to revenue were partially offset by a 6.0% increase in online, mobile and other revenue not included in the inventory measured by impressions sold or CPMs.</w:t>
      </w:r>
    </w:p>
    <w:p>
      <w:pPr>
        <w:spacing w:after="0" w:line="61" w:lineRule="exact"/>
        <w:rPr>
          <w:sz w:val="20"/>
          <w:szCs w:val="20"/>
          <w:color w:val="auto"/>
        </w:rPr>
      </w:pPr>
    </w:p>
    <w:p>
      <w:pPr>
        <w:ind w:left="560" w:right="140"/>
        <w:spacing w:after="0" w:line="276" w:lineRule="auto"/>
        <w:rPr>
          <w:sz w:val="20"/>
          <w:szCs w:val="20"/>
          <w:color w:val="auto"/>
        </w:rPr>
      </w:pPr>
      <w:r>
        <w:rPr>
          <w:rFonts w:ascii="Arial" w:cs="Arial" w:eastAsia="Arial" w:hAnsi="Arial"/>
          <w:sz w:val="17"/>
          <w:szCs w:val="17"/>
          <w:u w:val="single" w:color="auto"/>
          <w:color w:val="auto"/>
        </w:rPr>
        <w:t>Local and regional advertising revenue.</w:t>
      </w:r>
      <w:r>
        <w:rPr>
          <w:rFonts w:ascii="Arial" w:cs="Arial" w:eastAsia="Arial" w:hAnsi="Arial"/>
          <w:sz w:val="17"/>
          <w:szCs w:val="17"/>
          <w:color w:val="auto"/>
        </w:rPr>
        <w:t xml:space="preserve"> The $1.5 million, or 3.4%, decrease in local advertising revenue was driven by a decrease in revenue from contracts greater than $100,000, whereby they had a 10.6% decrease in average contact value and a 2.0% decrease in the number of contracts for the first six months of 2017, compared to the first six months of 2016 was driven by both timing of when the advertisers bought this year, as well as, certain customers doing fewer promotional campaigns. These decreases to local and regional advertising revenue were partially offset by an increase in online and mobile revenue during the first six months of 2017, compared to the first six months of 2016.</w:t>
      </w:r>
    </w:p>
    <w:p>
      <w:pPr>
        <w:spacing w:after="0" w:line="64"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$1.7 million, or 11.9%, increase in national advertising revenue from the founding members’ beverage concessionaire agreements was due primarily to a 10.2% increase in beverage revenue CPMs, partially offset by a 2.8% decrease in founding member attendance in the first six months of 2017, compared to the first six months of 2016. The 2017 beverage revenue CPM is based on the change in CPM during segment one of the pre-show from 2015 to 2016, which increased 10.2%.</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right="180" w:firstLine="407"/>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$3.7 million, or 2.7%, from $139.3 million for the six months ended June 30, 2016 to $135.6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29, 2017. The following table shows the changes in operating expense for the six months ended June 29, 2017 and June 30, 2016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Change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50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55"/>
              <w:spacing w:after="0" w:line="133" w:lineRule="exact"/>
              <w:rPr>
                <w:sz w:val="20"/>
                <w:szCs w:val="20"/>
                <w:color w:val="auto"/>
              </w:rPr>
            </w:pPr>
            <w:r>
              <w:rPr>
                <w:rFonts w:ascii="Arial" w:cs="Arial" w:eastAsia="Arial" w:hAnsi="Arial"/>
                <w:sz w:val="14"/>
                <w:szCs w:val="14"/>
                <w:b w:val="1"/>
                <w:bCs w:val="1"/>
                <w:color w:val="auto"/>
              </w:rPr>
              <w:t>June 29,</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b w:val="1"/>
                <w:bCs w:val="1"/>
                <w:color w:val="auto"/>
                <w:w w:val="99"/>
              </w:rPr>
              <w:t>YTD 2017 to</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40" w:type="dxa"/>
            <w:vAlign w:val="bottom"/>
          </w:tcPr>
          <w:p>
            <w:pPr>
              <w:spacing w:after="0"/>
              <w:rPr>
                <w:sz w:val="11"/>
                <w:szCs w:val="11"/>
                <w:color w:val="auto"/>
              </w:rPr>
            </w:pPr>
          </w:p>
        </w:tc>
      </w:tr>
      <w:tr>
        <w:trPr>
          <w:trHeight w:val="171"/>
        </w:trPr>
        <w:tc>
          <w:tcPr>
            <w:tcW w:w="50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YTD 2016</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40" w:type="dxa"/>
            <w:vAlign w:val="bottom"/>
            <w:tcBorders>
              <w:bottom w:val="single" w:sz="8" w:color="CFF0FC"/>
            </w:tcBorders>
          </w:tcPr>
          <w:p>
            <w:pPr>
              <w:spacing w:after="0"/>
              <w:rPr>
                <w:sz w:val="14"/>
                <w:szCs w:val="14"/>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Network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Theater access fees—founding members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560"/>
        <w:spacing w:after="0" w:line="302"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$0.8 million, or 6.0%, from $13.3 million for the first six months of 2016 to $12.5 million for the first six months of 2017. This decrease was primarily the result of a $1.0 million decrease in production costs related to lower revenue in the first six months of 2017, compared to the first six months of 2016, and a $0.2 million decrease in affiliate advertising expense which was driven by lower total advertising revenue, which was partially offset by an increase in the number of average affiliate screens.</w:t>
      </w:r>
    </w:p>
    <w:p>
      <w:pPr>
        <w:spacing w:after="0" w:line="46" w:lineRule="exact"/>
        <w:rPr>
          <w:sz w:val="20"/>
          <w:szCs w:val="20"/>
          <w:color w:val="auto"/>
        </w:rPr>
      </w:pPr>
    </w:p>
    <w:p>
      <w:pPr>
        <w:jc w:val="both"/>
        <w:ind w:left="560" w:right="440"/>
        <w:spacing w:after="0" w:line="31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decreased $0.6 million, or 6.8%, from $8.8 million for the first six months of 2016 to $8.2 million for the first six months of 2017. This decrease was primarily the result of a $0.3 million decrease in personnel related expenses due to lower salaries and bonus expense (related to lower performance against internal targets) in the second quarter of 2017, compared to the second quarter of 2016.</w:t>
      </w:r>
    </w:p>
    <w:p>
      <w:pPr>
        <w:spacing w:after="0" w:line="39"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$1.7 million, or 4.5%, from $37.6 million for the first six months of 2016 to $39.3 million for the first six months of 2017. The increase was due to a $1.1 million increase in the expense associated with founding member attendance and a $0.6 million increase in the expense associated with the founding member digital screens that are connected to the DCN, including higher quality digital cinema projectors and related equipment in the first six months of 2017, compared to the first six months of 2016. The $1.1 million increase in the theater access fee expense based upon attendance increased $1.7 million due to a contractual 8% rate increase (the payment per patron rate increase occurs every five years with this increase taking place in 2017), partially offset by a decrease of $0.6 million due to a 2.8% decrease in founding member attendance. The $0.6 million increase in digital screen fee expense increased primarily due to an annual 5% increase specified in the ESAs.</w:t>
      </w:r>
    </w:p>
    <w:p>
      <w:pPr>
        <w:spacing w:after="0" w:line="84"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$0.7 million, or 1.9%, from $37.7 million for the first six months of 2016 to $37.0 million for the first six months of 2017. This decrease was primarily due to 1) a $1.5 million decrease in personnel related expenses due primarily to lower bonus expense and lower non-cash share-based compensation expense related to lower performance against targets, 2) a $0.8 million decrease in non-cash barter expense related to the nature and timing of these expenses, and 3) a $0.6 million decrease in marketing research and promotional expenses in the first six months of 2017, compared to the first six months of 2016. These decreases in selling and marketing costs were partially offset by a $2.4 million increase in non-cash impairment expense recorded during the first six months of 2017, compared to the first six months of 2016, related to investments obtained in prior years in exchange for advertising services.</w:t>
      </w:r>
    </w:p>
    <w:p>
      <w:pPr>
        <w:spacing w:after="0" w:line="70"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$1.6 million, or 13.9%, from $11.5 million for the first six months of 2016 to $13.1 million for the first six months of 2017 due primarily to a $1.8 million non-cash early lease termination charge for our corporate headquarters (the payment was reimbursed by the landlord).</w:t>
      </w:r>
    </w:p>
    <w:p>
      <w:pPr>
        <w:spacing w:after="0" w:line="73"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u w:val="single" w:color="auto"/>
          <w:color w:val="auto"/>
        </w:rPr>
        <w:t>Administrative fee—managing member.</w:t>
      </w:r>
      <w:r>
        <w:rPr>
          <w:rFonts w:ascii="Arial" w:cs="Arial" w:eastAsia="Arial" w:hAnsi="Arial"/>
          <w:sz w:val="18"/>
          <w:szCs w:val="18"/>
          <w:color w:val="auto"/>
        </w:rPr>
        <w:t xml:space="preserve"> Administrative fee-managing member decreased $6.1 million, or 47.7% from $12.8 million for the second quarter of 2016 to $6.7 million for the second quarter of 2017. The decrease was due primarily to 1) a $2.8 million decrease in CEO transition costs because of severance expense that occurred during the first six months of 2016, 2) a $2.3 million of expense related to the modification of the former CEO’s equity awards that occurred during the first six months of 2016 and 3) a $1.2 million decrease in personnel related expenses by the managing member.</w:t>
      </w:r>
    </w:p>
    <w:p>
      <w:pPr>
        <w:spacing w:after="0" w:line="80" w:lineRule="exact"/>
        <w:rPr>
          <w:sz w:val="20"/>
          <w:szCs w:val="20"/>
          <w:color w:val="auto"/>
        </w:rPr>
      </w:pPr>
    </w:p>
    <w:p>
      <w:pPr>
        <w:ind w:left="560" w:right="8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$1.2 million, or 6.8%, from $17.6 million for the first six months of 2016 to $18.8 million for the first six months of 2017. The increase was due to an increase in depreciation expense primarily from more software being placed into service.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ind w:right="20" w:firstLine="555"/>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$0.7 million, or 2.6%, from $26.5 million for the six months ended June 30,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$25.8 million for the six months ended June 29, 2017. The following table shows the changes in non-operating expense for the six months ended June 29, 2017 and June 30, 2016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Change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50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June 29,</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78"/>
              <w:spacing w:after="0" w:line="133" w:lineRule="exact"/>
              <w:rPr>
                <w:sz w:val="20"/>
                <w:szCs w:val="20"/>
                <w:color w:val="auto"/>
              </w:rPr>
            </w:pPr>
            <w:r>
              <w:rPr>
                <w:rFonts w:ascii="Arial" w:cs="Arial" w:eastAsia="Arial" w:hAnsi="Arial"/>
                <w:sz w:val="14"/>
                <w:szCs w:val="14"/>
                <w:b w:val="1"/>
                <w:bCs w:val="1"/>
                <w:color w:val="auto"/>
                <w:w w:val="99"/>
              </w:rPr>
              <w:t>YTD 2017 to</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FF2FA"/>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YTD 2016</w:t>
            </w:r>
          </w:p>
        </w:tc>
        <w:tc>
          <w:tcPr>
            <w:tcW w:w="220" w:type="dxa"/>
            <w:vAlign w:val="bottom"/>
            <w:tcBorders>
              <w:bottom w:val="single" w:sz="8" w:color="CFF2FA"/>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260" w:type="dxa"/>
            <w:vAlign w:val="bottom"/>
            <w:shd w:val="clear" w:color="auto" w:fill="CFF2FA"/>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FF2FA"/>
          </w:tcPr>
          <w:p>
            <w:pPr>
              <w:spacing w:after="0"/>
              <w:rPr>
                <w:sz w:val="19"/>
                <w:szCs w:val="19"/>
                <w:color w:val="auto"/>
              </w:rPr>
            </w:pPr>
          </w:p>
        </w:tc>
        <w:tc>
          <w:tcPr>
            <w:tcW w:w="240" w:type="dxa"/>
            <w:vAlign w:val="bottom"/>
            <w:gridSpan w:val="2"/>
            <w:shd w:val="clear" w:color="auto" w:fill="CFF2FA"/>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2FA"/>
          </w:tcPr>
          <w:p>
            <w:pPr>
              <w:spacing w:after="0"/>
              <w:rPr>
                <w:sz w:val="19"/>
                <w:szCs w:val="19"/>
                <w:color w:val="auto"/>
              </w:rPr>
            </w:pPr>
          </w:p>
        </w:tc>
        <w:tc>
          <w:tcPr>
            <w:tcW w:w="128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000" w:type="dxa"/>
            <w:vAlign w:val="bottom"/>
            <w:shd w:val="clear" w:color="auto" w:fill="CFF2FA"/>
          </w:tcPr>
          <w:p>
            <w:pPr>
              <w:spacing w:after="0"/>
              <w:rPr>
                <w:sz w:val="20"/>
                <w:szCs w:val="20"/>
                <w:color w:val="auto"/>
              </w:rPr>
            </w:pPr>
            <w:r>
              <w:rPr>
                <w:rFonts w:ascii="Arial" w:cs="Arial" w:eastAsia="Arial" w:hAnsi="Arial"/>
                <w:sz w:val="18"/>
                <w:szCs w:val="18"/>
                <w:color w:val="auto"/>
              </w:rPr>
              <w:t>Other non-operating expense</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4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40"/>
              <w:spacing w:after="0"/>
              <w:rPr>
                <w:sz w:val="20"/>
                <w:szCs w:val="20"/>
                <w:color w:val="auto"/>
              </w:rPr>
            </w:pPr>
            <w:r>
              <w:rPr>
                <w:rFonts w:ascii="Arial" w:cs="Arial" w:eastAsia="Arial" w:hAnsi="Arial"/>
                <w:sz w:val="18"/>
                <w:szCs w:val="18"/>
                <w:color w:val="auto"/>
              </w:rPr>
              <w:t>Total non-operating expenses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56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$0.6 million decrease in interest on borrowings related to a lower balance on our revolving credit facility and lower average interest rates on our senior notes.</w:t>
      </w:r>
    </w:p>
    <w:p>
      <w:pPr>
        <w:spacing w:after="0" w:line="170"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decreased $18.2 million from $25.7 million for the second quarter of 2016 to $7.5 million in the second quarter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was due to a decrease in operating income of $18.9 million, as described further above, partially offset by a decrease of $0.7 decrease in non-operating expenses, as described further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b w:val="1"/>
          <w:bCs w:val="1"/>
          <w:i w:val="1"/>
          <w:iCs w:val="1"/>
          <w:color w:val="auto"/>
        </w:rPr>
        <w:t>Our Marketplace</w:t>
      </w:r>
      <w:r>
        <w:rPr>
          <w:rFonts w:ascii="Arial" w:cs="Arial" w:eastAsia="Arial" w:hAnsi="Arial"/>
          <w:sz w:val="16"/>
          <w:szCs w:val="16"/>
          <w:color w:val="auto"/>
        </w:rPr>
        <w:t>—Changes in the current macro-economic environment and changes in the national, regional and local advertising markets present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uncertainties that could impact our results of operations, including the timing and amount of spending from our advertising clients.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and local advertisers. Further, we could negatively be impacted by factors that could reduce the viewership of our pre-show, such as the expansion of reserve seating (utilized in approximately 40.1% of our network as of July 18, 2017), an increase in the number and length of trailers for upcoming films and lower network attendance, which could result from shortening of release windows, more alternative methods of delivering movies to consumers, lower consumer confidence and disposable income and a decline in the motion picture box office.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pre-show engagement and upgrades to our inventory management and data management systems. We could also benefit if the effectiveness of cinema advertising improves relative to other advertising mediums. We continue to participate in the television upfront advertising selling process and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scatter market. We experienced lower demand in the scatter market during the first six months of 2017, which if it continues may adversely impact our operating results.</w:t>
      </w:r>
    </w:p>
    <w:p>
      <w:pPr>
        <w:spacing w:after="0" w:line="65"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first six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was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Number of screens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38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Founding</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Network Affiliates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Members</w:t>
            </w:r>
          </w:p>
        </w:tc>
        <w:tc>
          <w:tcPr>
            <w:tcW w:w="14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29, 2016</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17,022</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60"/>
              <w:spacing w:after="0"/>
              <w:rPr>
                <w:sz w:val="20"/>
                <w:szCs w:val="20"/>
                <w:color w:val="auto"/>
              </w:rPr>
            </w:pPr>
            <w:r>
              <w:rPr>
                <w:rFonts w:ascii="Arial" w:cs="Arial" w:eastAsia="Arial" w:hAnsi="Arial"/>
                <w:sz w:val="18"/>
                <w:szCs w:val="18"/>
                <w:color w:val="auto"/>
              </w:rPr>
              <w:t xml:space="preserve">AMC screen transfers </w:t>
            </w:r>
            <w:r>
              <w:rPr>
                <w:rFonts w:ascii="Arial" w:cs="Arial" w:eastAsia="Arial" w:hAnsi="Arial"/>
                <w:sz w:val="18"/>
                <w:szCs w:val="18"/>
                <w:i w:val="1"/>
                <w:iCs w:val="1"/>
                <w:color w:val="auto"/>
              </w:rPr>
              <w:t>(2)</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Openings, net of closures</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29, 2017</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146050</wp:posOffset>
            </wp:positionV>
            <wp:extent cx="13379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7" w:lineRule="exact"/>
        <w:rPr>
          <w:sz w:val="20"/>
          <w:szCs w:val="20"/>
          <w:color w:val="auto"/>
        </w:rPr>
      </w:pPr>
    </w:p>
    <w:p>
      <w:pPr>
        <w:ind w:left="1540" w:hanging="398"/>
        <w:spacing w:after="0"/>
        <w:tabs>
          <w:tab w:leader="none" w:pos="15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Represents five new affiliates added to our network during the first six months of 2017.</w:t>
      </w:r>
    </w:p>
    <w:p>
      <w:pPr>
        <w:spacing w:after="0" w:line="23" w:lineRule="exact"/>
        <w:rPr>
          <w:rFonts w:ascii="Arial" w:cs="Arial" w:eastAsia="Arial" w:hAnsi="Arial"/>
          <w:sz w:val="18"/>
          <w:szCs w:val="18"/>
          <w:i w:val="1"/>
          <w:iCs w:val="1"/>
          <w:color w:val="auto"/>
        </w:rPr>
      </w:pPr>
    </w:p>
    <w:p>
      <w:pPr>
        <w:ind w:left="1540" w:hanging="398"/>
        <w:spacing w:after="0"/>
        <w:tabs>
          <w:tab w:leader="none" w:pos="15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Memorandum of Understanding with AMC</w:t>
      </w:r>
      <w:r>
        <w:rPr>
          <w:rFonts w:ascii="Arial" w:cs="Arial" w:eastAsia="Arial" w:hAnsi="Arial"/>
          <w:sz w:val="18"/>
          <w:szCs w:val="18"/>
          <w:color w:val="auto"/>
        </w:rPr>
        <w:t xml:space="preserve"> below for further information.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60" w:firstLine="555"/>
        <w:spacing w:after="0" w:line="273" w:lineRule="auto"/>
        <w:rPr>
          <w:sz w:val="20"/>
          <w:szCs w:val="20"/>
          <w:color w:val="auto"/>
        </w:rPr>
      </w:pPr>
      <w:r>
        <w:rPr>
          <w:rFonts w:ascii="Arial" w:cs="Arial" w:eastAsia="Arial" w:hAnsi="Arial"/>
          <w:sz w:val="17"/>
          <w:szCs w:val="17"/>
          <w:color w:val="auto"/>
        </w:rPr>
        <w:t>Thus far in 2017, we have also contracted with two more new network affiliates for 77 screens that will be added to our network later in 2017. 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70"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b w:val="1"/>
          <w:bCs w:val="1"/>
          <w:i w:val="1"/>
          <w:iCs w:val="1"/>
          <w:color w:val="auto"/>
        </w:rPr>
        <w:t>Memorandum of Understanding with AMC</w:t>
      </w:r>
      <w:r>
        <w:rPr>
          <w:rFonts w:ascii="Arial" w:cs="Arial" w:eastAsia="Arial" w:hAnsi="Arial"/>
          <w:sz w:val="17"/>
          <w:szCs w:val="17"/>
          <w:color w:val="auto"/>
        </w:rPr>
        <w:t>—During the first quarter of 2017, NCM, Inc. and NCM LLC entered into a binding MOU with AMC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effectuate aspects of the Final Judgment entered into by the DOJ in connection with AMC’s acquisition of Carmike. Pursuant to the MOU, AMC received common membership units in respect of the annual attendance at such Carmike theaters in accordance with the Common Unit Adjustment Agreement during the first quarter of 2017. Since these theaters are subject to an existing on-screen advertising agreement with an alternative provider, AMC will make integration payments to us reflecting the estimated advertising cash flow that we would have generated if we had exclusive access to sell advertising in those theaters. The integration payments will continue until the earlier of (i) the date the theaters are transferred to our network or (ii) the expiration of the ESA. Integration payments are calculated based upon the advertising cash flow that NCM LLC would have generated if it had exclusive access to sell advertising in the theaters with pre-existing advertising agreements and fluctuate based on earnings and Adjusted OIBDA.</w:t>
      </w:r>
    </w:p>
    <w:p>
      <w:pPr>
        <w:spacing w:after="0" w:line="7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 xml:space="preserve">Further, during the first quarter of 2017, AMC transferred 17 theaters (318 screens) to another advertising provider in accordance with the Final Judgment, for which AMC surrendered common membership units during the first quarter of 2017. At the end of the 10-year term of the Final Judgment, these theaters will revert back to us. Also, in April 2017, AMC completed a sale of five theaters on our network pursuant to the Final Judgment. AMC will surrender common unit membership units to us for these divestures pursuant to the Common Unit Adjustment Agreement at the next Adjustment Date. These 22 transferred and sold theaters represent approximately 1.3% of our total theater network as of June 29, 2017. The Common Unit Adjustments are discussed further within </w:t>
      </w:r>
      <w:r>
        <w:rPr>
          <w:rFonts w:ascii="Arial" w:cs="Arial" w:eastAsia="Arial" w:hAnsi="Arial"/>
          <w:sz w:val="18"/>
          <w:szCs w:val="18"/>
          <w:i w:val="1"/>
          <w:iCs w:val="1"/>
          <w:color w:val="auto"/>
        </w:rPr>
        <w:t>Trends Related to Ownership</w:t>
      </w:r>
      <w:r>
        <w:rPr>
          <w:rFonts w:ascii="Arial" w:cs="Arial" w:eastAsia="Arial" w:hAnsi="Arial"/>
          <w:sz w:val="18"/>
          <w:szCs w:val="18"/>
          <w:color w:val="auto"/>
        </w:rPr>
        <w:t xml:space="preserve"> below.</w:t>
      </w:r>
    </w:p>
    <w:p>
      <w:pPr>
        <w:spacing w:after="0" w:line="85"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Lastly, AMC also agreed to reimburse us for our incurred and ongoing costs and expenses in connection with the Final Judgment including, but not limited to, our financial advisor and legal fees up to $1.0 million of such costs and expenses. During the first six months of 2017, we incurred $1.2 million of these costs, of which $1.0 million was recorded as a reduction to “Amounts due to founding members” within the Condensed Balance Sheets and the remaining $0.2 million is included within administrative costs within the Condensed Income Statement.</w:t>
      </w:r>
    </w:p>
    <w:p>
      <w:pPr>
        <w:spacing w:after="0" w:line="63"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b w:val="1"/>
          <w:bCs w:val="1"/>
          <w:i w:val="1"/>
          <w:iCs w:val="1"/>
          <w:color w:val="auto"/>
        </w:rPr>
        <w:t>Utilization and Pricing</w:t>
      </w:r>
      <w:r>
        <w:rPr>
          <w:rFonts w:ascii="Arial" w:cs="Arial" w:eastAsia="Arial" w:hAnsi="Arial"/>
          <w:sz w:val="17"/>
          <w:szCs w:val="17"/>
          <w:color w:val="auto"/>
        </w:rPr>
        <w:t>— We have experienced volatility in our pricing (CPMs) over the years, with annual national CPM increases (decreases)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ranging from (16.4%) to 9.6% over the last four years. In the first six months of 2017, we experienced a decline of 12.8%, in national advertising CPMs (excluding beverage revenue) compared to the first six months of 2016. This volatility in pricing can be driven by increased competition from other national video networks, including online and mobile advertising platforms, television networks and other out-of-home video networks and seasonal marketplace supply and demand characteristics. We have also experienced volatility in our utilization over the years, with annual national inventory utilization ranging from 109.3% to 128.3% over the last four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74"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b w:val="1"/>
          <w:bCs w:val="1"/>
          <w:i w:val="1"/>
          <w:iCs w:val="1"/>
          <w:color w:val="auto"/>
        </w:rPr>
        <w:t>Beverage Revenue</w:t>
      </w:r>
      <w:r>
        <w:rPr>
          <w:rFonts w:ascii="Arial" w:cs="Arial" w:eastAsia="Arial" w:hAnsi="Arial"/>
          <w:sz w:val="16"/>
          <w:szCs w:val="16"/>
          <w:color w:val="auto"/>
        </w:rPr>
        <w:t>—Under the ESAs, up to 90 seconds of the pre-show program can be sold to the founding members to satisfy their on-screen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commitments under their beverage concessionaire agreements. For the first six months of 2017 and 2016,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pre-show, limited to the highest advertising CPM being then-charged by us. Due to a 10.2% increase in segment one CPMs in 2017, the CPM on our beverage concessionaire revenue increased during the first quarter of 2017 by 10.2% and the remainder of 2017 will increase by an equivalent percentage.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20" w:firstLine="555"/>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our access to the founding members’ theater attendees for on-screen advertising and use of lobbies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this increase occurring for fiscal year 2017 and the payment per digital screen increases annually by 5%. Pursuant to the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June 29, 2017, 96% of our founding member network screens were showing advertising on digital cinema projectors, and thus the future impact on the theater access fee related to additional digital cinema installations within existing founding member theaters is expected to be minimal. The theater access fee paid in the aggregate to all founding members cannot be less than 12% of NCM LLC’s aggregate advertising revenue (as defined in the ESA), or it will be adjusted upward to reach this minimum payment. As of June 29, 2017 and December 29, 2016, we had no liabilities recorded for the minimum payment, as the theater access fee was in excess of the minimum.</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—During the past several years, we amended our senior secured credit facility to extend the maturity, expand the revolver availability and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 rate spreads. In August 2016, we completed a private placement of $250.0 million in aggregate principal amount of 5.750% Senior Unsecured Notes due in 2026. A portion of the proceeds were used to redeem our $200.0 million 7.875% Senior Unsecured Notes due in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June 29, 2017 the weighted average remaining maturity was 5.2 years. As of June 29, 2017, approximately 70% of our total borrowings bear interest at fixed rates. The remaining 30% of our borrowings bear interest at variable rates and as such, our net income could fluctuate with market interest rate fluctuations that could increase the interest paid on our borrowings.</w:t>
      </w:r>
    </w:p>
    <w:p>
      <w:pPr>
        <w:spacing w:after="0" w:line="84"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with which we were in compliance at June 29, 2017, including a consolidated net senior secured leverage ratio as of June 29, 2017 of 3.3 versus a covenant of 6.5 times for each quarterly period. For purposes of calculating the net consolidated senior secured leverage ratio (senior secured debt divided by Adjusted OIBDA), Adjusted OIBDA includes integration payments by the founding members. We are permitted to make quarterly dividend payments and other payments based on leverage ratios for us and any subsidiaries so long as no default or event of default has occurred and continues to occur. The quarterly dividend payments and other distributions are made if the consolidated net senior secured leverage ratio is less than or equal to 6.5 times. Refer to Note 4—</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the unaudited Condensed Financial Statements in Item 1 of this Form 10-Q for more information regarding our borrowings.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the Common Unit Adjustment Agreement with the founding members, on an annual basis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first quarter of 2017, the following Common Unit Adjustments occurred.</w:t>
      </w:r>
    </w:p>
    <w:p>
      <w:pPr>
        <w:spacing w:after="0" w:line="117" w:lineRule="exact"/>
        <w:rPr>
          <w:sz w:val="20"/>
          <w:szCs w:val="20"/>
          <w:color w:val="auto"/>
        </w:rPr>
      </w:pPr>
    </w:p>
    <w:p>
      <w:pPr>
        <w:ind w:left="1220" w:right="180" w:hanging="402"/>
        <w:spacing w:after="0" w:line="256"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Annual Common Unit Adjustment for 2016 Fiscal Year</w:t>
      </w:r>
      <w:r>
        <w:rPr>
          <w:rFonts w:ascii="Arial" w:cs="Arial" w:eastAsia="Arial" w:hAnsi="Arial"/>
          <w:sz w:val="18"/>
          <w:szCs w:val="18"/>
          <w:color w:val="auto"/>
        </w:rPr>
        <w:t>—During the first quarter of 2017, we issued approximately 2.4 million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units to the founding members for the rights to exclusive access to the theater screens and attendees added, net of dispositions by the founding members to our network during the 2016 fiscal year.</w:t>
      </w:r>
    </w:p>
    <w:p>
      <w:pPr>
        <w:ind w:left="1220" w:right="200" w:hanging="402"/>
        <w:spacing w:after="0" w:line="254"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Extraordinary Common Unit Adjustment for AMC’s Acquisition of Carmike</w:t>
      </w:r>
      <w:r>
        <w:rPr>
          <w:rFonts w:ascii="Arial" w:cs="Arial" w:eastAsia="Arial" w:hAnsi="Arial"/>
          <w:sz w:val="18"/>
          <w:szCs w:val="18"/>
          <w:color w:val="auto"/>
        </w:rPr>
        <w:t>—Pursuant to the MOU, we issued approximately 18.4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membership units to AMC in respect of the annual attendance at Carmike theaters in accordance with the Common Unit Adjustment Agreement. AMC’s acquisition of Carmike meets the criteria for a Common Unit Adjustment for this acquisition because it resulted in an extraordinary attendance increase of approximately 9.5%.</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left="1220" w:hanging="402"/>
        <w:spacing w:after="0" w:line="297" w:lineRule="auto"/>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Surrendered Units for AMC Screen Transfers</w:t>
      </w:r>
      <w:r>
        <w:rPr>
          <w:rFonts w:ascii="Arial" w:cs="Arial" w:eastAsia="Arial" w:hAnsi="Arial"/>
          <w:sz w:val="16"/>
          <w:szCs w:val="16"/>
          <w:color w:val="auto"/>
        </w:rPr>
        <w:t>—The Final Judgment required AMC to transfer advertising rights to 17 theaters from us to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provider. Pursuant to the MOU, AMC surrendered to us approximately 4.7 million common membership units in respect of such theaters. The 4.7 million common membership units were comprised of (i) approximately 2.9 million common membership units pursuant to the adjustment for divested theaters in the Common Unit Adjustment Agreement and (ii) approximately 1.8 million common membership units valued at $25.0 million to compensate for lost operating income for these theaters during the 10-year term of the Final Judgment.</w:t>
      </w:r>
    </w:p>
    <w:p>
      <w:pPr>
        <w:spacing w:after="0" w:line="50" w:lineRule="exact"/>
        <w:rPr>
          <w:sz w:val="20"/>
          <w:szCs w:val="20"/>
          <w:color w:val="auto"/>
        </w:rPr>
      </w:pPr>
    </w:p>
    <w:p>
      <w:pPr>
        <w:ind w:right="160" w:firstLine="555"/>
        <w:spacing w:after="0" w:line="254" w:lineRule="auto"/>
        <w:rPr>
          <w:sz w:val="20"/>
          <w:szCs w:val="20"/>
          <w:color w:val="auto"/>
        </w:rPr>
      </w:pPr>
      <w:r>
        <w:rPr>
          <w:rFonts w:ascii="Arial" w:cs="Arial" w:eastAsia="Arial" w:hAnsi="Arial"/>
          <w:sz w:val="18"/>
          <w:szCs w:val="18"/>
          <w:b w:val="1"/>
          <w:bCs w:val="1"/>
          <w:i w:val="1"/>
          <w:iCs w:val="1"/>
          <w:color w:val="auto"/>
        </w:rPr>
        <w:t>AMC Mandatory Ownership Divestitures</w:t>
      </w:r>
      <w:r>
        <w:rPr>
          <w:rFonts w:ascii="Arial" w:cs="Arial" w:eastAsia="Arial" w:hAnsi="Arial"/>
          <w:sz w:val="18"/>
          <w:szCs w:val="18"/>
          <w:color w:val="auto"/>
        </w:rPr>
        <w:t>—Pursuant to the Final Judgment, AMC is required to divest the majority of its equity interests in NCM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rPr>
              <w:t>June 29</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17"/>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Q2 2017 to</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Q2 2017 to</w:t>
            </w:r>
          </w:p>
        </w:tc>
        <w:tc>
          <w:tcPr>
            <w:tcW w:w="120" w:type="dxa"/>
            <w:vAlign w:val="bottom"/>
          </w:tcPr>
          <w:p>
            <w:pPr>
              <w:spacing w:after="0"/>
              <w:rPr>
                <w:sz w:val="11"/>
                <w:szCs w:val="1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 2016</w:t>
            </w: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Q2 2016</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20" w:hanging="552"/>
        <w:spacing w:after="0" w:line="257" w:lineRule="auto"/>
        <w:tabs>
          <w:tab w:leader="none" w:pos="5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June 29, 2017, December 29, 2016 and June 30, 2016. As of June 29, 2017, December 29, 2016 and June 30, 2016, the amount available under the our revolving credit facility in the table above, was net of $4.8 million, $1.2 million and $1.2 million, respectively.</w:t>
      </w:r>
    </w:p>
    <w:p>
      <w:pPr>
        <w:spacing w:after="0" w:line="80"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We have generated and used cash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-885190</wp:posOffset>
            </wp:positionV>
            <wp:extent cx="17151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6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33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19"/>
              <w:spacing w:after="0" w:line="133" w:lineRule="exact"/>
              <w:rPr>
                <w:sz w:val="20"/>
                <w:szCs w:val="20"/>
                <w:color w:val="auto"/>
              </w:rPr>
            </w:pPr>
            <w:r>
              <w:rPr>
                <w:rFonts w:ascii="Arial" w:cs="Arial" w:eastAsia="Arial" w:hAnsi="Arial"/>
                <w:sz w:val="14"/>
                <w:szCs w:val="14"/>
                <w:b w:val="1"/>
                <w:bCs w:val="1"/>
                <w:color w:val="auto"/>
              </w:rPr>
              <w:t>June 29,</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r>
      <w:tr>
        <w:trPr>
          <w:trHeight w:val="171"/>
        </w:trPr>
        <w:tc>
          <w:tcPr>
            <w:tcW w:w="3380" w:type="dxa"/>
            <w:vAlign w:val="bottom"/>
            <w:tcBorders>
              <w:bottom w:val="single" w:sz="8" w:color="CFF0FC"/>
            </w:tcBorders>
          </w:tcPr>
          <w:p>
            <w:pPr>
              <w:spacing w:after="0"/>
              <w:rPr>
                <w:sz w:val="14"/>
                <w:szCs w:val="14"/>
                <w:color w:val="auto"/>
              </w:rPr>
            </w:pPr>
          </w:p>
        </w:tc>
        <w:tc>
          <w:tcPr>
            <w:tcW w:w="19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19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84.3</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Investing cash flow</w:t>
            </w:r>
          </w:p>
        </w:tc>
        <w:tc>
          <w:tcPr>
            <w:tcW w:w="21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1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w:t>
            </w:r>
          </w:p>
        </w:tc>
      </w:tr>
    </w:tbl>
    <w:p>
      <w:pPr>
        <w:spacing w:after="0" w:line="198" w:lineRule="exact"/>
        <w:rPr>
          <w:sz w:val="20"/>
          <w:szCs w:val="20"/>
          <w:color w:val="auto"/>
        </w:rPr>
      </w:pPr>
    </w:p>
    <w:p>
      <w:pPr>
        <w:ind w:left="1660" w:right="100" w:hanging="545"/>
        <w:spacing w:after="0" w:line="261"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The $20.9 million increase in cash provided by operating activities for the six months ended June 29, 2017</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June 30, 2016 was due primarily to an increase in the change in accounts receivable of $40.7 million related to higher collections and lower revenue, partially offset by a $18.2 million decrease in net income, as described further above.</w:t>
      </w:r>
    </w:p>
    <w:p>
      <w:pPr>
        <w:spacing w:after="0" w:line="71" w:lineRule="exact"/>
        <w:rPr>
          <w:rFonts w:ascii="Arial" w:cs="Arial" w:eastAsia="Arial" w:hAnsi="Arial"/>
          <w:sz w:val="18"/>
          <w:szCs w:val="18"/>
          <w:color w:val="auto"/>
        </w:rPr>
      </w:pPr>
    </w:p>
    <w:p>
      <w:pPr>
        <w:ind w:left="1660" w:right="140" w:hanging="545"/>
        <w:spacing w:after="0" w:line="314" w:lineRule="auto"/>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The $3.0 million increase in cash provided by investing activities for the six months ended June 29, 2017</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six months ended June 30, 2016 was due primarily to $1.4 million higher proceeds from founding member notes receivable due to timing of the payments and a decrease of approximately $0.8 million in purchases of property, plant and equipment.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left="1660" w:right="20" w:hanging="545"/>
        <w:spacing w:after="0" w:line="261"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$32.8 million increase in cash used in financing activities during the six months ended June 29, 2017</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June 30, 2016 was due primarily to an $19.4 million increase in distributions to founding members and the managing member and an $11.0 million decrease in proceeds from borrowings, net of repayments, under our revolving credit facility.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theater attendance. We are required pursuant to the terms of our operating agreement to distribute our available cash, as defined in the operating agreement, quarterly to our members (the founding members and NCM, Inc.). The available cash distribution to the members of NCM LLC for the six months ended June 29, 2017 was approximately $33.3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29, 2016 and incorporated by reference herein. As of June 29, 2017, there were no significant changes in those critical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62"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29, 2016 and incorporated by reference herein. We do not believe these arrangements are material to our current or future financial condition, results of operations, liquidity, capital resources or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June 29,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theater industry attendance levels. Accordingly, there can be no assurances that seasonal variations will not materially affect our results of operations in the future.</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29" w:name="page30"/>
    <w:bookmarkEnd w:id="29"/>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2014, 2015 and 2016.</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8"/>
                <w:szCs w:val="18"/>
                <w:color w:val="auto"/>
              </w:rPr>
              <w:t>17.8%</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2016</w:t>
            </w:r>
          </w:p>
        </w:tc>
        <w:tc>
          <w:tcPr>
            <w:tcW w:w="88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FF0FC"/>
          </w:tcPr>
          <w:p>
            <w:pPr>
              <w:spacing w:after="0"/>
              <w:rPr>
                <w:sz w:val="19"/>
                <w:szCs w:val="19"/>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June 29, 2017, the only interest rate risk that we are exposed to is related to our $175.0 million revolving credit facility and our $270.0 million term loan. A 100-basis point fluctuation in market interest rates underlying our term loan and revolving credit facility would have the effect of increasing or decreasing our cash interest expense by approximately $2.8 million for an annual period on the $10.0 million revolving credit balance and $270.0 million term loan outstanding as of June 29, 2017. For a discussion of market risks, see Item 7A. “Quantitative and Qualitative Disclosures About Market Risk” contained in our annual report on Form 10-K for the fiscal year ended December 29, 2016 and incorporated by reference herein.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of NCM, Inc., our manager, as appropriate to allow timely decisions regarding required disclosure. As of June 29, 2017, our management evaluated, with the participation of the Chief Executive Officer and Chief Financial Officer, the effectiveness of the Company’s disclosure controls and procedures pursuant to Rules 13a-15(e) and 15d-15(e) of the Exchange</w:t>
      </w:r>
    </w:p>
    <w:p>
      <w:pPr>
        <w:spacing w:after="0" w:line="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Act. Based on that evaluation, the Company’s management concluded that the Company’s disclosure controls and procedures as of June 29, 2017 were effective.</w:t>
      </w:r>
    </w:p>
    <w:p>
      <w:pPr>
        <w:spacing w:after="0" w:line="76" w:lineRule="exact"/>
        <w:rPr>
          <w:sz w:val="20"/>
          <w:szCs w:val="20"/>
          <w:color w:val="auto"/>
        </w:rPr>
      </w:pPr>
    </w:p>
    <w:p>
      <w:pPr>
        <w:ind w:right="38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June 29, 2017 that have materially affected, or are reasonably likely to materially affect, the Company’s internal controls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February 28, 2017 for the fiscal year ended December 29,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44"/>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Pursuant to 18 U.S.C. Section 1350.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32"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9, 2017</w:t>
            </w:r>
          </w:p>
        </w:tc>
        <w:tc>
          <w:tcPr>
            <w:tcW w:w="610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9, 2017</w:t>
            </w:r>
          </w:p>
        </w:tc>
        <w:tc>
          <w:tcPr>
            <w:tcW w:w="6100" w:type="dxa"/>
            <w:vAlign w:val="bottom"/>
          </w:tcPr>
          <w:p>
            <w:pPr>
              <w:spacing w:after="0"/>
              <w:rPr>
                <w:sz w:val="20"/>
                <w:szCs w:val="20"/>
                <w:color w:val="auto"/>
              </w:rPr>
            </w:pPr>
            <w:r>
              <w:rPr>
                <w:rFonts w:ascii="Arial" w:cs="Arial" w:eastAsia="Arial" w:hAnsi="Arial"/>
                <w:sz w:val="18"/>
                <w:szCs w:val="18"/>
                <w:color w:val="auto"/>
              </w:rPr>
              <w:t>/s/ Katherine L. Scherping</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L. Scherping</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225" w:lineRule="exact"/>
        <w:rPr>
          <w:sz w:val="20"/>
          <w:szCs w:val="20"/>
          <w:color w:val="auto"/>
        </w:rPr>
      </w:pPr>
    </w:p>
    <w:p>
      <w:pPr>
        <w:ind w:left="700" w:hanging="17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29, 2017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9, 2017</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7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29, 2017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9, 2017</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lvl w:ilvl="1">
      <w:lvlJc w:val="left"/>
      <w:lvlText w:val="(%2)"/>
      <w:numFmt w:val="decimal"/>
      <w:start w:val="1"/>
    </w:lvl>
  </w:abstractNum>
  <w:abstractNum w:abstractNumId="7">
    <w:nsid w:val="7C83E458"/>
    <w:multiLevelType w:val="hybridMultilevel"/>
    <w:lvl w:ilvl="0">
      <w:lvlJc w:val="left"/>
      <w:lvlText w:val="%1."/>
      <w:numFmt w:val="decimal"/>
      <w:start w:val="7"/>
    </w:lvl>
    <w:lvl w:ilvl="1">
      <w:lvlJc w:val="left"/>
      <w:lvlText w:val="%2"/>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3"/>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2019-12-29T04:44:42Z</dcterms:created>
  <dcterms:modified xsi:type="dcterms:W3CDTF">2019-12-29T04:44:42Z</dcterms:modified>
</cp:coreProperties>
</file>