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line="238"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57"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____________________________________________</w:t>
      </w:r>
    </w:p>
    <w:p>
      <w:pPr>
        <w:spacing w:after="0" w:line="114"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1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27, 2019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001-33296</w:t>
      </w:r>
    </w:p>
    <w:p>
      <w:pPr>
        <w:spacing w:after="0" w:line="76" w:lineRule="exact"/>
        <w:rPr>
          <w:sz w:val="24"/>
          <w:szCs w:val="24"/>
          <w:color w:val="auto"/>
        </w:rPr>
      </w:pPr>
    </w:p>
    <w:p>
      <w:pPr>
        <w:ind w:left="4100"/>
        <w:spacing w:after="0"/>
        <w:rPr>
          <w:sz w:val="20"/>
          <w:szCs w:val="20"/>
          <w:color w:val="auto"/>
        </w:rPr>
      </w:pPr>
      <w:r>
        <w:rPr>
          <w:rFonts w:ascii="Arial" w:cs="Arial" w:eastAsia="Arial" w:hAnsi="Arial"/>
          <w:sz w:val="14"/>
          <w:szCs w:val="14"/>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81280</wp:posOffset>
            </wp:positionV>
            <wp:extent cx="1406525"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6525" cy="27432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NATIONAL CINEMEDIA,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______________________________________________</w:t>
      </w:r>
    </w:p>
    <w:p>
      <w:pPr>
        <w:sectPr>
          <w:pgSz w:w="11900" w:h="16838" w:orient="portrait"/>
          <w:cols w:equalWidth="0" w:num="1">
            <w:col w:w="11380"/>
          </w:cols>
          <w:pgMar w:left="240" w:top="963" w:right="279" w:bottom="1440" w:gutter="0" w:footer="0" w:header="0"/>
        </w:sectPr>
      </w:pPr>
    </w:p>
    <w:p>
      <w:pPr>
        <w:spacing w:after="0" w:line="172" w:lineRule="exact"/>
        <w:rPr>
          <w:sz w:val="24"/>
          <w:szCs w:val="24"/>
          <w:color w:val="auto"/>
        </w:rPr>
      </w:pPr>
    </w:p>
    <w:p>
      <w:pPr>
        <w:ind w:left="23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20-5665602</w:t>
      </w:r>
    </w:p>
    <w:p>
      <w:pPr>
        <w:spacing w:after="0" w:line="82" w:lineRule="exact"/>
        <w:rPr>
          <w:sz w:val="24"/>
          <w:szCs w:val="24"/>
          <w:color w:val="auto"/>
        </w:rPr>
      </w:pPr>
    </w:p>
    <w:p>
      <w:pPr>
        <w:sectPr>
          <w:pgSz w:w="11900" w:h="16838" w:orient="portrait"/>
          <w:cols w:equalWidth="0" w:num="2">
            <w:col w:w="7520" w:space="720"/>
            <w:col w:w="3140"/>
          </w:cols>
          <w:pgMar w:left="240" w:top="963" w:right="279" w:bottom="1440" w:gutter="0" w:footer="0" w:header="0"/>
          <w:type w:val="continuous"/>
        </w:sectPr>
      </w:pPr>
    </w:p>
    <w:p>
      <w:pPr>
        <w:ind w:left="18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7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77" w:lineRule="exact"/>
        <w:rPr>
          <w:sz w:val="24"/>
          <w:szCs w:val="24"/>
          <w:color w:val="auto"/>
        </w:rPr>
      </w:pPr>
    </w:p>
    <w:p>
      <w:pPr>
        <w:sectPr>
          <w:pgSz w:w="11900" w:h="16838" w:orient="portrait"/>
          <w:cols w:equalWidth="0" w:num="2">
            <w:col w:w="7380" w:space="720"/>
            <w:col w:w="3280"/>
          </w:cols>
          <w:pgMar w:left="240" w:top="963" w:right="279" w:bottom="1440" w:gutter="0" w:footer="0" w:header="0"/>
          <w:type w:val="continuous"/>
        </w:sectPr>
      </w:pPr>
    </w:p>
    <w:p>
      <w:pPr>
        <w:ind w:left="1520"/>
        <w:spacing w:after="0"/>
        <w:rPr>
          <w:sz w:val="20"/>
          <w:szCs w:val="20"/>
          <w:color w:val="auto"/>
        </w:rPr>
      </w:pPr>
      <w:r>
        <w:rPr>
          <w:rFonts w:ascii="Arial" w:cs="Arial" w:eastAsia="Arial" w:hAnsi="Arial"/>
          <w:sz w:val="15"/>
          <w:szCs w:val="15"/>
          <w:b w:val="1"/>
          <w:bCs w:val="1"/>
          <w:color w:val="auto"/>
        </w:rPr>
        <w:t>6300 S. Syracuse Way, Suite 300</w:t>
      </w:r>
    </w:p>
    <w:p>
      <w:pPr>
        <w:sectPr>
          <w:pgSz w:w="11900" w:h="16838" w:orient="portrait"/>
          <w:cols w:equalWidth="0" w:num="1">
            <w:col w:w="11380"/>
          </w:cols>
          <w:pgMar w:left="240" w:top="963" w:right="279" w:bottom="1440" w:gutter="0" w:footer="0" w:header="0"/>
          <w:type w:val="continuous"/>
        </w:sectPr>
      </w:pPr>
    </w:p>
    <w:p>
      <w:pPr>
        <w:spacing w:after="0" w:line="309" w:lineRule="exact"/>
        <w:rPr>
          <w:sz w:val="24"/>
          <w:szCs w:val="24"/>
          <w:color w:val="auto"/>
        </w:rPr>
      </w:pPr>
    </w:p>
    <w:p>
      <w:pPr>
        <w:ind w:left="15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(Zip Code)</w:t>
      </w:r>
    </w:p>
    <w:p>
      <w:pPr>
        <w:spacing w:after="0" w:line="139" w:lineRule="exact"/>
        <w:rPr>
          <w:sz w:val="24"/>
          <w:szCs w:val="24"/>
          <w:color w:val="auto"/>
        </w:rPr>
      </w:pPr>
    </w:p>
    <w:p>
      <w:pPr>
        <w:sectPr>
          <w:pgSz w:w="11900" w:h="16838" w:orient="portrait"/>
          <w:cols w:equalWidth="0" w:num="2">
            <w:col w:w="7620" w:space="720"/>
            <w:col w:w="3040"/>
          </w:cols>
          <w:pgMar w:left="240" w:top="963" w:right="279" w:bottom="1440" w:gutter="0" w:footer="0" w:header="0"/>
          <w:type w:val="continuous"/>
        </w:sect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(303) 792-3600</w:t>
      </w:r>
    </w:p>
    <w:p>
      <w:pPr>
        <w:spacing w:after="0" w:line="131"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p>
      <w:pPr>
        <w:ind w:left="600"/>
        <w:spacing w:after="0"/>
        <w:tabs>
          <w:tab w:leader="none" w:pos="5340" w:val="left"/>
          <w:tab w:leader="none" w:pos="7880" w:val="left"/>
        </w:tabs>
        <w:rPr>
          <w:sz w:val="20"/>
          <w:szCs w:val="20"/>
          <w:color w:val="auto"/>
        </w:rPr>
      </w:pPr>
      <w:r>
        <w:rPr>
          <w:rFonts w:ascii="Arial" w:cs="Arial" w:eastAsia="Arial" w:hAnsi="Arial"/>
          <w:sz w:val="18"/>
          <w:szCs w:val="18"/>
          <w:b w:val="1"/>
          <w:bCs w:val="1"/>
          <w:color w:val="auto"/>
        </w:rPr>
        <w:t>Common Stock, par value $0.01 per share</w:t>
      </w:r>
      <w:r>
        <w:rPr>
          <w:sz w:val="20"/>
          <w:szCs w:val="20"/>
          <w:color w:val="auto"/>
        </w:rPr>
        <w:tab/>
      </w:r>
      <w:r>
        <w:rPr>
          <w:rFonts w:ascii="Arial" w:cs="Arial" w:eastAsia="Arial" w:hAnsi="Arial"/>
          <w:sz w:val="18"/>
          <w:szCs w:val="18"/>
          <w:b w:val="1"/>
          <w:bCs w:val="1"/>
          <w:color w:val="auto"/>
        </w:rPr>
        <w:t>NCMI</w:t>
      </w:r>
      <w:r>
        <w:rPr>
          <w:sz w:val="20"/>
          <w:szCs w:val="20"/>
          <w:color w:val="auto"/>
        </w:rPr>
        <w:tab/>
      </w:r>
      <w:r>
        <w:rPr>
          <w:rFonts w:ascii="Arial" w:cs="Arial" w:eastAsia="Arial" w:hAnsi="Arial"/>
          <w:sz w:val="16"/>
          <w:szCs w:val="16"/>
          <w:b w:val="1"/>
          <w:bCs w:val="1"/>
          <w:color w:val="auto"/>
        </w:rPr>
        <w:t>The Nasdaq Stock Market LLC</w:t>
      </w:r>
    </w:p>
    <w:p>
      <w:pPr>
        <w:sectPr>
          <w:pgSz w:w="11900" w:h="16838" w:orient="portrait"/>
          <w:cols w:equalWidth="0" w:num="1">
            <w:col w:w="11380"/>
          </w:cols>
          <w:pgMar w:left="240" w:top="963" w:right="279" w:bottom="1440" w:gutter="0" w:footer="0" w:header="0"/>
          <w:type w:val="continuous"/>
        </w:sectPr>
      </w:pPr>
    </w:p>
    <w:p>
      <w:pPr>
        <w:spacing w:after="0" w:line="59" w:lineRule="exact"/>
        <w:rPr>
          <w:sz w:val="24"/>
          <w:szCs w:val="24"/>
          <w:color w:val="auto"/>
        </w:rPr>
      </w:pPr>
    </w:p>
    <w:p>
      <w:pPr>
        <w:ind w:left="162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(Trading symbol)</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48" w:lineRule="exact"/>
        <w:rPr>
          <w:sz w:val="24"/>
          <w:szCs w:val="24"/>
          <w:color w:val="auto"/>
        </w:rPr>
      </w:pPr>
    </w:p>
    <w:p>
      <w:pPr>
        <w:sectPr>
          <w:pgSz w:w="11900" w:h="16838" w:orient="portrait"/>
          <w:cols w:equalWidth="0" w:num="3">
            <w:col w:w="4360" w:space="720"/>
            <w:col w:w="1940" w:space="720"/>
            <w:col w:w="3640"/>
          </w:cols>
          <w:pgMar w:left="240" w:top="963" w:right="279" w:bottom="1440" w:gutter="0" w:footer="0" w:header="0"/>
          <w:type w:val="continuous"/>
        </w:sectPr>
      </w:pPr>
    </w:p>
    <w:p>
      <w:pPr>
        <w:ind w:left="4060"/>
        <w:spacing w:after="0"/>
        <w:rPr>
          <w:sz w:val="20"/>
          <w:szCs w:val="20"/>
          <w:color w:val="auto"/>
        </w:rPr>
      </w:pPr>
      <w:r>
        <w:rPr>
          <w:rFonts w:ascii="Arial" w:cs="Arial" w:eastAsia="Arial" w:hAnsi="Arial"/>
          <w:sz w:val="12"/>
          <w:szCs w:val="12"/>
          <w:color w:val="auto"/>
        </w:rPr>
        <w:t>______________________________________________</w:t>
      </w:r>
    </w:p>
    <w:p>
      <w:pPr>
        <w:sectPr>
          <w:pgSz w:w="11900" w:h="16838" w:orient="portrait"/>
          <w:cols w:equalWidth="0" w:num="1">
            <w:col w:w="11380"/>
          </w:cols>
          <w:pgMar w:left="240" w:top="963" w:right="279" w:bottom="1440" w:gutter="0" w:footer="0" w:header="0"/>
          <w:type w:val="continuous"/>
        </w:sectPr>
      </w:pPr>
    </w:p>
    <w:p>
      <w:pPr>
        <w:spacing w:after="0" w:line="38" w:lineRule="exact"/>
        <w:rPr>
          <w:sz w:val="24"/>
          <w:szCs w:val="24"/>
          <w:color w:val="auto"/>
        </w:rPr>
      </w:pPr>
    </w:p>
    <w:p>
      <w:pPr>
        <w:ind w:right="440"/>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6" w:lineRule="exact"/>
        <w:rPr>
          <w:sz w:val="24"/>
          <w:szCs w:val="24"/>
          <w:color w:val="auto"/>
        </w:rPr>
      </w:pPr>
    </w:p>
    <w:p>
      <w:pPr>
        <w:ind w:right="50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84"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36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620"/>
              <w:spacing w:after="0"/>
              <w:rPr>
                <w:sz w:val="20"/>
                <w:szCs w:val="20"/>
                <w:color w:val="auto"/>
              </w:rPr>
            </w:pPr>
            <w:r>
              <w:rPr>
                <w:rFonts w:ascii="Arial" w:cs="Arial" w:eastAsia="Arial" w:hAnsi="Arial"/>
                <w:sz w:val="18"/>
                <w:szCs w:val="18"/>
                <w:color w:val="auto"/>
              </w:rPr>
              <w:t>x</w:t>
            </w:r>
          </w:p>
        </w:tc>
      </w:tr>
      <w:tr>
        <w:trPr>
          <w:trHeight w:val="419"/>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360"/>
              <w:spacing w:after="0"/>
              <w:rPr>
                <w:sz w:val="20"/>
                <w:szCs w:val="20"/>
                <w:color w:val="auto"/>
              </w:rPr>
            </w:pPr>
            <w:r>
              <w:rPr>
                <w:rFonts w:ascii="Arial" w:cs="Arial" w:eastAsia="Arial" w:hAnsi="Arial"/>
                <w:sz w:val="18"/>
                <w:szCs w:val="18"/>
                <w:color w:val="auto"/>
              </w:rPr>
              <w:t>Smaller reporting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19"/>
        </w:trPr>
        <w:tc>
          <w:tcPr>
            <w:tcW w:w="2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940" w:type="dxa"/>
            <w:vAlign w:val="bottom"/>
          </w:tcPr>
          <w:p>
            <w:pPr>
              <w:ind w:left="2360"/>
              <w:spacing w:after="0"/>
              <w:rPr>
                <w:sz w:val="20"/>
                <w:szCs w:val="20"/>
                <w:color w:val="auto"/>
              </w:rPr>
            </w:pPr>
            <w:r>
              <w:rPr>
                <w:rFonts w:ascii="Arial" w:cs="Arial" w:eastAsia="Arial" w:hAnsi="Arial"/>
                <w:sz w:val="18"/>
                <w:szCs w:val="18"/>
                <w:color w:val="auto"/>
              </w:rPr>
              <w:t>Emerging growth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10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54" w:lineRule="exact"/>
        <w:rPr>
          <w:sz w:val="24"/>
          <w:szCs w:val="24"/>
          <w:color w:val="auto"/>
        </w:rPr>
      </w:pPr>
    </w:p>
    <w:p>
      <w:pPr>
        <w:ind w:right="880"/>
        <w:spacing w:after="0" w:line="277" w:lineRule="auto"/>
        <w:rPr>
          <w:sz w:val="20"/>
          <w:szCs w:val="20"/>
          <w:color w:val="auto"/>
        </w:rPr>
      </w:pPr>
      <w:r>
        <w:rPr>
          <w:rFonts w:ascii="Arial" w:cs="Arial" w:eastAsia="Arial" w:hAnsi="Arial"/>
          <w:sz w:val="18"/>
          <w:szCs w:val="18"/>
          <w:color w:val="auto"/>
        </w:rPr>
        <w:t>As of July 31, 2019, 78,973,707 shares of the registrant’s common stock (including unvested restricted shares), par value of $0.01 per share, were outstanding.</w:t>
      </w:r>
    </w:p>
    <w:p>
      <w:pPr>
        <w:sectPr>
          <w:pgSz w:w="11900" w:h="16838" w:orient="portrait"/>
          <w:cols w:equalWidth="0" w:num="1">
            <w:col w:w="11380"/>
          </w:cols>
          <w:pgMar w:left="240" w:top="963" w:right="27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Page</w:t>
            </w:r>
          </w:p>
        </w:tc>
      </w:tr>
      <w:tr>
        <w:trPr>
          <w:trHeight w:val="520"/>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3180" w:type="dxa"/>
            <w:vAlign w:val="bottom"/>
            <w:gridSpan w:val="6"/>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r>
        <w:trPr>
          <w:trHeight w:val="426"/>
        </w:trPr>
        <w:tc>
          <w:tcPr>
            <w:tcW w:w="1260" w:type="dxa"/>
            <w:vAlign w:val="bottom"/>
            <w:gridSpan w:val="2"/>
          </w:tcPr>
          <w:p>
            <w:pPr>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15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6400" w:type="dxa"/>
            <w:vAlign w:val="bottom"/>
            <w:gridSpan w:val="14"/>
          </w:tcPr>
          <w:p>
            <w:pPr>
              <w:spacing w:after="0"/>
              <w:rPr>
                <w:sz w:val="24"/>
                <w:szCs w:val="24"/>
                <w:color w:val="auto"/>
              </w:rPr>
            </w:pPr>
          </w:p>
        </w:tc>
        <w:tc>
          <w:tcPr>
            <w:tcW w:w="2200" w:type="dxa"/>
            <w:vAlign w:val="bottom"/>
            <w:gridSpan w:val="3"/>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50"/>
        </w:trPr>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w:t>
              </w:r>
            </w:hyperlink>
          </w:p>
        </w:tc>
        <w:tc>
          <w:tcPr>
            <w:tcW w:w="2200" w:type="dxa"/>
            <w:vAlign w:val="bottom"/>
            <w:gridSpan w:val="3"/>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Statements of Income and Comprehensive Income</w:t>
              </w:r>
            </w:hyperlink>
          </w:p>
        </w:tc>
        <w:tc>
          <w:tcPr>
            <w:tcW w:w="2200" w:type="dxa"/>
            <w:vAlign w:val="bottom"/>
            <w:gridSpan w:val="3"/>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250"/>
        </w:trPr>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60" w:type="dxa"/>
            <w:vAlign w:val="bottom"/>
            <w:tcBorders>
              <w:top w:val="single" w:sz="8" w:color="0000EE"/>
            </w:tcBorders>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Cash Flows</w:t>
              </w:r>
            </w:hyperlink>
          </w:p>
        </w:tc>
        <w:tc>
          <w:tcPr>
            <w:tcW w:w="1400" w:type="dxa"/>
            <w:vAlign w:val="bottom"/>
          </w:tcPr>
          <w:p>
            <w:pPr>
              <w:spacing w:after="0"/>
              <w:rPr>
                <w:sz w:val="21"/>
                <w:szCs w:val="21"/>
                <w:color w:val="auto"/>
              </w:rPr>
            </w:pPr>
          </w:p>
        </w:tc>
        <w:tc>
          <w:tcPr>
            <w:tcW w:w="2200" w:type="dxa"/>
            <w:vAlign w:val="bottom"/>
            <w:gridSpan w:val="3"/>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6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Unaudited Condensed Consolidated Statements of Equity/(Deficit)</w:t>
              </w:r>
            </w:hyperlink>
          </w:p>
        </w:tc>
        <w:tc>
          <w:tcPr>
            <w:tcW w:w="2200" w:type="dxa"/>
            <w:vAlign w:val="bottom"/>
            <w:gridSpan w:val="3"/>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5</w:t>
              </w:r>
            </w:hyperlink>
          </w:p>
        </w:tc>
      </w:tr>
      <w:tr>
        <w:trPr>
          <w:trHeight w:val="250"/>
        </w:trPr>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0" w:type="dxa"/>
            <w:vAlign w:val="bottom"/>
            <w:tcBorders>
              <w:top w:val="single" w:sz="8" w:color="0000EE"/>
            </w:tcBorders>
            <w:gridSpan w:val="16"/>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Condensed Consolidated Financial Statements</w:t>
              </w:r>
            </w:hyperlink>
          </w:p>
        </w:tc>
        <w:tc>
          <w:tcPr>
            <w:tcW w:w="2860" w:type="dxa"/>
            <w:vAlign w:val="bottom"/>
            <w:gridSpan w:val="3"/>
          </w:tcPr>
          <w:p>
            <w:pPr>
              <w:spacing w:after="0"/>
              <w:rPr>
                <w:sz w:val="21"/>
                <w:szCs w:val="21"/>
                <w:color w:val="auto"/>
              </w:rPr>
            </w:pPr>
          </w:p>
        </w:tc>
        <w:tc>
          <w:tcPr>
            <w:tcW w:w="2200" w:type="dxa"/>
            <w:vAlign w:val="bottom"/>
            <w:gridSpan w:val="3"/>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r>
      <w:tr>
        <w:trPr>
          <w:trHeight w:val="250"/>
        </w:trPr>
        <w:tc>
          <w:tcPr>
            <w:tcW w:w="1260" w:type="dxa"/>
            <w:vAlign w:val="bottom"/>
            <w:gridSpan w:val="2"/>
          </w:tcPr>
          <w:p>
            <w:pPr>
              <w:spacing w:after="0"/>
              <w:rPr>
                <w:rFonts w:ascii="Arial" w:cs="Arial" w:eastAsia="Arial" w:hAnsi="Arial"/>
                <w:sz w:val="18"/>
                <w:szCs w:val="18"/>
                <w:color w:val="auto"/>
              </w:rPr>
            </w:pPr>
            <w:hyperlink w:anchor="page24">
              <w:r>
                <w:rPr>
                  <w:rFonts w:ascii="Arial" w:cs="Arial" w:eastAsia="Arial" w:hAnsi="Arial"/>
                  <w:sz w:val="18"/>
                  <w:szCs w:val="18"/>
                  <w:color w:val="auto"/>
                </w:rPr>
                <w:t>Item 2.</w:t>
              </w:r>
            </w:hyperlink>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Management’s Discussion and Analysis of Financial Condition and Results of Operations</w:t>
              </w:r>
            </w:hyperlink>
          </w:p>
        </w:tc>
        <w:tc>
          <w:tcPr>
            <w:tcW w:w="1440" w:type="dxa"/>
            <w:vAlign w:val="bottom"/>
            <w:gridSpan w:val="2"/>
          </w:tcPr>
          <w:p>
            <w:pPr>
              <w:spacing w:after="0"/>
              <w:rPr>
                <w:sz w:val="21"/>
                <w:szCs w:val="21"/>
                <w:color w:val="auto"/>
              </w:rPr>
            </w:pPr>
          </w:p>
        </w:tc>
        <w:tc>
          <w:tcPr>
            <w:tcW w:w="2200" w:type="dxa"/>
            <w:vAlign w:val="bottom"/>
            <w:gridSpan w:val="3"/>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22</w:t>
              </w:r>
            </w:hyperlink>
          </w:p>
        </w:tc>
      </w:tr>
      <w:tr>
        <w:trPr>
          <w:trHeight w:val="250"/>
        </w:trPr>
        <w:tc>
          <w:tcPr>
            <w:tcW w:w="1260" w:type="dxa"/>
            <w:vAlign w:val="bottom"/>
            <w:gridSpan w:val="2"/>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3.</w:t>
              </w:r>
            </w:hyperlink>
          </w:p>
        </w:tc>
        <w:tc>
          <w:tcPr>
            <w:tcW w:w="430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Quantitative and Qualitative Disclosures about Market Risk</w:t>
              </w:r>
            </w:hyperlink>
          </w:p>
        </w:tc>
        <w:tc>
          <w:tcPr>
            <w:tcW w:w="3600" w:type="dxa"/>
            <w:vAlign w:val="bottom"/>
            <w:gridSpan w:val="8"/>
          </w:tcPr>
          <w:p>
            <w:pPr>
              <w:spacing w:after="0"/>
              <w:rPr>
                <w:sz w:val="21"/>
                <w:szCs w:val="21"/>
                <w:color w:val="auto"/>
              </w:rPr>
            </w:pPr>
          </w:p>
        </w:tc>
        <w:tc>
          <w:tcPr>
            <w:tcW w:w="2200" w:type="dxa"/>
            <w:vAlign w:val="bottom"/>
            <w:gridSpan w:val="3"/>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r>
      <w:tr>
        <w:trPr>
          <w:trHeight w:val="250"/>
        </w:trPr>
        <w:tc>
          <w:tcPr>
            <w:tcW w:w="1260" w:type="dxa"/>
            <w:vAlign w:val="bottom"/>
            <w:gridSpan w:val="2"/>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4.</w:t>
              </w:r>
            </w:hyperlink>
          </w:p>
        </w:tc>
        <w:tc>
          <w:tcPr>
            <w:tcW w:w="790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2200" w:type="dxa"/>
            <w:vAlign w:val="bottom"/>
            <w:gridSpan w:val="3"/>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r>
      <w:tr>
        <w:trPr>
          <w:trHeight w:val="520"/>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940" w:type="dxa"/>
            <w:vAlign w:val="bottom"/>
            <w:gridSpan w:val="11"/>
          </w:tcPr>
          <w:p>
            <w:pPr>
              <w:jc w:val="center"/>
              <w:ind w:right="3020"/>
              <w:spacing w:after="0"/>
              <w:rPr>
                <w:rFonts w:ascii="Arial" w:cs="Arial" w:eastAsia="Arial" w:hAnsi="Arial"/>
                <w:sz w:val="18"/>
                <w:szCs w:val="18"/>
                <w:b w:val="1"/>
                <w:bCs w:val="1"/>
                <w:color w:val="0000EE"/>
                <w:w w:val="99"/>
              </w:rPr>
            </w:pPr>
            <w:hyperlink w:anchor="page36">
              <w:r>
                <w:rPr>
                  <w:rFonts w:ascii="Arial" w:cs="Arial" w:eastAsia="Arial" w:hAnsi="Arial"/>
                  <w:sz w:val="18"/>
                  <w:szCs w:val="18"/>
                  <w:b w:val="1"/>
                  <w:bCs w:val="1"/>
                  <w:color w:val="0000EE"/>
                  <w:w w:val="99"/>
                </w:rPr>
                <w:t>PART II</w:t>
              </w:r>
            </w:hyperlink>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520"/>
        </w:trPr>
        <w:tc>
          <w:tcPr>
            <w:tcW w:w="1260" w:type="dxa"/>
            <w:vAlign w:val="bottom"/>
            <w:gridSpan w:val="2"/>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1.</w:t>
              </w:r>
            </w:hyperlink>
          </w:p>
        </w:tc>
        <w:tc>
          <w:tcPr>
            <w:tcW w:w="4100" w:type="dxa"/>
            <w:vAlign w:val="bottom"/>
            <w:gridSpan w:val="1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640" w:type="dxa"/>
            <w:vAlign w:val="bottom"/>
            <w:tcBorders>
              <w:top w:val="single" w:sz="8" w:color="0000EE"/>
            </w:tcBorders>
            <w:gridSpan w:val="5"/>
          </w:tcPr>
          <w:p>
            <w:pPr>
              <w:spacing w:after="0"/>
              <w:rPr>
                <w:sz w:val="24"/>
                <w:szCs w:val="24"/>
                <w:color w:val="auto"/>
              </w:rPr>
            </w:pPr>
          </w:p>
        </w:tc>
        <w:tc>
          <w:tcPr>
            <w:tcW w:w="3160" w:type="dxa"/>
            <w:vAlign w:val="bottom"/>
            <w:gridSpan w:val="5"/>
          </w:tcPr>
          <w:p>
            <w:pPr>
              <w:spacing w:after="0"/>
              <w:rPr>
                <w:sz w:val="24"/>
                <w:szCs w:val="24"/>
                <w:color w:val="auto"/>
              </w:rPr>
            </w:pPr>
          </w:p>
        </w:tc>
        <w:tc>
          <w:tcPr>
            <w:tcW w:w="2200" w:type="dxa"/>
            <w:vAlign w:val="bottom"/>
            <w:gridSpan w:val="3"/>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tc>
      </w:tr>
      <w:tr>
        <w:trPr>
          <w:trHeight w:val="250"/>
        </w:trPr>
        <w:tc>
          <w:tcPr>
            <w:tcW w:w="1260" w:type="dxa"/>
            <w:vAlign w:val="bottom"/>
            <w:gridSpan w:val="2"/>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1A.</w:t>
              </w:r>
            </w:hyperlink>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1"/>
                <w:szCs w:val="21"/>
                <w:color w:val="auto"/>
              </w:rPr>
            </w:pPr>
          </w:p>
        </w:tc>
        <w:tc>
          <w:tcPr>
            <w:tcW w:w="6580" w:type="dxa"/>
            <w:vAlign w:val="bottom"/>
            <w:gridSpan w:val="15"/>
          </w:tcPr>
          <w:p>
            <w:pPr>
              <w:spacing w:after="0"/>
              <w:rPr>
                <w:sz w:val="21"/>
                <w:szCs w:val="21"/>
                <w:color w:val="auto"/>
              </w:rPr>
            </w:pPr>
          </w:p>
        </w:tc>
        <w:tc>
          <w:tcPr>
            <w:tcW w:w="2200" w:type="dxa"/>
            <w:vAlign w:val="bottom"/>
            <w:gridSpan w:val="3"/>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tc>
      </w:tr>
      <w:tr>
        <w:trPr>
          <w:trHeight w:val="250"/>
        </w:trPr>
        <w:tc>
          <w:tcPr>
            <w:tcW w:w="1260" w:type="dxa"/>
            <w:vAlign w:val="bottom"/>
            <w:gridSpan w:val="2"/>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2.</w:t>
              </w:r>
            </w:hyperlink>
          </w:p>
        </w:tc>
        <w:tc>
          <w:tcPr>
            <w:tcW w:w="43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Unregistered Sales of Equity Securities and Use of Proceeds</w:t>
              </w:r>
            </w:hyperlink>
          </w:p>
        </w:tc>
        <w:tc>
          <w:tcPr>
            <w:tcW w:w="3560" w:type="dxa"/>
            <w:vAlign w:val="bottom"/>
            <w:gridSpan w:val="7"/>
          </w:tcPr>
          <w:p>
            <w:pPr>
              <w:spacing w:after="0"/>
              <w:rPr>
                <w:sz w:val="21"/>
                <w:szCs w:val="21"/>
                <w:color w:val="auto"/>
              </w:rPr>
            </w:pPr>
          </w:p>
        </w:tc>
        <w:tc>
          <w:tcPr>
            <w:tcW w:w="2200" w:type="dxa"/>
            <w:vAlign w:val="bottom"/>
            <w:gridSpan w:val="3"/>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tc>
      </w:tr>
      <w:tr>
        <w:trPr>
          <w:trHeight w:val="250"/>
        </w:trPr>
        <w:tc>
          <w:tcPr>
            <w:tcW w:w="1260" w:type="dxa"/>
            <w:vAlign w:val="bottom"/>
            <w:gridSpan w:val="2"/>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3.</w:t>
              </w:r>
            </w:hyperlink>
          </w:p>
        </w:tc>
        <w:tc>
          <w:tcPr>
            <w:tcW w:w="23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Defaults Upon Senior Securities</w:t>
              </w:r>
            </w:hyperlink>
          </w:p>
        </w:tc>
        <w:tc>
          <w:tcPr>
            <w:tcW w:w="5580" w:type="dxa"/>
            <w:vAlign w:val="bottom"/>
            <w:gridSpan w:val="12"/>
          </w:tcPr>
          <w:p>
            <w:pPr>
              <w:spacing w:after="0"/>
              <w:rPr>
                <w:sz w:val="21"/>
                <w:szCs w:val="21"/>
                <w:color w:val="auto"/>
              </w:rPr>
            </w:pPr>
          </w:p>
        </w:tc>
        <w:tc>
          <w:tcPr>
            <w:tcW w:w="2200" w:type="dxa"/>
            <w:vAlign w:val="bottom"/>
            <w:gridSpan w:val="3"/>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tc>
      </w:tr>
      <w:tr>
        <w:trPr>
          <w:trHeight w:val="250"/>
        </w:trPr>
        <w:tc>
          <w:tcPr>
            <w:tcW w:w="1260" w:type="dxa"/>
            <w:vAlign w:val="bottom"/>
            <w:gridSpan w:val="2"/>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4.</w:t>
              </w:r>
            </w:hyperlink>
          </w:p>
        </w:tc>
        <w:tc>
          <w:tcPr>
            <w:tcW w:w="790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2200" w:type="dxa"/>
            <w:vAlign w:val="bottom"/>
            <w:gridSpan w:val="3"/>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tc>
      </w:tr>
      <w:tr>
        <w:trPr>
          <w:trHeight w:val="250"/>
        </w:trPr>
        <w:tc>
          <w:tcPr>
            <w:tcW w:w="1260" w:type="dxa"/>
            <w:vAlign w:val="bottom"/>
            <w:gridSpan w:val="2"/>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5.</w:t>
              </w:r>
            </w:hyperlink>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6140" w:type="dxa"/>
            <w:vAlign w:val="bottom"/>
            <w:gridSpan w:val="13"/>
          </w:tcPr>
          <w:p>
            <w:pPr>
              <w:spacing w:after="0"/>
              <w:rPr>
                <w:sz w:val="21"/>
                <w:szCs w:val="21"/>
                <w:color w:val="auto"/>
              </w:rPr>
            </w:pPr>
          </w:p>
        </w:tc>
        <w:tc>
          <w:tcPr>
            <w:tcW w:w="2200" w:type="dxa"/>
            <w:vAlign w:val="bottom"/>
            <w:gridSpan w:val="3"/>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tc>
      </w:tr>
      <w:tr>
        <w:trPr>
          <w:trHeight w:val="250"/>
        </w:trPr>
        <w:tc>
          <w:tcPr>
            <w:tcW w:w="1260" w:type="dxa"/>
            <w:vAlign w:val="bottom"/>
            <w:gridSpan w:val="2"/>
          </w:tcPr>
          <w:p>
            <w:pPr>
              <w:spacing w:after="0"/>
              <w:rPr>
                <w:rFonts w:ascii="Arial" w:cs="Arial" w:eastAsia="Arial" w:hAnsi="Arial"/>
                <w:sz w:val="18"/>
                <w:szCs w:val="18"/>
                <w:color w:val="auto"/>
              </w:rPr>
            </w:pPr>
            <w:hyperlink w:anchor="page38">
              <w:r>
                <w:rPr>
                  <w:rFonts w:ascii="Arial" w:cs="Arial" w:eastAsia="Arial" w:hAnsi="Arial"/>
                  <w:sz w:val="18"/>
                  <w:szCs w:val="18"/>
                  <w:color w:val="auto"/>
                </w:rPr>
                <w:t>Item 6.</w:t>
              </w:r>
            </w:hyperlink>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6600" w:type="dxa"/>
            <w:vAlign w:val="bottom"/>
            <w:gridSpan w:val="16"/>
          </w:tcPr>
          <w:p>
            <w:pPr>
              <w:spacing w:after="0"/>
              <w:rPr>
                <w:sz w:val="21"/>
                <w:szCs w:val="21"/>
                <w:color w:val="auto"/>
              </w:rPr>
            </w:pPr>
          </w:p>
        </w:tc>
        <w:tc>
          <w:tcPr>
            <w:tcW w:w="2200" w:type="dxa"/>
            <w:vAlign w:val="bottom"/>
            <w:gridSpan w:val="3"/>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35</w:t>
              </w:r>
            </w:hyperlink>
          </w:p>
        </w:tc>
      </w:tr>
      <w:tr>
        <w:trPr>
          <w:trHeight w:val="520"/>
        </w:trPr>
        <w:tc>
          <w:tcPr>
            <w:tcW w:w="760" w:type="dxa"/>
            <w:vAlign w:val="bottom"/>
            <w:tcBorders>
              <w:bottom w:val="single" w:sz="8" w:color="0000EE"/>
            </w:tcBorders>
          </w:tcPr>
          <w:p>
            <w:pPr>
              <w:spacing w:after="0"/>
              <w:rPr>
                <w:rFonts w:ascii="Arial" w:cs="Arial" w:eastAsia="Arial" w:hAnsi="Arial"/>
                <w:sz w:val="18"/>
                <w:szCs w:val="18"/>
                <w:color w:val="0000EE"/>
                <w:w w:val="85"/>
              </w:rPr>
            </w:pPr>
            <w:hyperlink w:anchor="page39">
              <w:r>
                <w:rPr>
                  <w:rFonts w:ascii="Arial" w:cs="Arial" w:eastAsia="Arial" w:hAnsi="Arial"/>
                  <w:sz w:val="18"/>
                  <w:szCs w:val="18"/>
                  <w:color w:val="0000EE"/>
                  <w:w w:val="85"/>
                </w:rPr>
                <w:t>Signatures</w:t>
              </w:r>
            </w:hyperlink>
          </w:p>
        </w:tc>
        <w:tc>
          <w:tcPr>
            <w:tcW w:w="5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0" w:type="dxa"/>
            <w:vAlign w:val="bottom"/>
            <w:gridSpan w:val="3"/>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36</w:t>
              </w:r>
            </w:hyperlink>
          </w:p>
        </w:tc>
      </w:tr>
    </w:tbl>
    <w:p>
      <w:pPr>
        <w:sectPr>
          <w:pgSz w:w="11900" w:h="16838" w:orient="portrait"/>
          <w:cols w:equalWidth="0" w:num="1">
            <w:col w:w="11360"/>
          </w:cols>
          <w:pgMar w:left="280" w:top="36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27, 2019</w:t>
            </w:r>
          </w:p>
        </w:tc>
        <w:tc>
          <w:tcPr>
            <w:tcW w:w="180" w:type="dxa"/>
            <w:vAlign w:val="bottom"/>
          </w:tcPr>
          <w:p>
            <w:pPr>
              <w:spacing w:after="0"/>
              <w:rPr>
                <w:sz w:val="16"/>
                <w:szCs w:val="16"/>
                <w:color w:val="auto"/>
              </w:rPr>
            </w:pPr>
          </w:p>
        </w:tc>
        <w:tc>
          <w:tcPr>
            <w:tcW w:w="1500" w:type="dxa"/>
            <w:vAlign w:val="bottom"/>
          </w:tcPr>
          <w:p>
            <w:pPr>
              <w:jc w:val="right"/>
              <w:ind w:right="188"/>
              <w:spacing w:after="0"/>
              <w:rPr>
                <w:sz w:val="20"/>
                <w:szCs w:val="20"/>
                <w:color w:val="auto"/>
              </w:rPr>
            </w:pPr>
            <w:r>
              <w:rPr>
                <w:rFonts w:ascii="Arial" w:cs="Arial" w:eastAsia="Arial" w:hAnsi="Arial"/>
                <w:sz w:val="14"/>
                <w:szCs w:val="14"/>
                <w:b w:val="1"/>
                <w:bCs w:val="1"/>
                <w:color w:val="auto"/>
                <w:w w:val="96"/>
              </w:rPr>
              <w:t>December 27, 2018</w:t>
            </w:r>
          </w:p>
        </w:tc>
        <w:tc>
          <w:tcPr>
            <w:tcW w:w="0" w:type="dxa"/>
            <w:vAlign w:val="bottom"/>
          </w:tcPr>
          <w:p>
            <w:pPr>
              <w:spacing w:after="0"/>
              <w:rPr>
                <w:sz w:val="1"/>
                <w:szCs w:val="1"/>
                <w:color w:val="auto"/>
              </w:rPr>
            </w:pPr>
          </w:p>
        </w:tc>
      </w:tr>
      <w:tr>
        <w:trPr>
          <w:trHeight w:val="270"/>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ASSETS</w:t>
            </w:r>
          </w:p>
        </w:tc>
        <w:tc>
          <w:tcPr>
            <w:tcW w:w="26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5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7900" w:type="dxa"/>
            <w:vAlign w:val="bottom"/>
          </w:tcPr>
          <w:p>
            <w:pPr>
              <w:ind w:left="40"/>
              <w:spacing w:after="0"/>
              <w:rPr>
                <w:sz w:val="20"/>
                <w:szCs w:val="20"/>
                <w:color w:val="auto"/>
              </w:rPr>
            </w:pPr>
            <w:r>
              <w:rPr>
                <w:rFonts w:ascii="Arial" w:cs="Arial" w:eastAsia="Arial" w:hAnsi="Arial"/>
                <w:sz w:val="13"/>
                <w:szCs w:val="13"/>
                <w:color w:val="auto"/>
              </w:rPr>
              <w:t>CURRENT ASSETS:</w:t>
            </w: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9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264"/>
        </w:trPr>
        <w:tc>
          <w:tcPr>
            <w:tcW w:w="7900" w:type="dxa"/>
            <w:vAlign w:val="bottom"/>
          </w:tcPr>
          <w:p>
            <w:pPr>
              <w:ind w:left="500"/>
              <w:spacing w:after="0"/>
              <w:rPr>
                <w:sz w:val="20"/>
                <w:szCs w:val="20"/>
                <w:color w:val="auto"/>
              </w:rPr>
            </w:pPr>
            <w:r>
              <w:rPr>
                <w:rFonts w:ascii="Arial" w:cs="Arial" w:eastAsia="Arial" w:hAnsi="Arial"/>
                <w:sz w:val="13"/>
                <w:szCs w:val="13"/>
                <w:color w:val="auto"/>
              </w:rPr>
              <w:t>Short-term marketable securities</w:t>
            </w:r>
          </w:p>
        </w:tc>
        <w:tc>
          <w:tcPr>
            <w:tcW w:w="2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76"/>
        </w:trPr>
        <w:tc>
          <w:tcPr>
            <w:tcW w:w="79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Receivables, net of allowance of $6.0 and $6.0, respectively</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149.9</w:t>
            </w:r>
          </w:p>
        </w:tc>
        <w:tc>
          <w:tcPr>
            <w:tcW w:w="0" w:type="dxa"/>
            <w:vAlign w:val="bottom"/>
          </w:tcPr>
          <w:p>
            <w:pPr>
              <w:spacing w:after="0"/>
              <w:rPr>
                <w:sz w:val="1"/>
                <w:szCs w:val="1"/>
                <w:color w:val="auto"/>
              </w:rPr>
            </w:pPr>
          </w:p>
        </w:tc>
      </w:tr>
      <w:tr>
        <w:trPr>
          <w:trHeight w:val="264"/>
        </w:trPr>
        <w:tc>
          <w:tcPr>
            <w:tcW w:w="7900" w:type="dxa"/>
            <w:vAlign w:val="bottom"/>
          </w:tcPr>
          <w:p>
            <w:pPr>
              <w:ind w:left="500"/>
              <w:spacing w:after="0"/>
              <w:rPr>
                <w:sz w:val="20"/>
                <w:szCs w:val="20"/>
                <w:color w:val="auto"/>
              </w:rPr>
            </w:pPr>
            <w:r>
              <w:rPr>
                <w:rFonts w:ascii="Arial" w:cs="Arial" w:eastAsia="Arial" w:hAnsi="Arial"/>
                <w:sz w:val="13"/>
                <w:szCs w:val="13"/>
                <w:color w:val="auto"/>
              </w:rPr>
              <w:t>Income tax receivable</w:t>
            </w:r>
          </w:p>
        </w:tc>
        <w:tc>
          <w:tcPr>
            <w:tcW w:w="2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6"/>
        </w:trPr>
        <w:tc>
          <w:tcPr>
            <w:tcW w:w="79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Amounts due from founding members, net</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8"/>
        </w:trPr>
        <w:tc>
          <w:tcPr>
            <w:tcW w:w="7900" w:type="dxa"/>
            <w:vAlign w:val="bottom"/>
          </w:tcPr>
          <w:p>
            <w:pPr>
              <w:ind w:left="500"/>
              <w:spacing w:after="0" w:line="148" w:lineRule="exact"/>
              <w:rPr>
                <w:sz w:val="20"/>
                <w:szCs w:val="20"/>
                <w:color w:val="auto"/>
              </w:rPr>
            </w:pPr>
            <w:r>
              <w:rPr>
                <w:rFonts w:ascii="Arial" w:cs="Arial" w:eastAsia="Arial" w:hAnsi="Arial"/>
                <w:sz w:val="13"/>
                <w:szCs w:val="13"/>
                <w:color w:val="auto"/>
              </w:rPr>
              <w:t>Current portion of notes receivable - founding members (including receivables from related parties</w:t>
            </w:r>
          </w:p>
        </w:tc>
        <w:tc>
          <w:tcPr>
            <w:tcW w:w="260" w:type="dxa"/>
            <w:vAlign w:val="bottom"/>
          </w:tcPr>
          <w:p>
            <w:pPr>
              <w:spacing w:after="0"/>
              <w:rPr>
                <w:sz w:val="12"/>
                <w:szCs w:val="12"/>
                <w:color w:val="auto"/>
              </w:rPr>
            </w:pPr>
          </w:p>
        </w:tc>
        <w:tc>
          <w:tcPr>
            <w:tcW w:w="1460" w:type="dxa"/>
            <w:vAlign w:val="bottom"/>
            <w:vMerge w:val="restart"/>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70"/>
        </w:trPr>
        <w:tc>
          <w:tcPr>
            <w:tcW w:w="7900" w:type="dxa"/>
            <w:vAlign w:val="bottom"/>
          </w:tcPr>
          <w:p>
            <w:pPr>
              <w:ind w:left="580"/>
              <w:spacing w:after="0"/>
              <w:rPr>
                <w:sz w:val="20"/>
                <w:szCs w:val="20"/>
                <w:color w:val="auto"/>
              </w:rPr>
            </w:pPr>
            <w:r>
              <w:rPr>
                <w:rFonts w:ascii="Arial" w:cs="Arial" w:eastAsia="Arial" w:hAnsi="Arial"/>
                <w:sz w:val="13"/>
                <w:szCs w:val="13"/>
                <w:color w:val="auto"/>
              </w:rPr>
              <w:t>of $2.8 and $4.2, respectively)</w:t>
            </w:r>
          </w:p>
        </w:tc>
        <w:tc>
          <w:tcPr>
            <w:tcW w:w="2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79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Prepaid expenses and other current assets</w:t>
            </w:r>
          </w:p>
        </w:tc>
        <w:tc>
          <w:tcPr>
            <w:tcW w:w="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50"/>
        </w:trPr>
        <w:tc>
          <w:tcPr>
            <w:tcW w:w="7900" w:type="dxa"/>
            <w:vAlign w:val="bottom"/>
          </w:tcPr>
          <w:p>
            <w:pPr>
              <w:ind w:left="720"/>
              <w:spacing w:after="0"/>
              <w:rPr>
                <w:sz w:val="20"/>
                <w:szCs w:val="20"/>
                <w:color w:val="auto"/>
              </w:rPr>
            </w:pPr>
            <w:r>
              <w:rPr>
                <w:rFonts w:ascii="Arial" w:cs="Arial" w:eastAsia="Arial" w:hAnsi="Arial"/>
                <w:sz w:val="13"/>
                <w:szCs w:val="13"/>
                <w:color w:val="auto"/>
              </w:rPr>
              <w:t>Total current assets</w:t>
            </w:r>
          </w:p>
        </w:tc>
        <w:tc>
          <w:tcPr>
            <w:tcW w:w="260" w:type="dxa"/>
            <w:vAlign w:val="bottom"/>
          </w:tcPr>
          <w:p>
            <w:pPr>
              <w:spacing w:after="0"/>
              <w:rPr>
                <w:sz w:val="21"/>
                <w:szCs w:val="21"/>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191.0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230.9</w:t>
            </w:r>
          </w:p>
        </w:tc>
        <w:tc>
          <w:tcPr>
            <w:tcW w:w="0" w:type="dxa"/>
            <w:vAlign w:val="bottom"/>
          </w:tcPr>
          <w:p>
            <w:pPr>
              <w:spacing w:after="0"/>
              <w:rPr>
                <w:sz w:val="1"/>
                <w:szCs w:val="1"/>
                <w:color w:val="auto"/>
              </w:rPr>
            </w:pP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NON-CURRENT ASSETS:</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900" w:type="dxa"/>
            <w:vAlign w:val="bottom"/>
          </w:tcPr>
          <w:p>
            <w:pPr>
              <w:ind w:left="500"/>
              <w:spacing w:after="0"/>
              <w:rPr>
                <w:sz w:val="20"/>
                <w:szCs w:val="20"/>
                <w:color w:val="auto"/>
              </w:rPr>
            </w:pPr>
            <w:r>
              <w:rPr>
                <w:rFonts w:ascii="Arial" w:cs="Arial" w:eastAsia="Arial" w:hAnsi="Arial"/>
                <w:sz w:val="13"/>
                <w:szCs w:val="13"/>
                <w:color w:val="auto"/>
              </w:rPr>
              <w:t>Property and equipment, net of accumulated depreciation of $66.7 and $62.5, respectively</w:t>
            </w:r>
          </w:p>
        </w:tc>
        <w:tc>
          <w:tcPr>
            <w:tcW w:w="2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32.4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276"/>
        </w:trPr>
        <w:tc>
          <w:tcPr>
            <w:tcW w:w="79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Intangible assets, net of accumulated amortization of $186.2 and $172.7, respectively</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669.6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684.5</w:t>
            </w:r>
          </w:p>
        </w:tc>
        <w:tc>
          <w:tcPr>
            <w:tcW w:w="0" w:type="dxa"/>
            <w:vAlign w:val="bottom"/>
          </w:tcPr>
          <w:p>
            <w:pPr>
              <w:spacing w:after="0"/>
              <w:rPr>
                <w:sz w:val="1"/>
                <w:szCs w:val="1"/>
                <w:color w:val="auto"/>
              </w:rPr>
            </w:pPr>
          </w:p>
        </w:tc>
      </w:tr>
      <w:tr>
        <w:trPr>
          <w:trHeight w:val="264"/>
        </w:trPr>
        <w:tc>
          <w:tcPr>
            <w:tcW w:w="7900" w:type="dxa"/>
            <w:vAlign w:val="bottom"/>
          </w:tcPr>
          <w:p>
            <w:pPr>
              <w:ind w:left="500"/>
              <w:spacing w:after="0"/>
              <w:rPr>
                <w:sz w:val="20"/>
                <w:szCs w:val="20"/>
                <w:color w:val="auto"/>
              </w:rPr>
            </w:pPr>
            <w:r>
              <w:rPr>
                <w:rFonts w:ascii="Arial" w:cs="Arial" w:eastAsia="Arial" w:hAnsi="Arial"/>
                <w:sz w:val="13"/>
                <w:szCs w:val="13"/>
                <w:color w:val="auto"/>
              </w:rPr>
              <w:t>Deferred tax assets, net of valuation allowance of $77.5 and $80.1, respectively</w:t>
            </w:r>
          </w:p>
        </w:tc>
        <w:tc>
          <w:tcPr>
            <w:tcW w:w="2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172.4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173.9</w:t>
            </w:r>
          </w:p>
        </w:tc>
        <w:tc>
          <w:tcPr>
            <w:tcW w:w="0" w:type="dxa"/>
            <w:vAlign w:val="bottom"/>
          </w:tcPr>
          <w:p>
            <w:pPr>
              <w:spacing w:after="0"/>
              <w:rPr>
                <w:sz w:val="1"/>
                <w:szCs w:val="1"/>
                <w:color w:val="auto"/>
              </w:rPr>
            </w:pPr>
          </w:p>
        </w:tc>
      </w:tr>
      <w:tr>
        <w:trPr>
          <w:trHeight w:val="276"/>
        </w:trPr>
        <w:tc>
          <w:tcPr>
            <w:tcW w:w="79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Other investments</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64"/>
        </w:trPr>
        <w:tc>
          <w:tcPr>
            <w:tcW w:w="7900" w:type="dxa"/>
            <w:vAlign w:val="bottom"/>
          </w:tcPr>
          <w:p>
            <w:pPr>
              <w:ind w:left="500"/>
              <w:spacing w:after="0"/>
              <w:rPr>
                <w:sz w:val="20"/>
                <w:szCs w:val="20"/>
                <w:color w:val="auto"/>
              </w:rPr>
            </w:pPr>
            <w:r>
              <w:rPr>
                <w:rFonts w:ascii="Arial" w:cs="Arial" w:eastAsia="Arial" w:hAnsi="Arial"/>
                <w:sz w:val="13"/>
                <w:szCs w:val="13"/>
                <w:color w:val="auto"/>
              </w:rPr>
              <w:t>Long-term marketable securities</w:t>
            </w:r>
          </w:p>
        </w:tc>
        <w:tc>
          <w:tcPr>
            <w:tcW w:w="2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76"/>
        </w:trPr>
        <w:tc>
          <w:tcPr>
            <w:tcW w:w="79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Debt issuance costs, net</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3"/>
                <w:szCs w:val="13"/>
                <w:color w:val="auto"/>
              </w:rPr>
              <w:t>Other assets</w:t>
            </w: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50"/>
        </w:trPr>
        <w:tc>
          <w:tcPr>
            <w:tcW w:w="7900" w:type="dxa"/>
            <w:vAlign w:val="bottom"/>
            <w:shd w:val="clear" w:color="auto" w:fill="CCEEFF"/>
          </w:tcPr>
          <w:p>
            <w:pPr>
              <w:ind w:left="720"/>
              <w:spacing w:after="0"/>
              <w:rPr>
                <w:sz w:val="20"/>
                <w:szCs w:val="20"/>
                <w:color w:val="auto"/>
              </w:rPr>
            </w:pPr>
            <w:r>
              <w:rPr>
                <w:rFonts w:ascii="Arial" w:cs="Arial" w:eastAsia="Arial" w:hAnsi="Arial"/>
                <w:sz w:val="13"/>
                <w:szCs w:val="13"/>
                <w:color w:val="auto"/>
              </w:rPr>
              <w:t>Total non-current assets</w:t>
            </w:r>
          </w:p>
        </w:tc>
        <w:tc>
          <w:tcPr>
            <w:tcW w:w="2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913.0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910.9</w:t>
            </w:r>
          </w:p>
        </w:tc>
        <w:tc>
          <w:tcPr>
            <w:tcW w:w="0" w:type="dxa"/>
            <w:vAlign w:val="bottom"/>
          </w:tcPr>
          <w:p>
            <w:pPr>
              <w:spacing w:after="0"/>
              <w:rPr>
                <w:sz w:val="1"/>
                <w:szCs w:val="1"/>
                <w:color w:val="auto"/>
              </w:rPr>
            </w:pPr>
          </w:p>
        </w:tc>
      </w:tr>
      <w:tr>
        <w:trPr>
          <w:trHeight w:val="281"/>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TOTAL ASSETS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1,104.0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1,141.8</w:t>
            </w:r>
          </w:p>
        </w:tc>
        <w:tc>
          <w:tcPr>
            <w:tcW w:w="0" w:type="dxa"/>
            <w:vAlign w:val="bottom"/>
          </w:tcPr>
          <w:p>
            <w:pPr>
              <w:spacing w:after="0"/>
              <w:rPr>
                <w:sz w:val="1"/>
                <w:szCs w:val="1"/>
                <w:color w:val="auto"/>
              </w:rPr>
            </w:pPr>
          </w:p>
        </w:tc>
      </w:tr>
      <w:tr>
        <w:trPr>
          <w:trHeight w:val="252"/>
        </w:trPr>
        <w:tc>
          <w:tcPr>
            <w:tcW w:w="79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LIABILITIES AND EQUITY/(DEFICIT)</w:t>
            </w: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900" w:type="dxa"/>
            <w:vAlign w:val="bottom"/>
          </w:tcPr>
          <w:p>
            <w:pPr>
              <w:ind w:left="40"/>
              <w:spacing w:after="0"/>
              <w:rPr>
                <w:sz w:val="20"/>
                <w:szCs w:val="20"/>
                <w:color w:val="auto"/>
              </w:rPr>
            </w:pPr>
            <w:r>
              <w:rPr>
                <w:rFonts w:ascii="Arial" w:cs="Arial" w:eastAsia="Arial" w:hAnsi="Arial"/>
                <w:sz w:val="13"/>
                <w:szCs w:val="13"/>
                <w:color w:val="auto"/>
              </w:rPr>
              <w:t>CURRENT LIABILITIES:</w:t>
            </w: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9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Amounts due to founding members, net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8"/>
        </w:trPr>
        <w:tc>
          <w:tcPr>
            <w:tcW w:w="7900" w:type="dxa"/>
            <w:vAlign w:val="bottom"/>
          </w:tcPr>
          <w:p>
            <w:pPr>
              <w:ind w:left="500"/>
              <w:spacing w:after="0" w:line="148" w:lineRule="exact"/>
              <w:rPr>
                <w:sz w:val="20"/>
                <w:szCs w:val="20"/>
                <w:color w:val="auto"/>
              </w:rPr>
            </w:pPr>
            <w:r>
              <w:rPr>
                <w:rFonts w:ascii="Arial" w:cs="Arial" w:eastAsia="Arial" w:hAnsi="Arial"/>
                <w:sz w:val="13"/>
                <w:szCs w:val="13"/>
                <w:color w:val="auto"/>
              </w:rPr>
              <w:t>Payable to founding members under tax receivable agreement (including payables to related</w:t>
            </w:r>
          </w:p>
        </w:tc>
        <w:tc>
          <w:tcPr>
            <w:tcW w:w="260" w:type="dxa"/>
            <w:vAlign w:val="bottom"/>
          </w:tcPr>
          <w:p>
            <w:pPr>
              <w:spacing w:after="0"/>
              <w:rPr>
                <w:sz w:val="12"/>
                <w:szCs w:val="12"/>
                <w:color w:val="auto"/>
              </w:rPr>
            </w:pPr>
          </w:p>
        </w:tc>
        <w:tc>
          <w:tcPr>
            <w:tcW w:w="1460" w:type="dxa"/>
            <w:vAlign w:val="bottom"/>
            <w:vMerge w:val="restart"/>
          </w:tcPr>
          <w:p>
            <w:pPr>
              <w:jc w:val="right"/>
              <w:ind w:right="48"/>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70"/>
        </w:trPr>
        <w:tc>
          <w:tcPr>
            <w:tcW w:w="7900" w:type="dxa"/>
            <w:vAlign w:val="bottom"/>
          </w:tcPr>
          <w:p>
            <w:pPr>
              <w:ind w:left="580"/>
              <w:spacing w:after="0"/>
              <w:rPr>
                <w:sz w:val="20"/>
                <w:szCs w:val="20"/>
                <w:color w:val="auto"/>
              </w:rPr>
            </w:pPr>
            <w:r>
              <w:rPr>
                <w:rFonts w:ascii="Arial" w:cs="Arial" w:eastAsia="Arial" w:hAnsi="Arial"/>
                <w:sz w:val="13"/>
                <w:szCs w:val="13"/>
                <w:color w:val="auto"/>
              </w:rPr>
              <w:t>parties of $11.1 and $11.2, respectively)</w:t>
            </w:r>
          </w:p>
        </w:tc>
        <w:tc>
          <w:tcPr>
            <w:tcW w:w="2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9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Accrued expenses</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264"/>
        </w:trPr>
        <w:tc>
          <w:tcPr>
            <w:tcW w:w="7900" w:type="dxa"/>
            <w:vAlign w:val="bottom"/>
          </w:tcPr>
          <w:p>
            <w:pPr>
              <w:ind w:left="500"/>
              <w:spacing w:after="0"/>
              <w:rPr>
                <w:sz w:val="20"/>
                <w:szCs w:val="20"/>
                <w:color w:val="auto"/>
              </w:rPr>
            </w:pPr>
            <w:r>
              <w:rPr>
                <w:rFonts w:ascii="Arial" w:cs="Arial" w:eastAsia="Arial" w:hAnsi="Arial"/>
                <w:sz w:val="13"/>
                <w:szCs w:val="13"/>
                <w:color w:val="auto"/>
              </w:rPr>
              <w:t>Accrued payroll and related expenses</w:t>
            </w:r>
          </w:p>
        </w:tc>
        <w:tc>
          <w:tcPr>
            <w:tcW w:w="2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76"/>
        </w:trPr>
        <w:tc>
          <w:tcPr>
            <w:tcW w:w="79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Accounts payable</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64"/>
        </w:trPr>
        <w:tc>
          <w:tcPr>
            <w:tcW w:w="7900" w:type="dxa"/>
            <w:vAlign w:val="bottom"/>
          </w:tcPr>
          <w:p>
            <w:pPr>
              <w:ind w:left="500"/>
              <w:spacing w:after="0"/>
              <w:rPr>
                <w:sz w:val="20"/>
                <w:szCs w:val="20"/>
                <w:color w:val="auto"/>
              </w:rPr>
            </w:pPr>
            <w:r>
              <w:rPr>
                <w:rFonts w:ascii="Arial" w:cs="Arial" w:eastAsia="Arial" w:hAnsi="Arial"/>
                <w:sz w:val="13"/>
                <w:szCs w:val="13"/>
                <w:color w:val="auto"/>
              </w:rPr>
              <w:t>Deferred revenue</w:t>
            </w:r>
          </w:p>
        </w:tc>
        <w:tc>
          <w:tcPr>
            <w:tcW w:w="2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76"/>
        </w:trPr>
        <w:tc>
          <w:tcPr>
            <w:tcW w:w="79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Short-term debt</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3"/>
                <w:szCs w:val="13"/>
                <w:color w:val="auto"/>
              </w:rPr>
              <w:t>Other current liabilities</w:t>
            </w: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7900" w:type="dxa"/>
            <w:vAlign w:val="bottom"/>
            <w:shd w:val="clear" w:color="auto" w:fill="CCEEFF"/>
          </w:tcPr>
          <w:p>
            <w:pPr>
              <w:ind w:left="720"/>
              <w:spacing w:after="0"/>
              <w:rPr>
                <w:sz w:val="20"/>
                <w:szCs w:val="20"/>
                <w:color w:val="auto"/>
              </w:rPr>
            </w:pPr>
            <w:r>
              <w:rPr>
                <w:rFonts w:ascii="Arial" w:cs="Arial" w:eastAsia="Arial" w:hAnsi="Arial"/>
                <w:sz w:val="13"/>
                <w:szCs w:val="13"/>
                <w:color w:val="auto"/>
              </w:rPr>
              <w:t>Total current liabilities</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110.5</w:t>
            </w:r>
          </w:p>
        </w:tc>
        <w:tc>
          <w:tcPr>
            <w:tcW w:w="0" w:type="dxa"/>
            <w:vAlign w:val="bottom"/>
          </w:tcPr>
          <w:p>
            <w:pPr>
              <w:spacing w:after="0"/>
              <w:rPr>
                <w:sz w:val="1"/>
                <w:szCs w:val="1"/>
                <w:color w:val="auto"/>
              </w:rPr>
            </w:pPr>
          </w:p>
        </w:tc>
      </w:tr>
      <w:tr>
        <w:trPr>
          <w:trHeight w:val="262"/>
        </w:trPr>
        <w:tc>
          <w:tcPr>
            <w:tcW w:w="7900" w:type="dxa"/>
            <w:vAlign w:val="bottom"/>
          </w:tcPr>
          <w:p>
            <w:pPr>
              <w:ind w:left="40"/>
              <w:spacing w:after="0"/>
              <w:rPr>
                <w:sz w:val="20"/>
                <w:szCs w:val="20"/>
                <w:color w:val="auto"/>
              </w:rPr>
            </w:pPr>
            <w:r>
              <w:rPr>
                <w:rFonts w:ascii="Arial" w:cs="Arial" w:eastAsia="Arial" w:hAnsi="Arial"/>
                <w:sz w:val="13"/>
                <w:szCs w:val="13"/>
                <w:color w:val="auto"/>
              </w:rPr>
              <w:t>NON-CURRENT LIABILITIES:</w:t>
            </w: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9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Long-term debt, net of debt issuance costs of $6.9 and $7.8, respectively</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915.4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920.9</w:t>
            </w:r>
          </w:p>
        </w:tc>
        <w:tc>
          <w:tcPr>
            <w:tcW w:w="0" w:type="dxa"/>
            <w:vAlign w:val="bottom"/>
          </w:tcPr>
          <w:p>
            <w:pPr>
              <w:spacing w:after="0"/>
              <w:rPr>
                <w:sz w:val="1"/>
                <w:szCs w:val="1"/>
                <w:color w:val="auto"/>
              </w:rPr>
            </w:pPr>
          </w:p>
        </w:tc>
      </w:tr>
      <w:tr>
        <w:trPr>
          <w:trHeight w:val="148"/>
        </w:trPr>
        <w:tc>
          <w:tcPr>
            <w:tcW w:w="7900" w:type="dxa"/>
            <w:vAlign w:val="bottom"/>
          </w:tcPr>
          <w:p>
            <w:pPr>
              <w:ind w:left="500"/>
              <w:spacing w:after="0" w:line="148" w:lineRule="exact"/>
              <w:rPr>
                <w:sz w:val="20"/>
                <w:szCs w:val="20"/>
                <w:color w:val="auto"/>
              </w:rPr>
            </w:pPr>
            <w:r>
              <w:rPr>
                <w:rFonts w:ascii="Arial" w:cs="Arial" w:eastAsia="Arial" w:hAnsi="Arial"/>
                <w:sz w:val="13"/>
                <w:szCs w:val="13"/>
                <w:color w:val="auto"/>
              </w:rPr>
              <w:t>Payable to founding members under tax receivable agreement (including payables to related</w:t>
            </w:r>
          </w:p>
        </w:tc>
        <w:tc>
          <w:tcPr>
            <w:tcW w:w="260" w:type="dxa"/>
            <w:vAlign w:val="bottom"/>
          </w:tcPr>
          <w:p>
            <w:pPr>
              <w:spacing w:after="0"/>
              <w:rPr>
                <w:sz w:val="12"/>
                <w:szCs w:val="12"/>
                <w:color w:val="auto"/>
              </w:rPr>
            </w:pPr>
          </w:p>
        </w:tc>
        <w:tc>
          <w:tcPr>
            <w:tcW w:w="1460" w:type="dxa"/>
            <w:vAlign w:val="bottom"/>
            <w:vMerge w:val="restart"/>
          </w:tcPr>
          <w:p>
            <w:pPr>
              <w:jc w:val="right"/>
              <w:ind w:right="48"/>
              <w:spacing w:after="0"/>
              <w:rPr>
                <w:sz w:val="20"/>
                <w:szCs w:val="20"/>
                <w:color w:val="auto"/>
              </w:rPr>
            </w:pPr>
            <w:r>
              <w:rPr>
                <w:rFonts w:ascii="Arial" w:cs="Arial" w:eastAsia="Arial" w:hAnsi="Arial"/>
                <w:sz w:val="14"/>
                <w:szCs w:val="14"/>
                <w:color w:val="auto"/>
              </w:rPr>
              <w:t>184.0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195.6</w:t>
            </w:r>
          </w:p>
        </w:tc>
        <w:tc>
          <w:tcPr>
            <w:tcW w:w="0" w:type="dxa"/>
            <w:vAlign w:val="bottom"/>
          </w:tcPr>
          <w:p>
            <w:pPr>
              <w:spacing w:after="0"/>
              <w:rPr>
                <w:sz w:val="1"/>
                <w:szCs w:val="1"/>
                <w:color w:val="auto"/>
              </w:rPr>
            </w:pPr>
          </w:p>
        </w:tc>
      </w:tr>
      <w:tr>
        <w:trPr>
          <w:trHeight w:val="170"/>
        </w:trPr>
        <w:tc>
          <w:tcPr>
            <w:tcW w:w="7900" w:type="dxa"/>
            <w:vAlign w:val="bottom"/>
          </w:tcPr>
          <w:p>
            <w:pPr>
              <w:ind w:left="580"/>
              <w:spacing w:after="0"/>
              <w:rPr>
                <w:sz w:val="20"/>
                <w:szCs w:val="20"/>
                <w:color w:val="auto"/>
              </w:rPr>
            </w:pPr>
            <w:r>
              <w:rPr>
                <w:rFonts w:ascii="Arial" w:cs="Arial" w:eastAsia="Arial" w:hAnsi="Arial"/>
                <w:sz w:val="13"/>
                <w:szCs w:val="13"/>
                <w:color w:val="auto"/>
              </w:rPr>
              <w:t>parties of $133.7 and $141.1, respectively)</w:t>
            </w:r>
          </w:p>
        </w:tc>
        <w:tc>
          <w:tcPr>
            <w:tcW w:w="2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79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Other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tcPr>
          <w:p>
            <w:pPr>
              <w:ind w:left="720"/>
              <w:spacing w:after="0"/>
              <w:rPr>
                <w:sz w:val="20"/>
                <w:szCs w:val="20"/>
                <w:color w:val="auto"/>
              </w:rPr>
            </w:pPr>
            <w:r>
              <w:rPr>
                <w:rFonts w:ascii="Arial" w:cs="Arial" w:eastAsia="Arial" w:hAnsi="Arial"/>
                <w:sz w:val="13"/>
                <w:szCs w:val="13"/>
                <w:color w:val="auto"/>
              </w:rPr>
              <w:t>Total non-current liabilities</w:t>
            </w: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1,123.3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1,120.5</w:t>
            </w:r>
          </w:p>
        </w:tc>
        <w:tc>
          <w:tcPr>
            <w:tcW w:w="0" w:type="dxa"/>
            <w:vAlign w:val="bottom"/>
          </w:tcPr>
          <w:p>
            <w:pPr>
              <w:spacing w:after="0"/>
              <w:rPr>
                <w:sz w:val="1"/>
                <w:szCs w:val="1"/>
                <w:color w:val="auto"/>
              </w:rPr>
            </w:pPr>
          </w:p>
        </w:tc>
      </w:tr>
      <w:tr>
        <w:trPr>
          <w:trHeight w:val="256"/>
        </w:trPr>
        <w:tc>
          <w:tcPr>
            <w:tcW w:w="7900" w:type="dxa"/>
            <w:vAlign w:val="bottom"/>
            <w:shd w:val="clear" w:color="auto" w:fill="CCEEFF"/>
          </w:tcPr>
          <w:p>
            <w:pPr>
              <w:ind w:left="720"/>
              <w:spacing w:after="0"/>
              <w:rPr>
                <w:sz w:val="20"/>
                <w:szCs w:val="20"/>
                <w:color w:val="auto"/>
              </w:rPr>
            </w:pPr>
            <w:r>
              <w:rPr>
                <w:rFonts w:ascii="Arial" w:cs="Arial" w:eastAsia="Arial" w:hAnsi="Arial"/>
                <w:sz w:val="13"/>
                <w:szCs w:val="13"/>
                <w:color w:val="auto"/>
              </w:rPr>
              <w:t>Total liabilities</w:t>
            </w:r>
          </w:p>
        </w:tc>
        <w:tc>
          <w:tcPr>
            <w:tcW w:w="2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1,214.5</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1,231.0</w:t>
            </w:r>
          </w:p>
        </w:tc>
        <w:tc>
          <w:tcPr>
            <w:tcW w:w="0" w:type="dxa"/>
            <w:vAlign w:val="bottom"/>
          </w:tcPr>
          <w:p>
            <w:pPr>
              <w:spacing w:after="0"/>
              <w:rPr>
                <w:sz w:val="1"/>
                <w:szCs w:val="1"/>
                <w:color w:val="auto"/>
              </w:rPr>
            </w:pPr>
          </w:p>
        </w:tc>
      </w:tr>
      <w:tr>
        <w:trPr>
          <w:trHeight w:val="242"/>
        </w:trPr>
        <w:tc>
          <w:tcPr>
            <w:tcW w:w="7900" w:type="dxa"/>
            <w:vAlign w:val="bottom"/>
          </w:tcPr>
          <w:p>
            <w:pPr>
              <w:ind w:left="40"/>
              <w:spacing w:after="0"/>
              <w:rPr>
                <w:sz w:val="20"/>
                <w:szCs w:val="20"/>
                <w:color w:val="auto"/>
              </w:rPr>
            </w:pPr>
            <w:r>
              <w:rPr>
                <w:rFonts w:ascii="Arial" w:cs="Arial" w:eastAsia="Arial" w:hAnsi="Arial"/>
                <w:sz w:val="13"/>
                <w:szCs w:val="13"/>
                <w:color w:val="auto"/>
              </w:rPr>
              <w:t>COMMITMENTS AND CONTINGENCIES (NOTE 8)</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7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EQUITY/(DEFICIT):</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900" w:type="dxa"/>
            <w:vAlign w:val="bottom"/>
          </w:tcPr>
          <w:p>
            <w:pPr>
              <w:ind w:left="280"/>
              <w:spacing w:after="0"/>
              <w:rPr>
                <w:sz w:val="20"/>
                <w:szCs w:val="20"/>
                <w:color w:val="auto"/>
              </w:rPr>
            </w:pPr>
            <w:r>
              <w:rPr>
                <w:rFonts w:ascii="Arial" w:cs="Arial" w:eastAsia="Arial" w:hAnsi="Arial"/>
                <w:sz w:val="13"/>
                <w:szCs w:val="13"/>
                <w:color w:val="auto"/>
              </w:rPr>
              <w:t>NCM, Inc. Stockholders’ Equity/(Deficit):</w:t>
            </w: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79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Preferred stock, $0.01 par value; 10,000,000 shares authorized, none issued and outstanding,</w:t>
            </w:r>
          </w:p>
        </w:tc>
        <w:tc>
          <w:tcPr>
            <w:tcW w:w="260" w:type="dxa"/>
            <w:vAlign w:val="bottom"/>
            <w:shd w:val="clear" w:color="auto" w:fill="CCEEFF"/>
          </w:tcPr>
          <w:p>
            <w:pPr>
              <w:spacing w:after="0"/>
              <w:rPr>
                <w:sz w:val="13"/>
                <w:szCs w:val="13"/>
                <w:color w:val="auto"/>
              </w:rPr>
            </w:pPr>
          </w:p>
        </w:tc>
        <w:tc>
          <w:tcPr>
            <w:tcW w:w="15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900" w:type="dxa"/>
            <w:vAlign w:val="bottom"/>
            <w:shd w:val="clear" w:color="auto" w:fill="CCEEFF"/>
          </w:tcPr>
          <w:p>
            <w:pPr>
              <w:ind w:left="580"/>
              <w:spacing w:after="0"/>
              <w:rPr>
                <w:sz w:val="20"/>
                <w:szCs w:val="20"/>
                <w:color w:val="auto"/>
              </w:rPr>
            </w:pPr>
            <w:r>
              <w:rPr>
                <w:rFonts w:ascii="Arial" w:cs="Arial" w:eastAsia="Arial" w:hAnsi="Arial"/>
                <w:sz w:val="13"/>
                <w:szCs w:val="13"/>
                <w:color w:val="auto"/>
              </w:rPr>
              <w:t>respectively</w:t>
            </w:r>
          </w:p>
        </w:tc>
        <w:tc>
          <w:tcPr>
            <w:tcW w:w="260" w:type="dxa"/>
            <w:vAlign w:val="bottom"/>
            <w:shd w:val="clear" w:color="auto" w:fill="CCEEFF"/>
          </w:tcPr>
          <w:p>
            <w:pPr>
              <w:spacing w:after="0"/>
              <w:rPr>
                <w:sz w:val="15"/>
                <w:szCs w:val="15"/>
                <w:color w:val="auto"/>
              </w:rPr>
            </w:pPr>
          </w:p>
        </w:tc>
        <w:tc>
          <w:tcPr>
            <w:tcW w:w="158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900" w:type="dxa"/>
            <w:vAlign w:val="bottom"/>
          </w:tcPr>
          <w:p>
            <w:pPr>
              <w:ind w:left="500"/>
              <w:spacing w:after="0" w:line="148" w:lineRule="exact"/>
              <w:rPr>
                <w:sz w:val="20"/>
                <w:szCs w:val="20"/>
                <w:color w:val="auto"/>
              </w:rPr>
            </w:pPr>
            <w:r>
              <w:rPr>
                <w:rFonts w:ascii="Arial" w:cs="Arial" w:eastAsia="Arial" w:hAnsi="Arial"/>
                <w:sz w:val="13"/>
                <w:szCs w:val="13"/>
                <w:color w:val="auto"/>
              </w:rPr>
              <w:t>Common stock, $0.01 par value; 175,000,000 shares authorized, 77,349,628 and 76,976,398 issued</w:t>
            </w:r>
          </w:p>
        </w:tc>
        <w:tc>
          <w:tcPr>
            <w:tcW w:w="260" w:type="dxa"/>
            <w:vAlign w:val="bottom"/>
          </w:tcPr>
          <w:p>
            <w:pPr>
              <w:spacing w:after="0"/>
              <w:rPr>
                <w:sz w:val="12"/>
                <w:szCs w:val="12"/>
                <w:color w:val="auto"/>
              </w:rPr>
            </w:pPr>
          </w:p>
        </w:tc>
        <w:tc>
          <w:tcPr>
            <w:tcW w:w="1460" w:type="dxa"/>
            <w:vAlign w:val="bottom"/>
            <w:vMerge w:val="restart"/>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70"/>
        </w:trPr>
        <w:tc>
          <w:tcPr>
            <w:tcW w:w="7900" w:type="dxa"/>
            <w:vAlign w:val="bottom"/>
          </w:tcPr>
          <w:p>
            <w:pPr>
              <w:ind w:left="580"/>
              <w:spacing w:after="0"/>
              <w:rPr>
                <w:sz w:val="20"/>
                <w:szCs w:val="20"/>
                <w:color w:val="auto"/>
              </w:rPr>
            </w:pPr>
            <w:r>
              <w:rPr>
                <w:rFonts w:ascii="Arial" w:cs="Arial" w:eastAsia="Arial" w:hAnsi="Arial"/>
                <w:sz w:val="13"/>
                <w:szCs w:val="13"/>
                <w:color w:val="auto"/>
              </w:rPr>
              <w:t>and outstanding, respectively</w:t>
            </w:r>
          </w:p>
        </w:tc>
        <w:tc>
          <w:tcPr>
            <w:tcW w:w="2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9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Additional paid in capital/(deficit)</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(215.2)</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3"/>
                <w:szCs w:val="13"/>
                <w:color w:val="auto"/>
              </w:rPr>
              <w:t>Retained earnings (distributions in excess of earnings)</w:t>
            </w: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(153.6)</w:t>
            </w:r>
          </w:p>
        </w:tc>
        <w:tc>
          <w:tcPr>
            <w:tcW w:w="0" w:type="dxa"/>
            <w:vAlign w:val="bottom"/>
          </w:tcPr>
          <w:p>
            <w:pPr>
              <w:spacing w:after="0"/>
              <w:rPr>
                <w:sz w:val="1"/>
                <w:szCs w:val="1"/>
                <w:color w:val="auto"/>
              </w:rPr>
            </w:pPr>
          </w:p>
        </w:tc>
      </w:tr>
      <w:tr>
        <w:trPr>
          <w:trHeight w:val="256"/>
        </w:trPr>
        <w:tc>
          <w:tcPr>
            <w:tcW w:w="7900" w:type="dxa"/>
            <w:vAlign w:val="bottom"/>
            <w:shd w:val="clear" w:color="auto" w:fill="CCEEFF"/>
          </w:tcPr>
          <w:p>
            <w:pPr>
              <w:ind w:left="720"/>
              <w:spacing w:after="0"/>
              <w:rPr>
                <w:sz w:val="20"/>
                <w:szCs w:val="20"/>
                <w:color w:val="auto"/>
              </w:rPr>
            </w:pPr>
            <w:r>
              <w:rPr>
                <w:rFonts w:ascii="Arial" w:cs="Arial" w:eastAsia="Arial" w:hAnsi="Arial"/>
                <w:sz w:val="13"/>
                <w:szCs w:val="13"/>
                <w:color w:val="auto"/>
              </w:rPr>
              <w:t>Total NCM, Inc. stockholders’ equity/(deficit)</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(368.0)</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3"/>
                <w:szCs w:val="13"/>
                <w:color w:val="auto"/>
              </w:rPr>
              <w:t>Noncontrolling interests</w:t>
            </w: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273.2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278.8</w:t>
            </w:r>
          </w:p>
        </w:tc>
        <w:tc>
          <w:tcPr>
            <w:tcW w:w="0" w:type="dxa"/>
            <w:vAlign w:val="bottom"/>
          </w:tcPr>
          <w:p>
            <w:pPr>
              <w:spacing w:after="0"/>
              <w:rPr>
                <w:sz w:val="1"/>
                <w:szCs w:val="1"/>
                <w:color w:val="auto"/>
              </w:rPr>
            </w:pPr>
          </w:p>
        </w:tc>
      </w:tr>
      <w:tr>
        <w:trPr>
          <w:trHeight w:val="250"/>
        </w:trPr>
        <w:tc>
          <w:tcPr>
            <w:tcW w:w="7900" w:type="dxa"/>
            <w:vAlign w:val="bottom"/>
            <w:shd w:val="clear" w:color="auto" w:fill="CCEEFF"/>
          </w:tcPr>
          <w:p>
            <w:pPr>
              <w:ind w:left="720"/>
              <w:spacing w:after="0"/>
              <w:rPr>
                <w:sz w:val="20"/>
                <w:szCs w:val="20"/>
                <w:color w:val="auto"/>
              </w:rPr>
            </w:pPr>
            <w:r>
              <w:rPr>
                <w:rFonts w:ascii="Arial" w:cs="Arial" w:eastAsia="Arial" w:hAnsi="Arial"/>
                <w:sz w:val="13"/>
                <w:szCs w:val="13"/>
                <w:color w:val="auto"/>
              </w:rPr>
              <w:t>Total equity/(deficit)</w:t>
            </w:r>
          </w:p>
        </w:tc>
        <w:tc>
          <w:tcPr>
            <w:tcW w:w="2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(89.2)</w:t>
            </w:r>
          </w:p>
        </w:tc>
        <w:tc>
          <w:tcPr>
            <w:tcW w:w="0" w:type="dxa"/>
            <w:vAlign w:val="bottom"/>
          </w:tcPr>
          <w:p>
            <w:pPr>
              <w:spacing w:after="0"/>
              <w:rPr>
                <w:sz w:val="1"/>
                <w:szCs w:val="1"/>
                <w:color w:val="auto"/>
              </w:rPr>
            </w:pPr>
          </w:p>
        </w:tc>
      </w:tr>
      <w:tr>
        <w:trPr>
          <w:trHeight w:val="241"/>
        </w:trPr>
        <w:tc>
          <w:tcPr>
            <w:tcW w:w="7900" w:type="dxa"/>
            <w:vAlign w:val="bottom"/>
          </w:tcPr>
          <w:p>
            <w:pPr>
              <w:ind w:left="40"/>
              <w:spacing w:after="0"/>
              <w:rPr>
                <w:sz w:val="20"/>
                <w:szCs w:val="20"/>
                <w:color w:val="auto"/>
              </w:rPr>
            </w:pPr>
            <w:r>
              <w:rPr>
                <w:rFonts w:ascii="Arial" w:cs="Arial" w:eastAsia="Arial" w:hAnsi="Arial"/>
                <w:sz w:val="13"/>
                <w:szCs w:val="13"/>
                <w:color w:val="auto"/>
              </w:rPr>
              <w:t>TOTAL LIABILITIES AND EQUITY/(DEFICIT)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1,104.0</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1,141.8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ectPr>
          <w:pgSz w:w="11900" w:h="16838" w:orient="portrait"/>
          <w:cols w:equalWidth="0" w:num="1">
            <w:col w:w="11420"/>
          </w:cols>
          <w:pgMar w:left="240" w:top="342" w:right="239" w:bottom="44"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42" w:right="239" w:bottom="44"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INCOME AND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11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28,</w:t>
            </w:r>
          </w:p>
        </w:tc>
        <w:tc>
          <w:tcPr>
            <w:tcW w:w="240" w:type="dxa"/>
            <w:vAlign w:val="bottom"/>
          </w:tcPr>
          <w:p>
            <w:pPr>
              <w:spacing w:after="0"/>
              <w:rPr>
                <w:sz w:val="13"/>
                <w:szCs w:val="13"/>
                <w:color w:val="auto"/>
              </w:rPr>
            </w:pPr>
          </w:p>
        </w:tc>
        <w:tc>
          <w:tcPr>
            <w:tcW w:w="11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1020" w:type="dxa"/>
            <w:vAlign w:val="bottom"/>
          </w:tcPr>
          <w:p>
            <w:pPr>
              <w:jc w:val="right"/>
              <w:ind w:right="308"/>
              <w:spacing w:after="0" w:line="153" w:lineRule="exact"/>
              <w:rPr>
                <w:sz w:val="20"/>
                <w:szCs w:val="20"/>
                <w:color w:val="auto"/>
              </w:rPr>
            </w:pPr>
            <w:r>
              <w:rPr>
                <w:rFonts w:ascii="Arial" w:cs="Arial" w:eastAsia="Arial" w:hAnsi="Arial"/>
                <w:sz w:val="14"/>
                <w:szCs w:val="14"/>
                <w:b w:val="1"/>
                <w:bCs w:val="1"/>
                <w:color w:val="auto"/>
              </w:rPr>
              <w:t>June 28,</w:t>
            </w:r>
          </w:p>
        </w:tc>
      </w:tr>
      <w:tr>
        <w:trPr>
          <w:trHeight w:val="192"/>
        </w:trPr>
        <w:tc>
          <w:tcPr>
            <w:tcW w:w="60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r>
      <w:tr>
        <w:trPr>
          <w:trHeight w:val="25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 (including revenue from related parties of $6.5, $8.6, $11.8 and $16.6, respectively)</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193.9</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Advertising operating costs</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r>
      <w:tr>
        <w:trPr>
          <w:trHeight w:val="264"/>
        </w:trPr>
        <w:tc>
          <w:tcPr>
            <w:tcW w:w="6060" w:type="dxa"/>
            <w:vAlign w:val="bottom"/>
          </w:tcPr>
          <w:p>
            <w:pPr>
              <w:ind w:left="280"/>
              <w:spacing w:after="0"/>
              <w:rPr>
                <w:sz w:val="20"/>
                <w:szCs w:val="20"/>
                <w:color w:val="auto"/>
              </w:rPr>
            </w:pPr>
            <w:r>
              <w:rPr>
                <w:rFonts w:ascii="Arial" w:cs="Arial" w:eastAsia="Arial" w:hAnsi="Arial"/>
                <w:sz w:val="14"/>
                <w:szCs w:val="14"/>
                <w:color w:val="auto"/>
              </w:rPr>
              <w:t>Network costs</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6.8</w:t>
            </w:r>
          </w:p>
        </w:tc>
      </w:tr>
      <w:tr>
        <w:trPr>
          <w:trHeight w:val="163"/>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Theater access fees—founding members (including fees to related parties of</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94"/>
        </w:trPr>
        <w:tc>
          <w:tcPr>
            <w:tcW w:w="60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$14.5, $21.5, $27.4 and $42.1, respectively)</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42.1</w:t>
            </w:r>
          </w:p>
        </w:tc>
      </w:tr>
      <w:tr>
        <w:trPr>
          <w:trHeight w:val="264"/>
        </w:trPr>
        <w:tc>
          <w:tcPr>
            <w:tcW w:w="6060" w:type="dxa"/>
            <w:vAlign w:val="bottom"/>
          </w:tcPr>
          <w:p>
            <w:pPr>
              <w:ind w:left="280"/>
              <w:spacing w:after="0"/>
              <w:rPr>
                <w:sz w:val="20"/>
                <w:szCs w:val="20"/>
                <w:color w:val="auto"/>
              </w:rPr>
            </w:pPr>
            <w:r>
              <w:rPr>
                <w:rFonts w:ascii="Arial" w:cs="Arial" w:eastAsia="Arial" w:hAnsi="Arial"/>
                <w:sz w:val="14"/>
                <w:szCs w:val="14"/>
                <w:color w:val="auto"/>
              </w:rPr>
              <w:t>Selling and marketing costs</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31.4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32.7</w:t>
            </w:r>
          </w:p>
        </w:tc>
      </w:tr>
      <w:tr>
        <w:trPr>
          <w:trHeight w:val="276"/>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Administrative and other costs</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w:t>
            </w:r>
          </w:p>
        </w:tc>
      </w:tr>
      <w:tr>
        <w:trPr>
          <w:trHeight w:val="264"/>
        </w:trPr>
        <w:tc>
          <w:tcPr>
            <w:tcW w:w="6060" w:type="dxa"/>
            <w:vAlign w:val="bottom"/>
          </w:tcPr>
          <w:p>
            <w:pPr>
              <w:ind w:left="280"/>
              <w:spacing w:after="0"/>
              <w:rPr>
                <w:sz w:val="20"/>
                <w:szCs w:val="20"/>
                <w:color w:val="auto"/>
              </w:rPr>
            </w:pPr>
            <w:r>
              <w:rPr>
                <w:rFonts w:ascii="Arial" w:cs="Arial" w:eastAsia="Arial" w:hAnsi="Arial"/>
                <w:sz w:val="14"/>
                <w:szCs w:val="14"/>
                <w:color w:val="auto"/>
              </w:rPr>
              <w:t>Depreciation expense</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5.9</w:t>
            </w:r>
          </w:p>
        </w:tc>
      </w:tr>
      <w:tr>
        <w:trPr>
          <w:trHeight w:val="276"/>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expense</w:t>
            </w:r>
          </w:p>
        </w:tc>
        <w:tc>
          <w:tcPr>
            <w:tcW w:w="2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w:t>
            </w:r>
          </w:p>
        </w:tc>
      </w:tr>
      <w:tr>
        <w:trPr>
          <w:trHeight w:val="264"/>
        </w:trPr>
        <w:tc>
          <w:tcPr>
            <w:tcW w:w="6060" w:type="dxa"/>
            <w:vAlign w:val="bottom"/>
          </w:tcPr>
          <w:p>
            <w:pPr>
              <w:ind w:left="280"/>
              <w:spacing w:after="0"/>
              <w:rPr>
                <w:sz w:val="20"/>
                <w:szCs w:val="20"/>
                <w:color w:val="auto"/>
              </w:rPr>
            </w:pPr>
            <w:r>
              <w:rPr>
                <w:rFonts w:ascii="Arial" w:cs="Arial" w:eastAsia="Arial" w:hAnsi="Arial"/>
                <w:sz w:val="14"/>
                <w:szCs w:val="14"/>
                <w:color w:val="auto"/>
              </w:rPr>
              <w:t>Amortization of intangibles recorded for network theater screen leases</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606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72.5</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73.5</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138.5</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142.7</w:t>
            </w:r>
          </w:p>
        </w:tc>
      </w:tr>
      <w:tr>
        <w:trPr>
          <w:trHeight w:val="250"/>
        </w:trPr>
        <w:tc>
          <w:tcPr>
            <w:tcW w:w="606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OPERATING INCOME</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51.2</w:t>
            </w: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NON-OPERATING EXPENSES:</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6060" w:type="dxa"/>
            <w:vAlign w:val="bottom"/>
          </w:tcPr>
          <w:p>
            <w:pPr>
              <w:ind w:left="280"/>
              <w:spacing w:after="0"/>
              <w:rPr>
                <w:sz w:val="20"/>
                <w:szCs w:val="20"/>
                <w:color w:val="auto"/>
              </w:rPr>
            </w:pPr>
            <w:r>
              <w:rPr>
                <w:rFonts w:ascii="Arial" w:cs="Arial" w:eastAsia="Arial" w:hAnsi="Arial"/>
                <w:sz w:val="14"/>
                <w:szCs w:val="14"/>
                <w:color w:val="auto"/>
              </w:rPr>
              <w:t>Interest on borrowings</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27.9</w:t>
            </w:r>
          </w:p>
        </w:tc>
      </w:tr>
      <w:tr>
        <w:trPr>
          <w:trHeight w:val="276"/>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income</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264"/>
        </w:trPr>
        <w:tc>
          <w:tcPr>
            <w:tcW w:w="6060" w:type="dxa"/>
            <w:vAlign w:val="bottom"/>
          </w:tcPr>
          <w:p>
            <w:pPr>
              <w:ind w:left="280"/>
              <w:spacing w:after="0"/>
              <w:rPr>
                <w:sz w:val="20"/>
                <w:szCs w:val="20"/>
                <w:color w:val="auto"/>
              </w:rPr>
            </w:pPr>
            <w:r>
              <w:rPr>
                <w:rFonts w:ascii="Arial" w:cs="Arial" w:eastAsia="Arial" w:hAnsi="Arial"/>
                <w:sz w:val="14"/>
                <w:szCs w:val="14"/>
                <w:color w:val="auto"/>
              </w:rPr>
              <w:t>Loss (gain) on early retirement of debt, net</w:t>
            </w:r>
          </w:p>
        </w:tc>
        <w:tc>
          <w:tcPr>
            <w:tcW w:w="24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w:t>
            </w:r>
          </w:p>
        </w:tc>
      </w:tr>
      <w:tr>
        <w:trPr>
          <w:trHeight w:val="163"/>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(gain) on re-measurement of the payable to founding members under the tax</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94"/>
        </w:trPr>
        <w:tc>
          <w:tcPr>
            <w:tcW w:w="60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receivable agreement</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r>
      <w:tr>
        <w:trPr>
          <w:trHeight w:val="264"/>
        </w:trPr>
        <w:tc>
          <w:tcPr>
            <w:tcW w:w="6060" w:type="dxa"/>
            <w:vAlign w:val="bottom"/>
          </w:tcPr>
          <w:p>
            <w:pPr>
              <w:ind w:left="280"/>
              <w:spacing w:after="0"/>
              <w:rPr>
                <w:sz w:val="20"/>
                <w:szCs w:val="20"/>
                <w:color w:val="auto"/>
              </w:rPr>
            </w:pPr>
            <w:r>
              <w:rPr>
                <w:rFonts w:ascii="Arial" w:cs="Arial" w:eastAsia="Arial" w:hAnsi="Arial"/>
                <w:sz w:val="14"/>
                <w:szCs w:val="14"/>
                <w:color w:val="auto"/>
              </w:rPr>
              <w:t>Other non-operating income</w:t>
            </w:r>
          </w:p>
        </w:tc>
        <w:tc>
          <w:tcPr>
            <w:tcW w:w="24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606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14.4</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28.5</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20.6</w:t>
            </w:r>
          </w:p>
        </w:tc>
      </w:tr>
      <w:tr>
        <w:trPr>
          <w:trHeight w:val="250"/>
        </w:trPr>
        <w:tc>
          <w:tcPr>
            <w:tcW w:w="606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24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30.6</w:t>
            </w:r>
          </w:p>
        </w:tc>
      </w:tr>
      <w:tr>
        <w:trPr>
          <w:trHeight w:val="270"/>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 expense</w:t>
            </w:r>
          </w:p>
        </w:tc>
        <w:tc>
          <w:tcPr>
            <w:tcW w:w="2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w:t>
            </w:r>
          </w:p>
        </w:tc>
      </w:tr>
      <w:tr>
        <w:trPr>
          <w:trHeight w:val="250"/>
        </w:trPr>
        <w:tc>
          <w:tcPr>
            <w:tcW w:w="6060" w:type="dxa"/>
            <w:vAlign w:val="bottom"/>
          </w:tcPr>
          <w:p>
            <w:pPr>
              <w:ind w:left="40"/>
              <w:spacing w:after="0"/>
              <w:rPr>
                <w:sz w:val="20"/>
                <w:szCs w:val="20"/>
                <w:color w:val="auto"/>
              </w:rPr>
            </w:pPr>
            <w:r>
              <w:rPr>
                <w:rFonts w:ascii="Arial" w:cs="Arial" w:eastAsia="Arial" w:hAnsi="Arial"/>
                <w:sz w:val="14"/>
                <w:szCs w:val="14"/>
                <w:color w:val="auto"/>
              </w:rPr>
              <w:t>CONSOLIDATED NET INCOME</w:t>
            </w:r>
          </w:p>
        </w:tc>
        <w:tc>
          <w:tcPr>
            <w:tcW w:w="24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13.6</w:t>
            </w:r>
          </w:p>
        </w:tc>
      </w:tr>
      <w:tr>
        <w:trPr>
          <w:trHeight w:val="270"/>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Less: Net income attributable to noncontrolling interests</w:t>
            </w:r>
          </w:p>
        </w:tc>
        <w:tc>
          <w:tcPr>
            <w:tcW w:w="2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11.3</w:t>
            </w:r>
          </w:p>
        </w:tc>
      </w:tr>
      <w:tr>
        <w:trPr>
          <w:trHeight w:val="250"/>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ATTRIBUTABLE TO NCM, INC.</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r>
      <w:tr>
        <w:trPr>
          <w:trHeight w:val="243"/>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NCM, INC.</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PER NCM, INC. COMMON SHARE:</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6060" w:type="dxa"/>
            <w:vAlign w:val="bottom"/>
          </w:tcPr>
          <w:p>
            <w:pPr>
              <w:ind w:left="280"/>
              <w:spacing w:after="0"/>
              <w:rPr>
                <w:sz w:val="20"/>
                <w:szCs w:val="20"/>
                <w:color w:val="auto"/>
              </w:rPr>
            </w:pPr>
            <w:r>
              <w:rPr>
                <w:rFonts w:ascii="Arial" w:cs="Arial" w:eastAsia="Arial" w:hAnsi="Arial"/>
                <w:sz w:val="14"/>
                <w:szCs w:val="14"/>
                <w:color w:val="auto"/>
              </w:rPr>
              <w:t>Basic</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0.10</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0.03</w:t>
            </w:r>
          </w:p>
        </w:tc>
      </w:tr>
      <w:tr>
        <w:trPr>
          <w:trHeight w:val="276"/>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0.03</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WEIGHTED AVERAGE SHARES OUTSTANDING:</w:t>
            </w: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77,343,093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76,912,086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77,261,435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76,776,250</w:t>
            </w:r>
          </w:p>
        </w:tc>
      </w:tr>
      <w:tr>
        <w:trPr>
          <w:trHeight w:val="258"/>
        </w:trPr>
        <w:tc>
          <w:tcPr>
            <w:tcW w:w="6060" w:type="dxa"/>
            <w:vAlign w:val="bottom"/>
          </w:tcPr>
          <w:p>
            <w:pPr>
              <w:ind w:left="280"/>
              <w:spacing w:after="0"/>
              <w:rPr>
                <w:sz w:val="20"/>
                <w:szCs w:val="20"/>
                <w:color w:val="auto"/>
              </w:rPr>
            </w:pPr>
            <w:r>
              <w:rPr>
                <w:rFonts w:ascii="Arial" w:cs="Arial" w:eastAsia="Arial" w:hAnsi="Arial"/>
                <w:sz w:val="14"/>
                <w:szCs w:val="14"/>
                <w:color w:val="auto"/>
              </w:rPr>
              <w:t>Diluted</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77,636,096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77,125,610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77,575,081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76,981,056</w:t>
            </w: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(UNAUDITED)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Six Months Ended</w:t>
            </w:r>
          </w:p>
        </w:tc>
        <w:tc>
          <w:tcPr>
            <w:tcW w:w="166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June 27, 2019</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June 28, 2018</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6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Consolidated net income</w:t>
            </w:r>
          </w:p>
        </w:tc>
        <w:tc>
          <w:tcPr>
            <w:tcW w:w="1680" w:type="dxa"/>
            <w:vAlign w:val="bottom"/>
          </w:tcPr>
          <w:p>
            <w:pPr>
              <w:jc w:val="right"/>
              <w:ind w:right="15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2"/>
                <w:szCs w:val="22"/>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13.6</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consolidated net income to net cash provided by operating activities:</w:t>
            </w:r>
          </w:p>
        </w:tc>
        <w:tc>
          <w:tcPr>
            <w:tcW w:w="16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Deferred income tax expense</w:t>
            </w:r>
          </w:p>
        </w:tc>
        <w:tc>
          <w:tcPr>
            <w:tcW w:w="16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16.5</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expense</w:t>
            </w:r>
          </w:p>
        </w:tc>
        <w:tc>
          <w:tcPr>
            <w:tcW w:w="16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Amortization expense</w:t>
            </w:r>
          </w:p>
        </w:tc>
        <w:tc>
          <w:tcPr>
            <w:tcW w:w="16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13.6</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Amortization of intangibles recorded for network theater screen leases</w:t>
            </w:r>
          </w:p>
        </w:tc>
        <w:tc>
          <w:tcPr>
            <w:tcW w:w="16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Non-cash share-based compensation</w:t>
            </w:r>
          </w:p>
        </w:tc>
        <w:tc>
          <w:tcPr>
            <w:tcW w:w="16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4.9</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Impairment on investment</w:t>
            </w:r>
          </w:p>
        </w:tc>
        <w:tc>
          <w:tcPr>
            <w:tcW w:w="16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Amortization of debt issuance costs</w:t>
            </w:r>
          </w:p>
        </w:tc>
        <w:tc>
          <w:tcPr>
            <w:tcW w:w="16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1.3</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 on early retirement of debt, net</w:t>
            </w:r>
          </w:p>
        </w:tc>
        <w:tc>
          <w:tcPr>
            <w:tcW w:w="16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57"/>
        </w:trPr>
        <w:tc>
          <w:tcPr>
            <w:tcW w:w="6740" w:type="dxa"/>
            <w:vAlign w:val="bottom"/>
          </w:tcPr>
          <w:p>
            <w:pPr>
              <w:ind w:left="380"/>
              <w:spacing w:after="0" w:line="157" w:lineRule="exact"/>
              <w:rPr>
                <w:sz w:val="20"/>
                <w:szCs w:val="20"/>
                <w:color w:val="auto"/>
              </w:rPr>
            </w:pPr>
            <w:r>
              <w:rPr>
                <w:rFonts w:ascii="Arial" w:cs="Arial" w:eastAsia="Arial" w:hAnsi="Arial"/>
                <w:sz w:val="14"/>
                <w:szCs w:val="14"/>
                <w:color w:val="auto"/>
              </w:rPr>
              <w:t>Non-cash loss (gain) on re-measurement of the payable to founding members under</w:t>
            </w:r>
          </w:p>
        </w:tc>
        <w:tc>
          <w:tcPr>
            <w:tcW w:w="1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88"/>
        </w:trPr>
        <w:tc>
          <w:tcPr>
            <w:tcW w:w="6740" w:type="dxa"/>
            <w:vAlign w:val="bottom"/>
          </w:tcPr>
          <w:p>
            <w:pPr>
              <w:ind w:left="500"/>
              <w:spacing w:after="0"/>
              <w:rPr>
                <w:sz w:val="20"/>
                <w:szCs w:val="20"/>
                <w:color w:val="auto"/>
              </w:rPr>
            </w:pPr>
            <w:r>
              <w:rPr>
                <w:rFonts w:ascii="Arial" w:cs="Arial" w:eastAsia="Arial" w:hAnsi="Arial"/>
                <w:sz w:val="14"/>
                <w:szCs w:val="14"/>
                <w:color w:val="auto"/>
              </w:rPr>
              <w:t>the tax receivable agreement</w:t>
            </w:r>
          </w:p>
        </w:tc>
        <w:tc>
          <w:tcPr>
            <w:tcW w:w="168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Write-off of debt issuance costs</w:t>
            </w:r>
          </w:p>
        </w:tc>
        <w:tc>
          <w:tcPr>
            <w:tcW w:w="16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Other</w:t>
            </w:r>
          </w:p>
        </w:tc>
        <w:tc>
          <w:tcPr>
            <w:tcW w:w="16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0.1</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disposition of intangible assets by network affiliates</w:t>
            </w:r>
          </w:p>
        </w:tc>
        <w:tc>
          <w:tcPr>
            <w:tcW w:w="16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57"/>
        </w:trPr>
        <w:tc>
          <w:tcPr>
            <w:tcW w:w="6740" w:type="dxa"/>
            <w:vAlign w:val="bottom"/>
          </w:tcPr>
          <w:p>
            <w:pPr>
              <w:ind w:left="280"/>
              <w:spacing w:after="0" w:line="157" w:lineRule="exact"/>
              <w:rPr>
                <w:sz w:val="20"/>
                <w:szCs w:val="20"/>
                <w:color w:val="auto"/>
              </w:rPr>
            </w:pPr>
            <w:r>
              <w:rPr>
                <w:rFonts w:ascii="Arial" w:cs="Arial" w:eastAsia="Arial" w:hAnsi="Arial"/>
                <w:sz w:val="14"/>
                <w:szCs w:val="14"/>
                <w:color w:val="auto"/>
              </w:rPr>
              <w:t>Founding member integration and other encumbered theater payments (including</w:t>
            </w:r>
          </w:p>
        </w:tc>
        <w:tc>
          <w:tcPr>
            <w:tcW w:w="1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88"/>
        </w:trPr>
        <w:tc>
          <w:tcPr>
            <w:tcW w:w="6740" w:type="dxa"/>
            <w:vAlign w:val="bottom"/>
          </w:tcPr>
          <w:p>
            <w:pPr>
              <w:ind w:left="380"/>
              <w:spacing w:after="0"/>
              <w:rPr>
                <w:sz w:val="20"/>
                <w:szCs w:val="20"/>
                <w:color w:val="auto"/>
              </w:rPr>
            </w:pPr>
            <w:r>
              <w:rPr>
                <w:rFonts w:ascii="Arial" w:cs="Arial" w:eastAsia="Arial" w:hAnsi="Arial"/>
                <w:sz w:val="14"/>
                <w:szCs w:val="14"/>
                <w:color w:val="auto"/>
              </w:rPr>
              <w:t>payments from related parties of $0.6 in 2019)</w:t>
            </w:r>
          </w:p>
        </w:tc>
        <w:tc>
          <w:tcPr>
            <w:tcW w:w="168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operating assets and liabilities:</w:t>
            </w:r>
          </w:p>
        </w:tc>
        <w:tc>
          <w:tcPr>
            <w:tcW w:w="16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Receivables, net</w:t>
            </w:r>
          </w:p>
        </w:tc>
        <w:tc>
          <w:tcPr>
            <w:tcW w:w="16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34.9</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 and accrued expenses</w:t>
            </w:r>
          </w:p>
        </w:tc>
        <w:tc>
          <w:tcPr>
            <w:tcW w:w="16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Amounts due to/from founding members, net</w:t>
            </w:r>
          </w:p>
        </w:tc>
        <w:tc>
          <w:tcPr>
            <w:tcW w:w="16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0.6</w:t>
            </w:r>
          </w:p>
        </w:tc>
      </w:tr>
      <w:tr>
        <w:trPr>
          <w:trHeight w:val="163"/>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5"/>
              </w:rPr>
              <w:t>Payment to the founding members under tax receivable agreement (including payments to related parties of</w:t>
            </w:r>
          </w:p>
        </w:tc>
        <w:tc>
          <w:tcPr>
            <w:tcW w:w="16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r>
      <w:tr>
        <w:trPr>
          <w:trHeight w:val="194"/>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$9.8 and $17.6, respectively)</w:t>
            </w:r>
          </w:p>
        </w:tc>
        <w:tc>
          <w:tcPr>
            <w:tcW w:w="16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16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3.1</w:t>
            </w: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net</w:t>
            </w:r>
          </w:p>
        </w:tc>
        <w:tc>
          <w:tcPr>
            <w:tcW w:w="16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r>
      <w:tr>
        <w:trPr>
          <w:trHeight w:val="250"/>
        </w:trPr>
        <w:tc>
          <w:tcPr>
            <w:tcW w:w="674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Net cash provided by operating activities</w:t>
            </w:r>
          </w:p>
        </w:tc>
        <w:tc>
          <w:tcPr>
            <w:tcW w:w="16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59.3</w:t>
            </w:r>
          </w:p>
        </w:tc>
        <w:tc>
          <w:tcPr>
            <w:tcW w:w="1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66.2</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6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Purchases of property and equipment</w:t>
            </w:r>
          </w:p>
        </w:tc>
        <w:tc>
          <w:tcPr>
            <w:tcW w:w="16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Purchases of marketable securities</w:t>
            </w:r>
          </w:p>
        </w:tc>
        <w:tc>
          <w:tcPr>
            <w:tcW w:w="16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Proceeds from sale and maturities of marketable securities</w:t>
            </w:r>
          </w:p>
        </w:tc>
        <w:tc>
          <w:tcPr>
            <w:tcW w:w="16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12.0</w:t>
            </w: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notes receivable - founding members</w:t>
            </w:r>
          </w:p>
        </w:tc>
        <w:tc>
          <w:tcPr>
            <w:tcW w:w="16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674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Net cash provided by (used in) investing activities</w:t>
            </w:r>
          </w:p>
        </w:tc>
        <w:tc>
          <w:tcPr>
            <w:tcW w:w="16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16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Payment of dividends</w:t>
            </w:r>
          </w:p>
        </w:tc>
        <w:tc>
          <w:tcPr>
            <w:tcW w:w="16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(28.1)</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revolving credit facility</w:t>
            </w:r>
          </w:p>
        </w:tc>
        <w:tc>
          <w:tcPr>
            <w:tcW w:w="16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71.0</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106.2</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Repayments of revolving credit facility</w:t>
            </w:r>
          </w:p>
        </w:tc>
        <w:tc>
          <w:tcPr>
            <w:tcW w:w="16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(71.0)</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(88.0)</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Repayments of Notes due 2026</w:t>
            </w:r>
          </w:p>
        </w:tc>
        <w:tc>
          <w:tcPr>
            <w:tcW w:w="16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Proceeds from term loan facility</w:t>
            </w:r>
          </w:p>
        </w:tc>
        <w:tc>
          <w:tcPr>
            <w:tcW w:w="16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270.0</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of term loan facility</w:t>
            </w:r>
          </w:p>
        </w:tc>
        <w:tc>
          <w:tcPr>
            <w:tcW w:w="16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(270.0)</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Payment of debt issuance costs</w:t>
            </w:r>
          </w:p>
        </w:tc>
        <w:tc>
          <w:tcPr>
            <w:tcW w:w="16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163"/>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Founding member integration and other encumbered theater payments (including</w:t>
            </w:r>
          </w:p>
        </w:tc>
        <w:tc>
          <w:tcPr>
            <w:tcW w:w="16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r>
      <w:tr>
        <w:trPr>
          <w:trHeight w:val="194"/>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payments from related parties of $11.5 in 2018)</w:t>
            </w:r>
          </w:p>
        </w:tc>
        <w:tc>
          <w:tcPr>
            <w:tcW w:w="16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Distributions to founding members</w:t>
            </w:r>
          </w:p>
        </w:tc>
        <w:tc>
          <w:tcPr>
            <w:tcW w:w="16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(46.1)</w:t>
            </w: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Repurchase of stock for restricted stock tax withholding</w:t>
            </w:r>
          </w:p>
        </w:tc>
        <w:tc>
          <w:tcPr>
            <w:tcW w:w="16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250"/>
        </w:trPr>
        <w:tc>
          <w:tcPr>
            <w:tcW w:w="674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Net cash used in financing activities</w:t>
            </w:r>
          </w:p>
        </w:tc>
        <w:tc>
          <w:tcPr>
            <w:tcW w:w="16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w:t>
            </w:r>
          </w:p>
        </w:tc>
        <w:tc>
          <w:tcPr>
            <w:tcW w:w="1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 IN CASH AND CASH EQUIVALENTS:</w:t>
            </w:r>
          </w:p>
        </w:tc>
        <w:tc>
          <w:tcPr>
            <w:tcW w:w="16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Cash and cash equivalents at beginning of period</w:t>
            </w:r>
          </w:p>
        </w:tc>
        <w:tc>
          <w:tcPr>
            <w:tcW w:w="16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41.4</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30.2</w:t>
            </w:r>
          </w:p>
        </w:tc>
      </w:tr>
      <w:tr>
        <w:trPr>
          <w:trHeight w:val="243"/>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Cash and cash equivalents at end of period</w:t>
            </w:r>
          </w:p>
        </w:tc>
        <w:tc>
          <w:tcPr>
            <w:tcW w:w="1680" w:type="dxa"/>
            <w:vAlign w:val="bottom"/>
            <w:tcBorders>
              <w:bottom w:val="single" w:sz="8" w:color="auto"/>
            </w:tcBorders>
            <w:shd w:val="clear" w:color="auto" w:fill="CCEEFF"/>
          </w:tcPr>
          <w:p>
            <w:pPr>
              <w:jc w:val="right"/>
              <w:ind w:right="15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34.4</w:t>
            </w:r>
          </w:p>
        </w:tc>
      </w:tr>
      <w:tr>
        <w:trPr>
          <w:trHeight w:val="20"/>
        </w:trPr>
        <w:tc>
          <w:tcPr>
            <w:tcW w:w="67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ectPr>
          <w:pgSz w:w="11900" w:h="16838" w:orient="portrait"/>
          <w:cols w:equalWidth="0" w:num="1">
            <w:col w:w="11420"/>
          </w:cols>
          <w:pgMar w:left="240" w:top="126" w:right="239" w:bottom="854"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6" w:right="239" w:bottom="854" w:gutter="0" w:footer="0" w:header="0"/>
          <w:type w:val="continuous"/>
        </w:sectPr>
      </w:pPr>
    </w:p>
    <w:bookmarkStart w:id="5" w:name="page6"/>
    <w:bookmarkEnd w:id="5"/>
    <w:p>
      <w:pPr>
        <w:jc w:val="center"/>
        <w:ind w:right="-119"/>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CONDENSED CONSOLIDATED STATEMENTS OF CASH FLOWS (CONTINUED)</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Six Months Ended</w:t>
            </w:r>
          </w:p>
        </w:tc>
        <w:tc>
          <w:tcPr>
            <w:tcW w:w="1140" w:type="dxa"/>
            <w:vAlign w:val="bottom"/>
            <w:tcBorders>
              <w:bottom w:val="single" w:sz="8" w:color="auto"/>
            </w:tcBorders>
          </w:tcPr>
          <w:p>
            <w:pPr>
              <w:spacing w:after="0"/>
              <w:rPr>
                <w:sz w:val="16"/>
                <w:szCs w:val="16"/>
                <w:color w:val="auto"/>
              </w:rPr>
            </w:pPr>
          </w:p>
        </w:tc>
      </w:tr>
      <w:tr>
        <w:trPr>
          <w:trHeight w:val="152"/>
        </w:trPr>
        <w:tc>
          <w:tcPr>
            <w:tcW w:w="7800" w:type="dxa"/>
            <w:vAlign w:val="bottom"/>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27,</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jc w:val="right"/>
              <w:ind w:right="528"/>
              <w:spacing w:after="0" w:line="153" w:lineRule="exact"/>
              <w:rPr>
                <w:sz w:val="20"/>
                <w:szCs w:val="20"/>
                <w:color w:val="auto"/>
              </w:rPr>
            </w:pPr>
            <w:r>
              <w:rPr>
                <w:rFonts w:ascii="Arial" w:cs="Arial" w:eastAsia="Arial" w:hAnsi="Arial"/>
                <w:sz w:val="14"/>
                <w:szCs w:val="14"/>
                <w:b w:val="1"/>
                <w:bCs w:val="1"/>
                <w:color w:val="auto"/>
                <w:w w:val="92"/>
              </w:rPr>
              <w:t>June 28,</w:t>
            </w:r>
          </w:p>
        </w:tc>
      </w:tr>
      <w:tr>
        <w:trPr>
          <w:trHeight w:val="192"/>
        </w:trPr>
        <w:tc>
          <w:tcPr>
            <w:tcW w:w="78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2018</w:t>
            </w:r>
          </w:p>
        </w:tc>
      </w:tr>
      <w:tr>
        <w:trPr>
          <w:trHeight w:val="270"/>
        </w:trPr>
        <w:tc>
          <w:tcPr>
            <w:tcW w:w="7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 of non-cash financing and investing activity:</w:t>
            </w:r>
          </w:p>
        </w:tc>
        <w:tc>
          <w:tcPr>
            <w:tcW w:w="1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4"/>
        </w:trPr>
        <w:tc>
          <w:tcPr>
            <w:tcW w:w="7800" w:type="dxa"/>
            <w:vAlign w:val="bottom"/>
          </w:tcPr>
          <w:p>
            <w:pPr>
              <w:ind w:left="280"/>
              <w:spacing w:after="0"/>
              <w:rPr>
                <w:sz w:val="20"/>
                <w:szCs w:val="20"/>
                <w:color w:val="auto"/>
              </w:rPr>
            </w:pPr>
            <w:r>
              <w:rPr>
                <w:rFonts w:ascii="Arial" w:cs="Arial" w:eastAsia="Arial" w:hAnsi="Arial"/>
                <w:sz w:val="14"/>
                <w:szCs w:val="14"/>
                <w:color w:val="auto"/>
              </w:rPr>
              <w:t>Purchase of an intangible asset with NCM LLC equity</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2"/>
                <w:szCs w:val="22"/>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15.9</w:t>
            </w:r>
          </w:p>
        </w:tc>
      </w:tr>
      <w:tr>
        <w:trPr>
          <w:trHeight w:val="276"/>
        </w:trPr>
        <w:tc>
          <w:tcPr>
            <w:tcW w:w="7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distributions to founding members</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w:t>
            </w:r>
          </w:p>
        </w:tc>
      </w:tr>
      <w:tr>
        <w:trPr>
          <w:trHeight w:val="157"/>
        </w:trPr>
        <w:tc>
          <w:tcPr>
            <w:tcW w:w="7800" w:type="dxa"/>
            <w:vAlign w:val="bottom"/>
          </w:tcPr>
          <w:p>
            <w:pPr>
              <w:ind w:left="280"/>
              <w:spacing w:after="0" w:line="157" w:lineRule="exact"/>
              <w:rPr>
                <w:sz w:val="20"/>
                <w:szCs w:val="20"/>
                <w:color w:val="auto"/>
              </w:rPr>
            </w:pPr>
            <w:r>
              <w:rPr>
                <w:rFonts w:ascii="Arial" w:cs="Arial" w:eastAsia="Arial" w:hAnsi="Arial"/>
                <w:sz w:val="14"/>
                <w:szCs w:val="14"/>
                <w:color w:val="auto"/>
              </w:rPr>
              <w:t>Accrued integration and other encumbered theater payments due from founding members (including</w:t>
            </w: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88"/>
        </w:trPr>
        <w:tc>
          <w:tcPr>
            <w:tcW w:w="7800" w:type="dxa"/>
            <w:vAlign w:val="bottom"/>
          </w:tcPr>
          <w:p>
            <w:pPr>
              <w:ind w:left="380"/>
              <w:spacing w:after="0"/>
              <w:rPr>
                <w:sz w:val="20"/>
                <w:szCs w:val="20"/>
                <w:color w:val="auto"/>
              </w:rPr>
            </w:pPr>
            <w:r>
              <w:rPr>
                <w:rFonts w:ascii="Arial" w:cs="Arial" w:eastAsia="Arial" w:hAnsi="Arial"/>
                <w:sz w:val="14"/>
                <w:szCs w:val="14"/>
                <w:color w:val="auto"/>
              </w:rPr>
              <w:t>accrued payments due from related parties of $0.2 and $5.3, respectively)</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5.3</w:t>
            </w:r>
          </w:p>
        </w:tc>
      </w:tr>
      <w:tr>
        <w:trPr>
          <w:trHeight w:val="276"/>
        </w:trPr>
        <w:tc>
          <w:tcPr>
            <w:tcW w:w="7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debt issuance costs</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r>
      <w:tr>
        <w:trPr>
          <w:trHeight w:val="264"/>
        </w:trPr>
        <w:tc>
          <w:tcPr>
            <w:tcW w:w="7800" w:type="dxa"/>
            <w:vAlign w:val="bottom"/>
          </w:tcPr>
          <w:p>
            <w:pPr>
              <w:ind w:left="280"/>
              <w:spacing w:after="0"/>
              <w:rPr>
                <w:sz w:val="20"/>
                <w:szCs w:val="20"/>
                <w:color w:val="auto"/>
              </w:rPr>
            </w:pPr>
            <w:r>
              <w:rPr>
                <w:rFonts w:ascii="Arial" w:cs="Arial" w:eastAsia="Arial" w:hAnsi="Arial"/>
                <w:sz w:val="14"/>
                <w:szCs w:val="14"/>
                <w:color w:val="auto"/>
              </w:rPr>
              <w:t>Increase in dividend equivalent accrual not requiring cash in the period</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2"/>
                <w:szCs w:val="22"/>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0.5</w:t>
            </w:r>
          </w:p>
        </w:tc>
      </w:tr>
      <w:tr>
        <w:trPr>
          <w:trHeight w:val="276"/>
        </w:trPr>
        <w:tc>
          <w:tcPr>
            <w:tcW w:w="7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 of cash flow information:</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4"/>
        </w:trPr>
        <w:tc>
          <w:tcPr>
            <w:tcW w:w="7800" w:type="dxa"/>
            <w:vAlign w:val="bottom"/>
          </w:tcPr>
          <w:p>
            <w:pPr>
              <w:ind w:left="280"/>
              <w:spacing w:after="0"/>
              <w:rPr>
                <w:sz w:val="20"/>
                <w:szCs w:val="20"/>
                <w:color w:val="auto"/>
              </w:rPr>
            </w:pPr>
            <w:r>
              <w:rPr>
                <w:rFonts w:ascii="Arial" w:cs="Arial" w:eastAsia="Arial" w:hAnsi="Arial"/>
                <w:sz w:val="14"/>
                <w:szCs w:val="14"/>
                <w:color w:val="auto"/>
              </w:rPr>
              <w:t>Cash paid for interest</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22"/>
                <w:szCs w:val="22"/>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27.0</w:t>
            </w:r>
          </w:p>
        </w:tc>
      </w:tr>
      <w:tr>
        <w:trPr>
          <w:trHeight w:val="276"/>
        </w:trPr>
        <w:tc>
          <w:tcPr>
            <w:tcW w:w="7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paid for income taxes, net of refunds</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r>
    </w:tbl>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126"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EQUITY/(DEFICIT)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7"/>
          </w:tcPr>
          <w:p>
            <w:pPr>
              <w:ind w:left="540"/>
              <w:spacing w:after="0" w:line="158" w:lineRule="exact"/>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3"/>
                <w:szCs w:val="13"/>
                <w:color w:val="auto"/>
              </w:rPr>
            </w:pPr>
          </w:p>
        </w:tc>
        <w:tc>
          <w:tcPr>
            <w:tcW w:w="8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5"/>
              </w:rPr>
              <w:t>Paid in</w:t>
            </w:r>
          </w:p>
        </w:tc>
        <w:tc>
          <w:tcPr>
            <w:tcW w:w="124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(Distribution in</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4"/>
                <w:szCs w:val="4"/>
                <w:color w:val="auto"/>
              </w:rPr>
            </w:pPr>
          </w:p>
        </w:tc>
        <w:tc>
          <w:tcPr>
            <w:tcW w:w="106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88"/>
              </w:rPr>
              <w:t>Excess of</w:t>
            </w:r>
          </w:p>
        </w:tc>
        <w:tc>
          <w:tcPr>
            <w:tcW w:w="120" w:type="dxa"/>
            <w:vAlign w:val="bottom"/>
          </w:tcPr>
          <w:p>
            <w:pPr>
              <w:spacing w:after="0"/>
              <w:rPr>
                <w:sz w:val="4"/>
                <w:szCs w:val="4"/>
                <w:color w:val="auto"/>
              </w:rPr>
            </w:pPr>
          </w:p>
        </w:tc>
        <w:tc>
          <w:tcPr>
            <w:tcW w:w="1120" w:type="dxa"/>
            <w:vAlign w:val="bottom"/>
            <w:vMerge w:val="restart"/>
          </w:tcPr>
          <w:p>
            <w:pPr>
              <w:jc w:val="center"/>
              <w:ind w:right="48"/>
              <w:spacing w:after="0" w:line="139"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65"/>
        </w:trPr>
        <w:tc>
          <w:tcPr>
            <w:tcW w:w="4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106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(Deficit)</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Earnings)</w:t>
            </w:r>
          </w:p>
        </w:tc>
        <w:tc>
          <w:tcPr>
            <w:tcW w:w="120" w:type="dxa"/>
            <w:vAlign w:val="bottom"/>
          </w:tcPr>
          <w:p>
            <w:pPr>
              <w:spacing w:after="0"/>
              <w:rPr>
                <w:sz w:val="16"/>
                <w:szCs w:val="16"/>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256"/>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Balance—March 29,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(84.4)</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76,904,155</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289.7</w:t>
            </w:r>
          </w:p>
        </w:tc>
        <w:tc>
          <w:tcPr>
            <w:tcW w:w="0" w:type="dxa"/>
            <w:vAlign w:val="bottom"/>
          </w:tcPr>
          <w:p>
            <w:pPr>
              <w:spacing w:after="0"/>
              <w:rPr>
                <w:sz w:val="1"/>
                <w:szCs w:val="1"/>
                <w:color w:val="auto"/>
              </w:rPr>
            </w:pPr>
          </w:p>
        </w:tc>
      </w:tr>
      <w:tr>
        <w:trPr>
          <w:trHeight w:val="264"/>
        </w:trPr>
        <w:tc>
          <w:tcPr>
            <w:tcW w:w="4580" w:type="dxa"/>
            <w:vAlign w:val="bottom"/>
          </w:tcPr>
          <w:p>
            <w:pPr>
              <w:ind w:left="40"/>
              <w:spacing w:after="0"/>
              <w:rPr>
                <w:sz w:val="20"/>
                <w:szCs w:val="20"/>
                <w:color w:val="auto"/>
              </w:rPr>
            </w:pPr>
            <w:r>
              <w:rPr>
                <w:rFonts w:ascii="Arial" w:cs="Arial" w:eastAsia="Arial" w:hAnsi="Arial"/>
                <w:sz w:val="14"/>
                <w:szCs w:val="14"/>
                <w:color w:val="auto"/>
              </w:rPr>
              <w:t>Distributions to founding members</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2"/>
                <w:szCs w:val="22"/>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and other impacts of NCM LLC ownership changes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40"/>
              <w:spacing w:after="0"/>
              <w:rPr>
                <w:sz w:val="20"/>
                <w:szCs w:val="20"/>
                <w:color w:val="auto"/>
              </w:rPr>
            </w:pPr>
            <w:r>
              <w:rPr>
                <w:rFonts w:ascii="Arial" w:cs="Arial" w:eastAsia="Arial" w:hAnsi="Arial"/>
                <w:sz w:val="14"/>
                <w:szCs w:val="14"/>
                <w:color w:val="auto"/>
              </w:rPr>
              <w:t>Comprehensive income, net of tax</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2"/>
                <w:szCs w:val="22"/>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issued</w:t>
            </w: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11,377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40"/>
              <w:spacing w:after="0"/>
              <w:rPr>
                <w:sz w:val="20"/>
                <w:szCs w:val="20"/>
                <w:color w:val="auto"/>
              </w:rPr>
            </w:pPr>
            <w:r>
              <w:rPr>
                <w:rFonts w:ascii="Arial" w:cs="Arial" w:eastAsia="Arial" w:hAnsi="Arial"/>
                <w:sz w:val="14"/>
                <w:szCs w:val="14"/>
                <w:color w:val="auto"/>
              </w:rPr>
              <w:t>Share-based compensation expense/capitalized</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 $0.17 per share</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Balance—June 28,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(95.1)</w:t>
            </w:r>
          </w:p>
        </w:tc>
        <w:tc>
          <w:tcPr>
            <w:tcW w:w="120" w:type="dxa"/>
            <w:vAlign w:val="bottom"/>
            <w:tcBorders>
              <w:bottom w:val="single" w:sz="8" w:color="CCEEFF"/>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76,915,532</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(227.1)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286.1</w:t>
            </w:r>
          </w:p>
        </w:tc>
        <w:tc>
          <w:tcPr>
            <w:tcW w:w="0" w:type="dxa"/>
            <w:vAlign w:val="bottom"/>
          </w:tcPr>
          <w:p>
            <w:pPr>
              <w:spacing w:after="0"/>
              <w:rPr>
                <w:sz w:val="1"/>
                <w:szCs w:val="1"/>
                <w:color w:val="auto"/>
              </w:rPr>
            </w:pPr>
          </w:p>
        </w:tc>
      </w:tr>
      <w:tr>
        <w:trPr>
          <w:trHeight w:val="264"/>
        </w:trPr>
        <w:tc>
          <w:tcPr>
            <w:tcW w:w="4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580" w:type="dxa"/>
            <w:vAlign w:val="bottom"/>
          </w:tcPr>
          <w:p>
            <w:pPr>
              <w:ind w:left="40"/>
              <w:spacing w:after="0"/>
              <w:rPr>
                <w:sz w:val="20"/>
                <w:szCs w:val="20"/>
                <w:color w:val="auto"/>
              </w:rPr>
            </w:pPr>
            <w:r>
              <w:rPr>
                <w:rFonts w:ascii="Arial" w:cs="Arial" w:eastAsia="Arial" w:hAnsi="Arial"/>
                <w:sz w:val="14"/>
                <w:szCs w:val="14"/>
                <w:color w:val="auto"/>
              </w:rPr>
              <w:t>Balance—March 28, 2019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(104.7)</w:t>
            </w: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77,318,971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(213.6)</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(168.0)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276.1</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to founding members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64"/>
        </w:trPr>
        <w:tc>
          <w:tcPr>
            <w:tcW w:w="4580" w:type="dxa"/>
            <w:vAlign w:val="bottom"/>
          </w:tcPr>
          <w:p>
            <w:pPr>
              <w:ind w:left="40"/>
              <w:spacing w:after="0"/>
              <w:rPr>
                <w:sz w:val="20"/>
                <w:szCs w:val="20"/>
                <w:color w:val="auto"/>
              </w:rPr>
            </w:pPr>
            <w:r>
              <w:rPr>
                <w:rFonts w:ascii="Arial" w:cs="Arial" w:eastAsia="Arial" w:hAnsi="Arial"/>
                <w:sz w:val="14"/>
                <w:szCs w:val="14"/>
                <w:color w:val="auto"/>
              </w:rPr>
              <w:t>Income tax and other impacts of NCM LLC ownership changes</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income, net of tax</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64"/>
        </w:trPr>
        <w:tc>
          <w:tcPr>
            <w:tcW w:w="4580" w:type="dxa"/>
            <w:vAlign w:val="bottom"/>
          </w:tcPr>
          <w:p>
            <w:pPr>
              <w:ind w:left="40"/>
              <w:spacing w:after="0"/>
              <w:rPr>
                <w:sz w:val="20"/>
                <w:szCs w:val="20"/>
                <w:color w:val="auto"/>
              </w:rPr>
            </w:pPr>
            <w:r>
              <w:rPr>
                <w:rFonts w:ascii="Arial" w:cs="Arial" w:eastAsia="Arial" w:hAnsi="Arial"/>
                <w:sz w:val="14"/>
                <w:szCs w:val="14"/>
                <w:color w:val="auto"/>
              </w:rPr>
              <w:t>Share-based compensation issued</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30,657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expense/capitalized</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64"/>
        </w:trPr>
        <w:tc>
          <w:tcPr>
            <w:tcW w:w="4580" w:type="dxa"/>
            <w:vAlign w:val="bottom"/>
          </w:tcPr>
          <w:p>
            <w:pPr>
              <w:ind w:left="40"/>
              <w:spacing w:after="0"/>
              <w:rPr>
                <w:sz w:val="20"/>
                <w:szCs w:val="20"/>
                <w:color w:val="auto"/>
              </w:rPr>
            </w:pPr>
            <w:r>
              <w:rPr>
                <w:rFonts w:ascii="Arial" w:cs="Arial" w:eastAsia="Arial" w:hAnsi="Arial"/>
                <w:sz w:val="14"/>
                <w:szCs w:val="14"/>
                <w:color w:val="auto"/>
              </w:rPr>
              <w:t>Cash dividends declared $0.17 per share</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2"/>
                <w:szCs w:val="22"/>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Balance—June 27,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77,349,628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273.2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4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7"/>
            <w:vMerge w:val="restart"/>
          </w:tcPr>
          <w:p>
            <w:pPr>
              <w:ind w:left="5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Paid in</w:t>
            </w:r>
          </w:p>
        </w:tc>
        <w:tc>
          <w:tcPr>
            <w:tcW w:w="12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(Distribution in</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4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5"/>
                <w:szCs w:val="5"/>
                <w:color w:val="auto"/>
              </w:rPr>
            </w:pPr>
          </w:p>
        </w:tc>
        <w:tc>
          <w:tcPr>
            <w:tcW w:w="10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Excess of</w:t>
            </w:r>
          </w:p>
        </w:tc>
        <w:tc>
          <w:tcPr>
            <w:tcW w:w="120" w:type="dxa"/>
            <w:vAlign w:val="bottom"/>
          </w:tcPr>
          <w:p>
            <w:pPr>
              <w:spacing w:after="0"/>
              <w:rPr>
                <w:sz w:val="5"/>
                <w:szCs w:val="5"/>
                <w:color w:val="auto"/>
              </w:rPr>
            </w:pPr>
          </w:p>
        </w:tc>
        <w:tc>
          <w:tcPr>
            <w:tcW w:w="1120" w:type="dxa"/>
            <w:vAlign w:val="bottom"/>
            <w:vMerge w:val="restart"/>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65"/>
        </w:trPr>
        <w:tc>
          <w:tcPr>
            <w:tcW w:w="4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120" w:type="dxa"/>
            <w:vAlign w:val="bottom"/>
            <w:vMerge w:val="restart"/>
          </w:tcPr>
          <w:p>
            <w:pPr>
              <w:spacing w:after="0"/>
              <w:rPr>
                <w:sz w:val="5"/>
                <w:szCs w:val="5"/>
                <w:color w:val="auto"/>
              </w:rPr>
            </w:pPr>
          </w:p>
        </w:tc>
        <w:tc>
          <w:tcPr>
            <w:tcW w:w="10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5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5"/>
              </w:rPr>
              <w:t>(Deficit)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5"/>
              </w:rPr>
              <w:t>Earnings)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256"/>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Balance—December 28, 2017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76,242,222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287.7</w:t>
            </w:r>
          </w:p>
        </w:tc>
        <w:tc>
          <w:tcPr>
            <w:tcW w:w="0" w:type="dxa"/>
            <w:vAlign w:val="bottom"/>
          </w:tcPr>
          <w:p>
            <w:pPr>
              <w:spacing w:after="0"/>
              <w:rPr>
                <w:sz w:val="1"/>
                <w:szCs w:val="1"/>
                <w:color w:val="auto"/>
              </w:rPr>
            </w:pPr>
          </w:p>
        </w:tc>
      </w:tr>
      <w:tr>
        <w:trPr>
          <w:trHeight w:val="264"/>
        </w:trPr>
        <w:tc>
          <w:tcPr>
            <w:tcW w:w="4580" w:type="dxa"/>
            <w:vAlign w:val="bottom"/>
          </w:tcPr>
          <w:p>
            <w:pPr>
              <w:ind w:left="40"/>
              <w:spacing w:after="0"/>
              <w:rPr>
                <w:sz w:val="20"/>
                <w:szCs w:val="20"/>
                <w:color w:val="auto"/>
              </w:rPr>
            </w:pPr>
            <w:r>
              <w:rPr>
                <w:rFonts w:ascii="Arial" w:cs="Arial" w:eastAsia="Arial" w:hAnsi="Arial"/>
                <w:sz w:val="14"/>
                <w:szCs w:val="14"/>
                <w:color w:val="auto"/>
              </w:rPr>
              <w:t>Cumulative-effect adjustment for adoption of ASU 2014-09</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to founding members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2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264"/>
        </w:trPr>
        <w:tc>
          <w:tcPr>
            <w:tcW w:w="4580" w:type="dxa"/>
            <w:vAlign w:val="bottom"/>
          </w:tcPr>
          <w:p>
            <w:pPr>
              <w:ind w:left="40"/>
              <w:spacing w:after="0"/>
              <w:rPr>
                <w:sz w:val="20"/>
                <w:szCs w:val="20"/>
                <w:color w:val="auto"/>
              </w:rPr>
            </w:pPr>
            <w:r>
              <w:rPr>
                <w:rFonts w:ascii="Arial" w:cs="Arial" w:eastAsia="Arial" w:hAnsi="Arial"/>
                <w:sz w:val="14"/>
                <w:szCs w:val="14"/>
                <w:color w:val="auto"/>
              </w:rPr>
              <w:t>NCM LLC equity issued for purchase of intangible asset</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22"/>
                <w:szCs w:val="22"/>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and other impacts of NCM LLC ownership changes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64"/>
        </w:trPr>
        <w:tc>
          <w:tcPr>
            <w:tcW w:w="4580" w:type="dxa"/>
            <w:vAlign w:val="bottom"/>
          </w:tcPr>
          <w:p>
            <w:pPr>
              <w:ind w:left="40"/>
              <w:spacing w:after="0"/>
              <w:rPr>
                <w:sz w:val="20"/>
                <w:szCs w:val="20"/>
                <w:color w:val="auto"/>
              </w:rPr>
            </w:pPr>
            <w:r>
              <w:rPr>
                <w:rFonts w:ascii="Arial" w:cs="Arial" w:eastAsia="Arial" w:hAnsi="Arial"/>
                <w:sz w:val="14"/>
                <w:szCs w:val="14"/>
                <w:color w:val="auto"/>
              </w:rPr>
              <w:t>Comprehensive income, net of tax</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22"/>
                <w:szCs w:val="22"/>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issued</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673,310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40"/>
              <w:spacing w:after="0"/>
              <w:rPr>
                <w:sz w:val="20"/>
                <w:szCs w:val="20"/>
                <w:color w:val="auto"/>
              </w:rPr>
            </w:pPr>
            <w:r>
              <w:rPr>
                <w:rFonts w:ascii="Arial" w:cs="Arial" w:eastAsia="Arial" w:hAnsi="Arial"/>
                <w:sz w:val="14"/>
                <w:szCs w:val="14"/>
                <w:color w:val="auto"/>
              </w:rPr>
              <w:t>Share-based compensation expense/capitalized</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 $0.34 per share</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4580" w:type="dxa"/>
            <w:vAlign w:val="bottom"/>
          </w:tcPr>
          <w:p>
            <w:pPr>
              <w:ind w:left="40"/>
              <w:spacing w:after="0"/>
              <w:rPr>
                <w:sz w:val="20"/>
                <w:szCs w:val="20"/>
                <w:color w:val="auto"/>
              </w:rPr>
            </w:pPr>
            <w:r>
              <w:rPr>
                <w:rFonts w:ascii="Arial" w:cs="Arial" w:eastAsia="Arial" w:hAnsi="Arial"/>
                <w:sz w:val="14"/>
                <w:szCs w:val="14"/>
                <w:color w:val="auto"/>
              </w:rPr>
              <w:t>Balance—June 28, 2018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(95.1)</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76,915,532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(227.1)</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(154.9)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286.1</w:t>
            </w:r>
          </w:p>
        </w:tc>
        <w:tc>
          <w:tcPr>
            <w:tcW w:w="0" w:type="dxa"/>
            <w:vAlign w:val="bottom"/>
          </w:tcPr>
          <w:p>
            <w:pPr>
              <w:spacing w:after="0"/>
              <w:rPr>
                <w:sz w:val="1"/>
                <w:szCs w:val="1"/>
                <w:color w:val="auto"/>
              </w:rPr>
            </w:pPr>
          </w:p>
        </w:tc>
      </w:tr>
      <w:tr>
        <w:trPr>
          <w:trHeight w:val="197"/>
        </w:trPr>
        <w:tc>
          <w:tcPr>
            <w:tcW w:w="4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580" w:type="dxa"/>
            <w:vAlign w:val="bottom"/>
          </w:tcPr>
          <w:p>
            <w:pPr>
              <w:ind w:left="40"/>
              <w:spacing w:after="0"/>
              <w:rPr>
                <w:sz w:val="20"/>
                <w:szCs w:val="20"/>
                <w:color w:val="auto"/>
              </w:rPr>
            </w:pPr>
            <w:r>
              <w:rPr>
                <w:rFonts w:ascii="Arial" w:cs="Arial" w:eastAsia="Arial" w:hAnsi="Arial"/>
                <w:sz w:val="14"/>
                <w:szCs w:val="14"/>
                <w:color w:val="auto"/>
              </w:rPr>
              <w:t>Balance—December 27, 2018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(89.2)</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76,976,398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(215.2)</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(153.6)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278.8</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to founding members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64"/>
        </w:trPr>
        <w:tc>
          <w:tcPr>
            <w:tcW w:w="4580" w:type="dxa"/>
            <w:vAlign w:val="bottom"/>
          </w:tcPr>
          <w:p>
            <w:pPr>
              <w:ind w:left="40"/>
              <w:spacing w:after="0"/>
              <w:rPr>
                <w:sz w:val="20"/>
                <w:szCs w:val="20"/>
                <w:color w:val="auto"/>
              </w:rPr>
            </w:pPr>
            <w:r>
              <w:rPr>
                <w:rFonts w:ascii="Arial" w:cs="Arial" w:eastAsia="Arial" w:hAnsi="Arial"/>
                <w:sz w:val="14"/>
                <w:szCs w:val="14"/>
                <w:color w:val="auto"/>
              </w:rPr>
              <w:t>NCM LLC equity issued for purchase of intangible asset</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2"/>
                <w:szCs w:val="22"/>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and other impacts of NCM LLC ownership changes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64"/>
        </w:trPr>
        <w:tc>
          <w:tcPr>
            <w:tcW w:w="4580" w:type="dxa"/>
            <w:vAlign w:val="bottom"/>
          </w:tcPr>
          <w:p>
            <w:pPr>
              <w:ind w:left="40"/>
              <w:spacing w:after="0"/>
              <w:rPr>
                <w:sz w:val="20"/>
                <w:szCs w:val="20"/>
                <w:color w:val="auto"/>
              </w:rPr>
            </w:pPr>
            <w:r>
              <w:rPr>
                <w:rFonts w:ascii="Arial" w:cs="Arial" w:eastAsia="Arial" w:hAnsi="Arial"/>
                <w:sz w:val="14"/>
                <w:szCs w:val="14"/>
                <w:color w:val="auto"/>
              </w:rPr>
              <w:t>Comprehensive income, net of tax</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2"/>
                <w:szCs w:val="22"/>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issued</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373,230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40"/>
              <w:spacing w:after="0"/>
              <w:rPr>
                <w:sz w:val="20"/>
                <w:szCs w:val="20"/>
                <w:color w:val="auto"/>
              </w:rPr>
            </w:pPr>
            <w:r>
              <w:rPr>
                <w:rFonts w:ascii="Arial" w:cs="Arial" w:eastAsia="Arial" w:hAnsi="Arial"/>
                <w:sz w:val="14"/>
                <w:szCs w:val="14"/>
                <w:color w:val="auto"/>
              </w:rPr>
              <w:t>Share-based compensation expense/capitalized</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 $0.34 per share</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4"/>
                <w:szCs w:val="14"/>
                <w:color w:val="auto"/>
              </w:rPr>
              <w:t>Balance—June 27, 2019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(110.5)</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77,349,628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(211.9)</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(172.6)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273.2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6" w:right="239" w:bottom="1440" w:gutter="0" w:footer="0" w:header="0"/>
          <w:type w:val="continuous"/>
        </w:sectPr>
      </w:pPr>
    </w:p>
    <w:bookmarkStart w:id="7" w:name="page8"/>
    <w:bookmarkEnd w:id="7"/>
    <w:p>
      <w:pPr>
        <w:jc w:val="center"/>
        <w:ind w:left="260" w:right="274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ind w:right="140" w:firstLine="540"/>
        <w:spacing w:after="0" w:line="273" w:lineRule="auto"/>
        <w:rPr>
          <w:sz w:val="20"/>
          <w:szCs w:val="20"/>
          <w:color w:val="auto"/>
        </w:rPr>
      </w:pPr>
      <w:r>
        <w:rPr>
          <w:rFonts w:ascii="Arial" w:cs="Arial" w:eastAsia="Arial" w:hAnsi="Arial"/>
          <w:sz w:val="17"/>
          <w:szCs w:val="17"/>
          <w:color w:val="auto"/>
        </w:rPr>
        <w:t>National CineMedia, Inc. (“NCM, Inc.”) was incorporated in Delaware as a holding company with the sole purpose of becoming a member and sole manager of National CineMedia, LLC (“NCM LLC”), a limited liability company. NCM LLC is currently owned by NCM, Inc., Regal Cinemas, Inc. and Regal CineMedia Corporation, wholly owned subsidiaries of Cineworld Group plc and Regal Entertainment Group (“Regal”), Cinemark Media, Inc. and Cinemark USA, Inc., wholly owned subsidiaries of Cinemark Holdings, Inc. (“Cinemark”) and American Multi-Cinema, Inc., a wholly owned subsidiary of AMC Entertainment, Inc. (“AMC”). The terms “NCM”, “the Company” or “we” shall, unless the context otherwise requires, be deemed to include the consolidated entity. AMC, Regal, Cinemark and their affiliates are referred to in this document as “founding members”.</w:t>
      </w:r>
    </w:p>
    <w:p>
      <w:pPr>
        <w:spacing w:after="0" w:line="124" w:lineRule="exact"/>
        <w:rPr>
          <w:sz w:val="20"/>
          <w:szCs w:val="20"/>
          <w:color w:val="auto"/>
        </w:rPr>
      </w:pPr>
    </w:p>
    <w:p>
      <w:pPr>
        <w:ind w:right="260" w:firstLine="585"/>
        <w:spacing w:after="0" w:line="257" w:lineRule="auto"/>
        <w:rPr>
          <w:sz w:val="20"/>
          <w:szCs w:val="20"/>
          <w:color w:val="auto"/>
        </w:rPr>
      </w:pPr>
      <w:r>
        <w:rPr>
          <w:rFonts w:ascii="Arial" w:cs="Arial" w:eastAsia="Arial" w:hAnsi="Arial"/>
          <w:sz w:val="18"/>
          <w:szCs w:val="18"/>
          <w:color w:val="auto"/>
        </w:rPr>
        <w:t>NCM LLC operates the largest cinema advertising network reaching movie audiences in North America, allowing NCM LLC to sell advertising under long-term exhibitor services agreements (“ESAs”) with the founding members (approximately 18 years remaining as of June 27, 2019) and certain third-party theater circuits, referred to in this document as “network affiliates” under long-term network affiliate agreements, which expire at various dates between September 2019 and July 2031. The weighted average remaining term (based on attendance) of the ESAs and the network affiliate agreements is 15.5 years as of June 27, 2019.</w:t>
      </w:r>
    </w:p>
    <w:p>
      <w:pPr>
        <w:spacing w:after="0" w:line="134" w:lineRule="exact"/>
        <w:rPr>
          <w:sz w:val="20"/>
          <w:szCs w:val="20"/>
          <w:color w:val="auto"/>
        </w:rPr>
      </w:pPr>
    </w:p>
    <w:p>
      <w:pPr>
        <w:jc w:val="both"/>
        <w:ind w:right="140" w:firstLine="540"/>
        <w:spacing w:after="0" w:line="264" w:lineRule="auto"/>
        <w:rPr>
          <w:sz w:val="20"/>
          <w:szCs w:val="20"/>
          <w:color w:val="auto"/>
        </w:rPr>
      </w:pPr>
      <w:r>
        <w:rPr>
          <w:rFonts w:ascii="Arial" w:cs="Arial" w:eastAsia="Arial" w:hAnsi="Arial"/>
          <w:sz w:val="18"/>
          <w:szCs w:val="18"/>
          <w:color w:val="auto"/>
        </w:rPr>
        <w:t>As of June 27, 2019, NCM LLC had 159,055,115 common membership units outstanding, of which 77,349,628 (48.6%) were owned by NCM, Inc., 41,770,669 (26.3%) were owned by Regal, 39,737,700 (25.0%) were owned by Cinemark and 197,118 (0.1%) were owned by AMC. The membership units held by the founding members are exchangeable into NCM, Inc. common stock on a one-for-one basis.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40" w:firstLine="540"/>
        <w:spacing w:after="0" w:line="289" w:lineRule="auto"/>
        <w:rPr>
          <w:sz w:val="20"/>
          <w:szCs w:val="20"/>
          <w:color w:val="auto"/>
        </w:rPr>
      </w:pPr>
      <w:r>
        <w:rPr>
          <w:rFonts w:ascii="Arial" w:cs="Arial" w:eastAsia="Arial" w:hAnsi="Arial"/>
          <w:sz w:val="16"/>
          <w:szCs w:val="16"/>
          <w:color w:val="auto"/>
        </w:rPr>
        <w:t>The Company has prepared the unaudited Condensed Consolidated Financial Statements and related notes of NCM, Inc. in accordance with accounting principles generally accepted in the United States of America (“GAAP”) for interim financial information and the rules and regulations of the Securities and Exchange Commission (“SEC”). Certain reclassifications have been made to the prior year's financial statements to conform to the current presentation (refer to the Condensed Consolidated Statements of Income and Condensed Consolidated Statement of Cash Flows, whereby the Company presented depreciation expense and amortization expense as two separate lines and refer to the Condensed Consolidated Statements of Income, whereby the Company presented loss (gain) on retirement of debt, net as a separate line). Accordingly, certain information and footnote disclosures typically included in an annual report have been condensed or omitted for this quarterly report. The balance sheet as of December 27, 2018 is derived from the audited financial statements of NCM, Inc. Therefore, the unaudited Condensed Consolidated Financial Statements should be read in conjunction with the audited Consolidated Financial Statements and notes thereto included in the Company’s annual report on Form 10-K filed for the fiscal year ended December 27, 2018.</w:t>
      </w:r>
    </w:p>
    <w:p>
      <w:pPr>
        <w:spacing w:after="0" w:line="113" w:lineRule="exact"/>
        <w:rPr>
          <w:sz w:val="20"/>
          <w:szCs w:val="20"/>
          <w:color w:val="auto"/>
        </w:rPr>
      </w:pPr>
    </w:p>
    <w:p>
      <w:pPr>
        <w:ind w:right="80" w:firstLine="540"/>
        <w:spacing w:after="0" w:line="276" w:lineRule="auto"/>
        <w:rPr>
          <w:sz w:val="20"/>
          <w:szCs w:val="20"/>
          <w:color w:val="auto"/>
        </w:rPr>
      </w:pPr>
      <w:r>
        <w:rPr>
          <w:rFonts w:ascii="Arial" w:cs="Arial" w:eastAsia="Arial" w:hAnsi="Arial"/>
          <w:sz w:val="17"/>
          <w:szCs w:val="17"/>
          <w:color w:val="auto"/>
        </w:rPr>
        <w:t>In the opinion of management, all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 party agreements discussed in Note 5—</w:t>
      </w:r>
      <w:r>
        <w:rPr>
          <w:rFonts w:ascii="Arial" w:cs="Arial" w:eastAsia="Arial" w:hAnsi="Arial"/>
          <w:sz w:val="17"/>
          <w:szCs w:val="17"/>
          <w:i w:val="1"/>
          <w:iCs w:val="1"/>
          <w:color w:val="auto"/>
        </w:rPr>
        <w:t>Related</w:t>
      </w:r>
      <w:r>
        <w:rPr>
          <w:rFonts w:ascii="Arial" w:cs="Arial" w:eastAsia="Arial" w:hAnsi="Arial"/>
          <w:sz w:val="17"/>
          <w:szCs w:val="17"/>
          <w:color w:val="auto"/>
        </w:rPr>
        <w:t xml:space="preserve"> </w:t>
      </w:r>
      <w:r>
        <w:rPr>
          <w:rFonts w:ascii="Arial" w:cs="Arial" w:eastAsia="Arial" w:hAnsi="Arial"/>
          <w:sz w:val="17"/>
          <w:szCs w:val="17"/>
          <w:i w:val="1"/>
          <w:iCs w:val="1"/>
          <w:color w:val="auto"/>
        </w:rPr>
        <w:t>Party Transactions</w:t>
      </w:r>
      <w:r>
        <w:rPr>
          <w:rFonts w:ascii="Arial" w:cs="Arial" w:eastAsia="Arial" w:hAnsi="Arial"/>
          <w:sz w:val="17"/>
          <w:szCs w:val="17"/>
          <w:color w:val="auto"/>
        </w:rPr>
        <w:t>, the operating results as presented are not necessarily indicative of the results that might have occurred if all agreements were with non-related third parties. The Company manages its business under one reportable segment of advertising.</w:t>
      </w:r>
    </w:p>
    <w:p>
      <w:pPr>
        <w:spacing w:after="0" w:line="119" w:lineRule="exact"/>
        <w:rPr>
          <w:sz w:val="20"/>
          <w:szCs w:val="20"/>
          <w:color w:val="auto"/>
        </w:rPr>
      </w:pPr>
    </w:p>
    <w:p>
      <w:pPr>
        <w:ind w:firstLine="540"/>
        <w:spacing w:after="0" w:line="279" w:lineRule="auto"/>
        <w:rPr>
          <w:sz w:val="20"/>
          <w:szCs w:val="20"/>
          <w:color w:val="auto"/>
        </w:rPr>
      </w:pPr>
      <w:r>
        <w:rPr>
          <w:rFonts w:ascii="Arial" w:cs="Arial" w:eastAsia="Arial" w:hAnsi="Arial"/>
          <w:sz w:val="17"/>
          <w:szCs w:val="17"/>
          <w:b w:val="1"/>
          <w:bCs w:val="1"/>
          <w:i w:val="1"/>
          <w:iCs w:val="1"/>
          <w:color w:val="auto"/>
        </w:rPr>
        <w:t>Estimates</w:t>
      </w:r>
      <w:r>
        <w:rPr>
          <w:rFonts w:ascii="Arial" w:cs="Arial" w:eastAsia="Arial" w:hAnsi="Arial"/>
          <w:sz w:val="17"/>
          <w:szCs w:val="17"/>
          <w:color w:val="auto"/>
        </w:rPr>
        <w:t>—The preparation of the financial statements in conformity with GAAP requires management to make estimates and assumptions that affect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and income taxes. Actual results could differ from those estimates.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71" w:lineRule="exact"/>
        <w:rPr>
          <w:sz w:val="20"/>
          <w:szCs w:val="20"/>
          <w:color w:val="auto"/>
        </w:rPr>
      </w:pPr>
    </w:p>
    <w:p>
      <w:pPr>
        <w:ind w:right="760" w:firstLine="540"/>
        <w:spacing w:after="0" w:line="342" w:lineRule="auto"/>
        <w:rPr>
          <w:sz w:val="20"/>
          <w:szCs w:val="20"/>
          <w:color w:val="auto"/>
        </w:rPr>
      </w:pPr>
      <w:r>
        <w:rPr>
          <w:rFonts w:ascii="Arial" w:cs="Arial" w:eastAsia="Arial" w:hAnsi="Arial"/>
          <w:sz w:val="16"/>
          <w:szCs w:val="16"/>
          <w:color w:val="auto"/>
        </w:rPr>
        <w:t>The Company’s annual financial statements included in its Form 10-K filed for the fiscal year ended December 27, 2018 contain a complete discussion of the Company’s significant accounting policies. Following is additional information related to the Company’s accounting policies.</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8" w:name="page9"/>
    <w:bookmarkEnd w:id="8"/>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7" w:lineRule="exact"/>
        <w:rPr>
          <w:sz w:val="20"/>
          <w:szCs w:val="20"/>
          <w:color w:val="auto"/>
        </w:rPr>
      </w:pPr>
    </w:p>
    <w:p>
      <w:pPr>
        <w:ind w:right="500" w:firstLine="648"/>
        <w:spacing w:after="0" w:line="302"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color w:val="auto"/>
        </w:rPr>
        <w:t>—The Company derives revenue principally from the advertising business, which includes on-screen and lobby network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(LEN) advertising and lobby promotions and advertising on websites and mobile applications owned by NCM LLC and other companies. Revenue is recognized over time as the customer receives the benefits provided by NCM LLC’s advertising services and the Company has the right to payment for performance to date. The Company considers the terms of each arrangement to determine the appropriate accounting treatment.</w:t>
      </w:r>
    </w:p>
    <w:p>
      <w:pPr>
        <w:spacing w:after="0" w:line="100" w:lineRule="exact"/>
        <w:rPr>
          <w:sz w:val="20"/>
          <w:szCs w:val="20"/>
          <w:color w:val="auto"/>
        </w:rPr>
      </w:pPr>
    </w:p>
    <w:p>
      <w:pPr>
        <w:ind w:right="80" w:firstLine="540"/>
        <w:spacing w:after="0" w:line="284" w:lineRule="auto"/>
        <w:rPr>
          <w:sz w:val="20"/>
          <w:szCs w:val="20"/>
          <w:color w:val="auto"/>
        </w:rPr>
      </w:pPr>
      <w:r>
        <w:rPr>
          <w:rFonts w:ascii="Arial" w:cs="Arial" w:eastAsia="Arial" w:hAnsi="Arial"/>
          <w:sz w:val="16"/>
          <w:szCs w:val="16"/>
          <w:b w:val="1"/>
          <w:bCs w:val="1"/>
          <w:i w:val="1"/>
          <w:iCs w:val="1"/>
          <w:color w:val="auto"/>
        </w:rPr>
        <w:t>Concentration of Credit Risk and Significant Customers</w:t>
      </w:r>
      <w:r>
        <w:rPr>
          <w:rFonts w:ascii="Arial" w:cs="Arial" w:eastAsia="Arial" w:hAnsi="Arial"/>
          <w:sz w:val="16"/>
          <w:szCs w:val="16"/>
          <w:color w:val="auto"/>
        </w:rPr>
        <w:t>—Bad debts are provided for using the allowance for doubtful accounts method based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experience and management’s evaluation of outstanding receivables at the end of the period. Receivables are written off when management determines amounts are uncollectible. Trade accounts receivable are uncollateralized and represent a large number of geographically dispersed debtors. The collectability risk with respect to national and regional advertising is reduced by transacting with founding members or large, national advertising agencies that have strong reputations in the advertising industry and clients with stable financial positions. The Company has smaller contracts with thousands of local clients that are not individually significant. As of June 27, 2019 and December 27, 2018, there were no advertising agency groups or individual customers through which the Company sources national advertising revenue representing more than 10% of the Company’s outstanding gross receivable</w:t>
      </w:r>
    </w:p>
    <w:p>
      <w:pPr>
        <w:spacing w:after="0" w:line="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balance. During the three and six months ended June 27, 2019 and June 28, 2018, the Company had no customers that accounted for more than 10% of revenue.</w:t>
      </w:r>
    </w:p>
    <w:p>
      <w:pPr>
        <w:spacing w:after="0" w:line="130" w:lineRule="exact"/>
        <w:rPr>
          <w:sz w:val="20"/>
          <w:szCs w:val="20"/>
          <w:color w:val="auto"/>
        </w:rPr>
      </w:pPr>
    </w:p>
    <w:p>
      <w:pPr>
        <w:ind w:right="20" w:firstLine="540"/>
        <w:spacing w:after="0" w:line="270" w:lineRule="auto"/>
        <w:rPr>
          <w:sz w:val="20"/>
          <w:szCs w:val="20"/>
          <w:color w:val="auto"/>
        </w:rPr>
      </w:pPr>
      <w:r>
        <w:rPr>
          <w:rFonts w:ascii="Arial" w:cs="Arial" w:eastAsia="Arial" w:hAnsi="Arial"/>
          <w:sz w:val="17"/>
          <w:szCs w:val="17"/>
          <w:b w:val="1"/>
          <w:bCs w:val="1"/>
          <w:i w:val="1"/>
          <w:iCs w:val="1"/>
          <w:color w:val="auto"/>
        </w:rPr>
        <w:t>Share-Based Compensation</w:t>
      </w:r>
      <w:r>
        <w:rPr>
          <w:rFonts w:ascii="Arial" w:cs="Arial" w:eastAsia="Arial" w:hAnsi="Arial"/>
          <w:sz w:val="17"/>
          <w:szCs w:val="17"/>
          <w:color w:val="auto"/>
        </w:rPr>
        <w:t>—The Company has issued stock options and restricted stock to certain employees and restricted stock units to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independent directors. The Company has not granted stock options since 2012. In 2018 and 2019, the restricted stock grants for Company management vest upon the achievement of Company performance measures and/or service conditions, while non-management grants vest only upon the achievement of service conditions. Compensation expense of restricted stock that vests upon the achievement of Company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of restricted stock expected to vest. Ultimately, the Company adjusts the expense recognized to reflect the actual vested shares following the resolution of the performance conditions. Dividends are accrued when declared on unvested restricted stock that is expected to vest and are only paid with respect to shares that actually vest. During the three months ended June 27, 2019 and June 28, 2018 and the six months ended June 27, 2019 and June 28, 2018, 37,699, 19,357, 549,695 and 975,596 shares of restricted stock and restricted stock units vested, respectively.</w:t>
      </w:r>
    </w:p>
    <w:p>
      <w:pPr>
        <w:spacing w:after="0" w:line="124" w:lineRule="exact"/>
        <w:rPr>
          <w:sz w:val="20"/>
          <w:szCs w:val="20"/>
          <w:color w:val="auto"/>
        </w:rPr>
      </w:pPr>
    </w:p>
    <w:p>
      <w:pPr>
        <w:ind w:right="300" w:firstLine="540"/>
        <w:spacing w:after="0" w:line="264" w:lineRule="auto"/>
        <w:rPr>
          <w:sz w:val="20"/>
          <w:szCs w:val="20"/>
          <w:color w:val="auto"/>
        </w:rPr>
      </w:pPr>
      <w:r>
        <w:rPr>
          <w:rFonts w:ascii="Arial" w:cs="Arial" w:eastAsia="Arial" w:hAnsi="Arial"/>
          <w:sz w:val="18"/>
          <w:szCs w:val="18"/>
          <w:b w:val="1"/>
          <w:bCs w:val="1"/>
          <w:i w:val="1"/>
          <w:iCs w:val="1"/>
          <w:color w:val="auto"/>
        </w:rPr>
        <w:t>Consolidation</w:t>
      </w:r>
      <w:r>
        <w:rPr>
          <w:rFonts w:ascii="Arial" w:cs="Arial" w:eastAsia="Arial" w:hAnsi="Arial"/>
          <w:sz w:val="18"/>
          <w:szCs w:val="18"/>
          <w:color w:val="auto"/>
        </w:rPr>
        <w:t>—NCM, Inc. consolidates the accounts of NCM LLC under the provisions of ASC 810,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Consolidation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(“ASC 810”).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table presents the changes in NCM, Inc.’s equity resulting from net income attributable to NCM, Inc. and transfers to or from noncontrolling interests (in millions):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2520" w:type="dxa"/>
            <w:vAlign w:val="bottom"/>
            <w:tcBorders>
              <w:bottom w:val="single" w:sz="8" w:color="auto"/>
            </w:tcBorders>
            <w:gridSpan w:val="5"/>
          </w:tcPr>
          <w:p>
            <w:pPr>
              <w:jc w:val="right"/>
              <w:ind w:right="51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180" w:type="dxa"/>
            <w:vAlign w:val="bottom"/>
          </w:tcPr>
          <w:p>
            <w:pPr>
              <w:spacing w:after="0"/>
              <w:rPr>
                <w:sz w:val="13"/>
                <w:szCs w:val="13"/>
                <w:color w:val="auto"/>
              </w:rPr>
            </w:pPr>
          </w:p>
        </w:tc>
        <w:tc>
          <w:tcPr>
            <w:tcW w:w="9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27,</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28,</w:t>
            </w:r>
          </w:p>
        </w:tc>
        <w:tc>
          <w:tcPr>
            <w:tcW w:w="240" w:type="dxa"/>
            <w:vAlign w:val="bottom"/>
          </w:tcPr>
          <w:p>
            <w:pPr>
              <w:spacing w:after="0"/>
              <w:rPr>
                <w:sz w:val="13"/>
                <w:szCs w:val="13"/>
                <w:color w:val="auto"/>
              </w:rPr>
            </w:pPr>
          </w:p>
        </w:tc>
        <w:tc>
          <w:tcPr>
            <w:tcW w:w="11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27,</w:t>
            </w:r>
          </w:p>
        </w:tc>
        <w:tc>
          <w:tcPr>
            <w:tcW w:w="240" w:type="dxa"/>
            <w:vAlign w:val="bottom"/>
          </w:tcPr>
          <w:p>
            <w:pPr>
              <w:spacing w:after="0"/>
              <w:rPr>
                <w:sz w:val="13"/>
                <w:szCs w:val="13"/>
                <w:color w:val="auto"/>
              </w:rPr>
            </w:pPr>
          </w:p>
        </w:tc>
        <w:tc>
          <w:tcPr>
            <w:tcW w:w="1020" w:type="dxa"/>
            <w:vAlign w:val="bottom"/>
          </w:tcPr>
          <w:p>
            <w:pPr>
              <w:jc w:val="right"/>
              <w:ind w:right="316"/>
              <w:spacing w:after="0" w:line="153" w:lineRule="exact"/>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92"/>
        </w:trPr>
        <w:tc>
          <w:tcPr>
            <w:tcW w:w="6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NCM, Inc.</w:t>
            </w:r>
          </w:p>
        </w:tc>
        <w:tc>
          <w:tcPr>
            <w:tcW w:w="900" w:type="dxa"/>
            <w:vAlign w:val="bottom"/>
            <w:tcBorders>
              <w:bottom w:val="single" w:sz="8" w:color="CCEEFF"/>
            </w:tcBorders>
            <w:shd w:val="clear" w:color="auto" w:fill="CCEEFF"/>
          </w:tcPr>
          <w:p>
            <w:pPr>
              <w:jc w:val="right"/>
              <w:ind w:right="701"/>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NCM LLC equity issued for purchase of intangible asset</w:t>
            </w:r>
          </w:p>
        </w:tc>
        <w:tc>
          <w:tcPr>
            <w:tcW w:w="90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and other impacts of subsidiary ownership changes</w:t>
            </w:r>
          </w:p>
        </w:tc>
        <w:tc>
          <w:tcPr>
            <w:tcW w:w="9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9"/>
        </w:trPr>
        <w:tc>
          <w:tcPr>
            <w:tcW w:w="6180" w:type="dxa"/>
            <w:vAlign w:val="bottom"/>
          </w:tcPr>
          <w:p>
            <w:pPr>
              <w:ind w:left="40"/>
              <w:spacing w:after="0"/>
              <w:rPr>
                <w:sz w:val="20"/>
                <w:szCs w:val="20"/>
                <w:color w:val="auto"/>
              </w:rPr>
            </w:pPr>
            <w:r>
              <w:rPr>
                <w:rFonts w:ascii="Arial" w:cs="Arial" w:eastAsia="Arial" w:hAnsi="Arial"/>
                <w:sz w:val="18"/>
                <w:szCs w:val="18"/>
                <w:color w:val="auto"/>
              </w:rPr>
              <w:t>Change from net income attributable to NCM, Inc. and transfers from</w:t>
            </w:r>
          </w:p>
        </w:tc>
        <w:tc>
          <w:tcPr>
            <w:tcW w:w="900" w:type="dxa"/>
            <w:vAlign w:val="bottom"/>
            <w:tcBorders>
              <w:top w:val="single" w:sz="8" w:color="auto"/>
            </w:tcBorders>
            <w:vMerge w:val="restart"/>
          </w:tcPr>
          <w:p>
            <w:pPr>
              <w:jc w:val="right"/>
              <w:ind w:right="701"/>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5"/>
              </w:rPr>
              <w:t>9.0</w:t>
            </w: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38"/>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2"/>
        </w:trPr>
        <w:tc>
          <w:tcPr>
            <w:tcW w:w="618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90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During the first quarter of 2019, the Company adopted Accounting Standards Update 2016-2 and subsequent amendments, </w:t>
      </w:r>
      <w:r>
        <w:rPr>
          <w:rFonts w:ascii="Arial" w:cs="Arial" w:eastAsia="Arial" w:hAnsi="Arial"/>
          <w:sz w:val="17"/>
          <w:szCs w:val="17"/>
          <w:i w:val="1"/>
          <w:iCs w:val="1"/>
          <w:color w:val="auto"/>
        </w:rPr>
        <w:t>Leases (Topic</w:t>
      </w:r>
    </w:p>
    <w:p>
      <w:pPr>
        <w:spacing w:after="0" w:line="35" w:lineRule="exact"/>
        <w:rPr>
          <w:sz w:val="20"/>
          <w:szCs w:val="20"/>
          <w:color w:val="auto"/>
        </w:rPr>
      </w:pPr>
    </w:p>
    <w:p>
      <w:pPr>
        <w:ind w:firstLine="8"/>
        <w:spacing w:after="0" w:line="268" w:lineRule="auto"/>
        <w:tabs>
          <w:tab w:leader="none" w:pos="375" w:val="left"/>
        </w:tabs>
        <w:numPr>
          <w:ilvl w:val="0"/>
          <w:numId w:val="1"/>
        </w:numPr>
        <w:rPr>
          <w:rFonts w:ascii="Arial" w:cs="Arial" w:eastAsia="Arial" w:hAnsi="Arial"/>
          <w:sz w:val="17"/>
          <w:szCs w:val="17"/>
          <w:i w:val="1"/>
          <w:iCs w:val="1"/>
          <w:color w:val="auto"/>
        </w:rPr>
      </w:pPr>
      <w:r>
        <w:rPr>
          <w:rFonts w:ascii="Arial" w:cs="Arial" w:eastAsia="Arial" w:hAnsi="Arial"/>
          <w:sz w:val="17"/>
          <w:szCs w:val="17"/>
          <w:color w:val="auto"/>
        </w:rPr>
        <w:t>(together “ASC 842”) utilizing the Comparatives Under 840 option where only the current period financial statements and related disclosures are presented in accordance with the new standard. As of the adoption date of December 28, 2018 the Company recognized the following on the unaudited Condensed Consolidated Balance Sheets: a right-of-use (“ROU”) asset of $21.7 million within 'Other assets', a short-term lease liability of $1.4 million within Other current liabilities', a long-term lease liability of $24.5 million within 'Other liabilities' and reversed the related deferred rent liability balance of $4.2 million for all leases with terms longer than twelve months related to its building operating leases. The Company elected to utilize the following practical expedients: (i) not being required to separate lease and non-lease components when accounting for the lease for all asset classes; and (ii) not accounting for short-term leases under the new standard. The Company also determined that the ESA and affiliate agreements are considered leases under ASC 842. However, the identification of the asset and determination of the period of control is dependent upon the scheduling of the showtimes by the exhibitors. As the schedules are typically not determined until one week in advance of the showtime, on average, the leases are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 xml:space="preserve">considered short term in nature, specifically less than one month. As such, no ROU assets or lease liabilities were recognized for these agreements. The issuance of NCM LLC membership units to the founding members in accordance with NCM LLC’s Common Unit Adjustment Agreement and upfront cash payments to affiliates for the contractual rights to provide services within their theaters will continue to be classified as intangible assets. However, the amortization of these intangible assets is now considered lease expense and has been reclassified within the current period from 'Depreciation and amortization expense' to 'Amortization of intangibles recorded for network theater screen leases' on the unaudited Condensed Consolidated Statement of Income. Additionally, these upfront cash payments to affiliates and receipt of integration payments from the founding members, as defined within Note 4 - </w:t>
      </w:r>
      <w:r>
        <w:rPr>
          <w:rFonts w:ascii="Arial" w:cs="Arial" w:eastAsia="Arial" w:hAnsi="Arial"/>
          <w:sz w:val="16"/>
          <w:szCs w:val="16"/>
          <w:i w:val="1"/>
          <w:iCs w:val="1"/>
          <w:color w:val="auto"/>
        </w:rPr>
        <w:t>Intangible Assets</w:t>
      </w:r>
      <w:r>
        <w:rPr>
          <w:rFonts w:ascii="Arial" w:cs="Arial" w:eastAsia="Arial" w:hAnsi="Arial"/>
          <w:sz w:val="16"/>
          <w:szCs w:val="16"/>
          <w:color w:val="auto"/>
        </w:rPr>
        <w:t>, will be considered cash flows from operating activities on the unaudited Condensed Consolidated Statement of Cash Flows when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they are related to operating leases and will be reclassified from cash flows from investing and financing activities, respectively. The Company has also incorporated additional disclosures in Note 8 -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to comply with ASC 842.</w:t>
      </w:r>
    </w:p>
    <w:p>
      <w:pPr>
        <w:spacing w:after="0" w:line="59" w:lineRule="exact"/>
        <w:rPr>
          <w:sz w:val="20"/>
          <w:szCs w:val="20"/>
          <w:color w:val="auto"/>
        </w:rPr>
      </w:pPr>
    </w:p>
    <w:p>
      <w:pPr>
        <w:ind w:right="80" w:firstLine="540"/>
        <w:spacing w:after="0" w:line="259" w:lineRule="auto"/>
        <w:rPr>
          <w:sz w:val="20"/>
          <w:szCs w:val="20"/>
          <w:color w:val="auto"/>
        </w:rPr>
      </w:pPr>
      <w:r>
        <w:rPr>
          <w:rFonts w:ascii="Arial" w:cs="Arial" w:eastAsia="Arial" w:hAnsi="Arial"/>
          <w:sz w:val="18"/>
          <w:szCs w:val="18"/>
          <w:color w:val="auto"/>
        </w:rPr>
        <w:t xml:space="preserve">During the first quarter of 2019, the Company adopted Accounting Standards Update 2018-7,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Improvements to Nonemployee Share-Based Payment Accounting </w:t>
      </w:r>
      <w:r>
        <w:rPr>
          <w:rFonts w:ascii="Arial" w:cs="Arial" w:eastAsia="Arial" w:hAnsi="Arial"/>
          <w:sz w:val="18"/>
          <w:szCs w:val="18"/>
          <w:color w:val="auto"/>
        </w:rPr>
        <w:t>(“ASU 2018-7”), which amends Topic 718 to include share-based payment transactions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acquiring goods and services from nonemployees. The adoption of ASU 2018-7 had no impact on the unaudited Condensed Consolidated Financial statements or notes thereto.</w:t>
      </w:r>
    </w:p>
    <w:p>
      <w:pPr>
        <w:spacing w:after="0" w:line="160" w:lineRule="exact"/>
        <w:rPr>
          <w:sz w:val="20"/>
          <w:szCs w:val="20"/>
          <w:color w:val="auto"/>
        </w:rPr>
      </w:pPr>
    </w:p>
    <w:p>
      <w:pPr>
        <w:ind w:right="20" w:firstLine="567"/>
        <w:spacing w:after="0" w:line="272" w:lineRule="auto"/>
        <w:rPr>
          <w:sz w:val="20"/>
          <w:szCs w:val="20"/>
          <w:color w:val="auto"/>
        </w:rPr>
      </w:pPr>
      <w:r>
        <w:rPr>
          <w:rFonts w:ascii="Arial" w:cs="Arial" w:eastAsia="Arial" w:hAnsi="Arial"/>
          <w:sz w:val="17"/>
          <w:szCs w:val="17"/>
          <w:color w:val="auto"/>
        </w:rPr>
        <w:t>During the first quarter of 2019, the Company adopted a final rule issued by the SEC in March 2019 simplifying certain Regulation S-K requirements. The rule eliminated the following requirements in certain circumstances: (1) to disclose discussion of the earliest year of three years of audited financial statements presented within Item 7. Management's Discussion and Analysis of Financial Condition and Results of Operations section of the Form 10-K, (2) to request permission from the SEC to redact confidential information from exhibits in the event the information is not material to the agreement and would cause competitive harm, (3) to disclose immaterial physical property and (4) to disclose schedules and attachments to exhibits which do not contain material information. The rule also adds the requirement to disclose the registrant's trading symbol on the cover page of certain SEC forms. The applicable amended disclosure requirements have been incorporated within this Quarterly Report on Form 10-Q.</w:t>
      </w:r>
    </w:p>
    <w:p>
      <w:pPr>
        <w:spacing w:after="0" w:line="43" w:lineRule="exact"/>
        <w:rPr>
          <w:sz w:val="20"/>
          <w:szCs w:val="20"/>
          <w:color w:val="auto"/>
        </w:rPr>
      </w:pPr>
    </w:p>
    <w:p>
      <w:pPr>
        <w:ind w:right="360" w:firstLine="648"/>
        <w:spacing w:after="0" w:line="273" w:lineRule="auto"/>
        <w:rPr>
          <w:sz w:val="20"/>
          <w:szCs w:val="20"/>
          <w:color w:val="auto"/>
        </w:rPr>
      </w:pPr>
      <w:r>
        <w:rPr>
          <w:rFonts w:ascii="Arial" w:cs="Arial" w:eastAsia="Arial" w:hAnsi="Arial"/>
          <w:sz w:val="17"/>
          <w:szCs w:val="17"/>
          <w:color w:val="auto"/>
        </w:rPr>
        <w:t>During the fourth quarter of 2018, the Company adopted a final rule issued by the SEC amending certain disclosure requirements deemed by the SEC to be redundant, duplicative, overlapping, outdated or superseded. The rule also added requirements to disclose (1) the changes in each caption of stockholders’ equity and non-controlling interests for the current and comparative year-to-date periods, with subtotals for each interim period and (2) the amount of dividends per share for each class of shares. The Company's adoption of the guidance resulted in changes to the presentation of the unaudited Consolidated Statement of Equity as a quarter to date equity rollforward is now also required for the current and comparable period. The Company implemented the amended disclosure requirements in the first quarter of 2019.</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firstLine="540"/>
        <w:spacing w:after="0" w:line="255" w:lineRule="auto"/>
        <w:rPr>
          <w:sz w:val="20"/>
          <w:szCs w:val="20"/>
          <w:color w:val="auto"/>
        </w:rPr>
      </w:pPr>
      <w:r>
        <w:rPr>
          <w:rFonts w:ascii="Arial" w:cs="Arial" w:eastAsia="Arial" w:hAnsi="Arial"/>
          <w:sz w:val="18"/>
          <w:szCs w:val="18"/>
          <w:color w:val="auto"/>
        </w:rPr>
        <w:t xml:space="preserve">In June 2016, the FASB issued Accounting Standards Update 2016-13, </w:t>
      </w:r>
      <w:r>
        <w:rPr>
          <w:rFonts w:ascii="Arial" w:cs="Arial" w:eastAsia="Arial" w:hAnsi="Arial"/>
          <w:sz w:val="18"/>
          <w:szCs w:val="18"/>
          <w:i w:val="1"/>
          <w:iCs w:val="1"/>
          <w:color w:val="auto"/>
        </w:rPr>
        <w:t>Financial Instruments – Credit Losses (Topic 326), Measurement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on Financial Statements </w:t>
      </w:r>
      <w:r>
        <w:rPr>
          <w:rFonts w:ascii="Arial" w:cs="Arial" w:eastAsia="Arial" w:hAnsi="Arial"/>
          <w:sz w:val="18"/>
          <w:szCs w:val="18"/>
          <w:color w:val="auto"/>
        </w:rPr>
        <w:t>(“ASU 2016-13”), which requires a financial asset (or group of financial assets) measured at amortized cost basis to be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at the net amount expected to be collected. The allowance for credit losses is a valuation account that is deducted from the amortized cost basis of the financial asset(s) to present the net carrying value at the amount expected to be collected on the financial asset. ASU 2016-13 is effective for fiscal years beginning after December 15, 2019, including interim periods within those fiscal years, with early adoption permitted and is to be adopted on a modified retrospective basis. The Company is currently evaluating the impact that adopting this guidance will have on the unaudited Condensed Consolidated Financial Statements or notes thereto.</w:t>
      </w:r>
    </w:p>
    <w:p>
      <w:pPr>
        <w:spacing w:after="0" w:line="135" w:lineRule="exact"/>
        <w:rPr>
          <w:sz w:val="20"/>
          <w:szCs w:val="20"/>
          <w:color w:val="auto"/>
        </w:rPr>
      </w:pPr>
    </w:p>
    <w:p>
      <w:pPr>
        <w:ind w:right="160" w:firstLine="540"/>
        <w:spacing w:after="0" w:line="276" w:lineRule="auto"/>
        <w:rPr>
          <w:sz w:val="20"/>
          <w:szCs w:val="20"/>
          <w:color w:val="auto"/>
        </w:rPr>
      </w:pPr>
      <w:r>
        <w:rPr>
          <w:rFonts w:ascii="Arial" w:cs="Arial" w:eastAsia="Arial" w:hAnsi="Arial"/>
          <w:sz w:val="17"/>
          <w:szCs w:val="17"/>
          <w:color w:val="auto"/>
        </w:rPr>
        <w:t xml:space="preserve">In August 2018, the FASB issued Accounting Standards Update 2018-13, Fair Value Measurement (Topic 820): </w:t>
      </w:r>
      <w:r>
        <w:rPr>
          <w:rFonts w:ascii="Arial" w:cs="Arial" w:eastAsia="Arial" w:hAnsi="Arial"/>
          <w:sz w:val="17"/>
          <w:szCs w:val="17"/>
          <w:i w:val="1"/>
          <w:iCs w:val="1"/>
          <w:color w:val="auto"/>
        </w:rPr>
        <w:t>Disclosure Framework - Changes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Disclosure Requirements for Fair Value Measurement </w:t>
      </w:r>
      <w:r>
        <w:rPr>
          <w:rFonts w:ascii="Arial" w:cs="Arial" w:eastAsia="Arial" w:hAnsi="Arial"/>
          <w:sz w:val="17"/>
          <w:szCs w:val="17"/>
          <w:color w:val="auto"/>
        </w:rPr>
        <w:t>(“ASU 2018-13”), which modifies the disclosure requirements on fair value measurements. ASU</w:t>
      </w:r>
      <w:r>
        <w:rPr>
          <w:rFonts w:ascii="Arial" w:cs="Arial" w:eastAsia="Arial" w:hAnsi="Arial"/>
          <w:sz w:val="17"/>
          <w:szCs w:val="17"/>
          <w:i w:val="1"/>
          <w:iCs w:val="1"/>
          <w:color w:val="auto"/>
        </w:rPr>
        <w:t xml:space="preserve"> </w:t>
      </w:r>
      <w:r>
        <w:rPr>
          <w:rFonts w:ascii="Arial" w:cs="Arial" w:eastAsia="Arial" w:hAnsi="Arial"/>
          <w:sz w:val="17"/>
          <w:szCs w:val="17"/>
          <w:color w:val="auto"/>
        </w:rPr>
        <w:t>2018-13 is effective for fiscal years beginning after December 15, 2019, including interim periods within those fiscal years, with partial early adoption permitted for eliminated disclosures. The method of adoption varies by the disclosure. The Company is currently evaluating the impact that adopting this guidance will have on the unaudited Condensed Consolidated Financial Statements or notes thereto.</w:t>
      </w:r>
    </w:p>
    <w:p>
      <w:pPr>
        <w:spacing w:after="0" w:line="119" w:lineRule="exact"/>
        <w:rPr>
          <w:sz w:val="20"/>
          <w:szCs w:val="20"/>
          <w:color w:val="auto"/>
        </w:rPr>
      </w:pPr>
    </w:p>
    <w:p>
      <w:pPr>
        <w:ind w:right="320" w:firstLine="540"/>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Consolidated Financial Statements or notes thereto.</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 REVENUE FROM CONTRACTS WITH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315" w:lineRule="exact"/>
        <w:rPr>
          <w:sz w:val="20"/>
          <w:szCs w:val="20"/>
          <w:color w:val="auto"/>
        </w:rPr>
      </w:pPr>
    </w:p>
    <w:p>
      <w:pPr>
        <w:ind w:right="20" w:firstLine="540"/>
        <w:spacing w:after="0" w:line="297" w:lineRule="auto"/>
        <w:rPr>
          <w:sz w:val="20"/>
          <w:szCs w:val="20"/>
          <w:color w:val="auto"/>
        </w:rPr>
      </w:pPr>
      <w:r>
        <w:rPr>
          <w:rFonts w:ascii="Arial" w:cs="Arial" w:eastAsia="Arial" w:hAnsi="Arial"/>
          <w:sz w:val="16"/>
          <w:szCs w:val="16"/>
          <w:color w:val="auto"/>
        </w:rPr>
        <w:t xml:space="preserve">The Company derives revenue principally from the sale of advertising to national, regional and local businesses in </w:t>
      </w:r>
      <w:r>
        <w:rPr>
          <w:rFonts w:ascii="Arial" w:cs="Arial" w:eastAsia="Arial" w:hAnsi="Arial"/>
          <w:sz w:val="16"/>
          <w:szCs w:val="16"/>
          <w:i w:val="1"/>
          <w:iCs w:val="1"/>
          <w:color w:val="auto"/>
        </w:rPr>
        <w:t>Noovie</w:t>
      </w:r>
      <w:r>
        <w:rPr>
          <w:rFonts w:ascii="Arial" w:cs="Arial" w:eastAsia="Arial" w:hAnsi="Arial"/>
          <w:sz w:val="16"/>
          <w:szCs w:val="16"/>
          <w:color w:val="auto"/>
        </w:rPr>
        <w:t xml:space="preserve">, the Company’s cinema advertising and entertainment pre-show. The Company also sells advertising through the LEN, a series of strategically-placed screens located in movie theater lobbies, as well as other forms of advertising and promotions in theater lobbies. In addition, the Company sells online and mobile advertising through </w:t>
      </w:r>
      <w:r>
        <w:rPr>
          <w:rFonts w:ascii="Arial" w:cs="Arial" w:eastAsia="Arial" w:hAnsi="Arial"/>
          <w:sz w:val="16"/>
          <w:szCs w:val="16"/>
          <w:i w:val="1"/>
          <w:iCs w:val="1"/>
          <w:color w:val="auto"/>
        </w:rPr>
        <w:t>Cinema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Accelerator </w:t>
      </w:r>
      <w:r>
        <w:rPr>
          <w:rFonts w:ascii="Arial" w:cs="Arial" w:eastAsia="Arial" w:hAnsi="Arial"/>
          <w:sz w:val="16"/>
          <w:szCs w:val="16"/>
          <w:color w:val="auto"/>
        </w:rPr>
        <w:t>and NCM's digital gaming products including</w:t>
      </w:r>
      <w:r>
        <w:rPr>
          <w:rFonts w:ascii="Arial" w:cs="Arial" w:eastAsia="Arial" w:hAnsi="Arial"/>
          <w:sz w:val="16"/>
          <w:szCs w:val="16"/>
          <w:i w:val="1"/>
          <w:iCs w:val="1"/>
          <w:color w:val="auto"/>
        </w:rPr>
        <w:t xml:space="preserve"> Noovie ARcade, Fantasy Movie League </w:t>
      </w:r>
      <w:r>
        <w:rPr>
          <w:rFonts w:ascii="Arial" w:cs="Arial" w:eastAsia="Arial" w:hAnsi="Arial"/>
          <w:sz w:val="16"/>
          <w:szCs w:val="16"/>
          <w:color w:val="auto"/>
        </w:rPr>
        <w:t>and</w:t>
      </w:r>
      <w:r>
        <w:rPr>
          <w:rFonts w:ascii="Arial" w:cs="Arial" w:eastAsia="Arial" w:hAnsi="Arial"/>
          <w:sz w:val="16"/>
          <w:szCs w:val="16"/>
          <w:i w:val="1"/>
          <w:iCs w:val="1"/>
          <w:color w:val="auto"/>
        </w:rPr>
        <w:t xml:space="preserve"> Noovie Shuffle, </w:t>
      </w:r>
      <w:r>
        <w:rPr>
          <w:rFonts w:ascii="Arial" w:cs="Arial" w:eastAsia="Arial" w:hAnsi="Arial"/>
          <w:sz w:val="16"/>
          <w:szCs w:val="16"/>
          <w:color w:val="auto"/>
        </w:rPr>
        <w:t>which can be played on the mobile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apps or at </w:t>
      </w:r>
      <w:r>
        <w:rPr>
          <w:rFonts w:ascii="Arial" w:cs="Arial" w:eastAsia="Arial" w:hAnsi="Arial"/>
          <w:sz w:val="16"/>
          <w:szCs w:val="16"/>
          <w:i w:val="1"/>
          <w:iCs w:val="1"/>
          <w:color w:val="auto"/>
        </w:rPr>
        <w:t>Noovie.com</w:t>
      </w:r>
      <w:r>
        <w:rPr>
          <w:rFonts w:ascii="Arial" w:cs="Arial" w:eastAsia="Arial" w:hAnsi="Arial"/>
          <w:sz w:val="16"/>
          <w:szCs w:val="16"/>
          <w:color w:val="auto"/>
        </w:rPr>
        <w:t>. The Company also has a long-term agreement to exhibit the advertising of the founding members’ beverage suppliers.</w:t>
      </w:r>
    </w:p>
    <w:p>
      <w:pPr>
        <w:spacing w:after="0" w:line="50" w:lineRule="exact"/>
        <w:rPr>
          <w:sz w:val="20"/>
          <w:szCs w:val="20"/>
          <w:color w:val="auto"/>
        </w:rPr>
      </w:pPr>
    </w:p>
    <w:p>
      <w:pPr>
        <w:ind w:right="40" w:firstLine="540"/>
        <w:spacing w:after="0" w:line="255" w:lineRule="auto"/>
        <w:rPr>
          <w:sz w:val="20"/>
          <w:szCs w:val="20"/>
          <w:color w:val="auto"/>
        </w:rPr>
      </w:pPr>
      <w:r>
        <w:rPr>
          <w:rFonts w:ascii="Arial" w:cs="Arial" w:eastAsia="Arial" w:hAnsi="Arial"/>
          <w:sz w:val="18"/>
          <w:szCs w:val="18"/>
          <w:color w:val="auto"/>
        </w:rPr>
        <w:t>The Company makes contractual guarantees to deliver a specified number of impressions to view the customers’ advertising. If the contracted number of impressions are not delivered, the Company will run additional advertising to deliver the contracted impressions at a later date. The deferred portion of the revenue associated with undelivered impressions is referred to as a make-good provision. The Company defers the revenue associated with the make-good until the advertising airs to the theater attendance specified in the advertising contract. The make-good provision is recorded within accrued expenses in the Condensed Consolidated Balance Sheet. As of June 27, 2019 and December 27, 2018, the Company had a make-good provision of $5.7 million and $8.0 million, respectively.</w:t>
      </w:r>
    </w:p>
    <w:p>
      <w:pPr>
        <w:spacing w:after="0" w:line="85" w:lineRule="exact"/>
        <w:rPr>
          <w:sz w:val="20"/>
          <w:szCs w:val="20"/>
          <w:color w:val="auto"/>
        </w:rPr>
      </w:pPr>
    </w:p>
    <w:p>
      <w:pPr>
        <w:ind w:right="20" w:firstLine="540"/>
        <w:spacing w:after="0" w:line="257" w:lineRule="auto"/>
        <w:rPr>
          <w:sz w:val="20"/>
          <w:szCs w:val="20"/>
          <w:color w:val="auto"/>
        </w:rPr>
      </w:pPr>
      <w:r>
        <w:rPr>
          <w:rFonts w:ascii="Arial" w:cs="Arial" w:eastAsia="Arial" w:hAnsi="Arial"/>
          <w:sz w:val="18"/>
          <w:szCs w:val="18"/>
          <w:color w:val="auto"/>
        </w:rPr>
        <w:t>The Company has certain contracts with two-year terms that are noncancelable following a specified date within the contract period. The estimated revenue expected to be recognized in the future related to these contracted performance obligations that are unsatisfied (or partially unsatisfied) as of June 27, 2019, was $47.7 million, which is expected to be recognized in 2019. Agreements with a duration less than one year are not included within this disclosure as the Company elected to use the practical expedient in ASC 606-10-50-14 for those contracts. In addition, other of the Company’s contracts longer than one year that are cancelable are not included within this disclosure.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right="420" w:firstLine="540"/>
        <w:spacing w:after="0" w:line="308" w:lineRule="auto"/>
        <w:rPr>
          <w:sz w:val="20"/>
          <w:szCs w:val="20"/>
          <w:color w:val="auto"/>
        </w:rPr>
      </w:pPr>
      <w:r>
        <w:rPr>
          <w:rFonts w:ascii="Arial" w:cs="Arial" w:eastAsia="Arial" w:hAnsi="Arial"/>
          <w:sz w:val="17"/>
          <w:szCs w:val="17"/>
          <w:color w:val="auto"/>
        </w:rPr>
        <w:t>The Company disaggregates revenue based upon the type of customer: national; local and regional; and beverage concessionaire. This method of disaggregation is in alignment with how revenue is reviewed by management and discussed with and historically disclosed to investors.</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table summarizes revenue from contracts with customers for the three and six months ended June 27, 2019 and June 28, 2018:</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27,</w:t>
            </w:r>
          </w:p>
        </w:tc>
        <w:tc>
          <w:tcPr>
            <w:tcW w:w="260" w:type="dxa"/>
            <w:vAlign w:val="bottom"/>
          </w:tcPr>
          <w:p>
            <w:pPr>
              <w:spacing w:after="0"/>
              <w:rPr>
                <w:sz w:val="13"/>
                <w:szCs w:val="13"/>
                <w:color w:val="auto"/>
              </w:rPr>
            </w:pPr>
          </w:p>
        </w:tc>
        <w:tc>
          <w:tcPr>
            <w:tcW w:w="12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28,</w:t>
            </w:r>
          </w:p>
        </w:tc>
        <w:tc>
          <w:tcPr>
            <w:tcW w:w="340" w:type="dxa"/>
            <w:vAlign w:val="bottom"/>
          </w:tcPr>
          <w:p>
            <w:pPr>
              <w:spacing w:after="0"/>
              <w:rPr>
                <w:sz w:val="13"/>
                <w:szCs w:val="13"/>
                <w:color w:val="auto"/>
              </w:rPr>
            </w:pPr>
          </w:p>
        </w:tc>
        <w:tc>
          <w:tcPr>
            <w:tcW w:w="116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June 27,</w:t>
            </w:r>
          </w:p>
        </w:tc>
        <w:tc>
          <w:tcPr>
            <w:tcW w:w="140" w:type="dxa"/>
            <w:vAlign w:val="bottom"/>
          </w:tcPr>
          <w:p>
            <w:pPr>
              <w:spacing w:after="0"/>
              <w:rPr>
                <w:sz w:val="13"/>
                <w:szCs w:val="13"/>
                <w:color w:val="auto"/>
              </w:rPr>
            </w:pPr>
          </w:p>
        </w:tc>
        <w:tc>
          <w:tcPr>
            <w:tcW w:w="120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advertising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131.6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Local advertising revenue</w:t>
            </w:r>
          </w:p>
        </w:tc>
        <w:tc>
          <w:tcPr>
            <w:tcW w:w="2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Regional advertising revenue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rPr>
              <w:t>Founding member advertising revenue from beverage concessionaire</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agreements</w:t>
            </w:r>
          </w:p>
        </w:tc>
        <w:tc>
          <w:tcPr>
            <w:tcW w:w="260" w:type="dxa"/>
            <w:vAlign w:val="bottom"/>
          </w:tcPr>
          <w:p>
            <w:pPr>
              <w:spacing w:after="0"/>
              <w:rPr>
                <w:sz w:val="20"/>
                <w:szCs w:val="20"/>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110.2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187.1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Deferred Revenue and Unbilled Accounts Receivable</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6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80" w:type="dxa"/>
            <w:vAlign w:val="bottom"/>
            <w:gridSpan w:val="7"/>
          </w:tcPr>
          <w:p>
            <w:pPr>
              <w:jc w:val="right"/>
              <w:ind w:right="640"/>
              <w:spacing w:after="0"/>
              <w:rPr>
                <w:sz w:val="20"/>
                <w:szCs w:val="20"/>
                <w:color w:val="auto"/>
              </w:rPr>
            </w:pPr>
            <w:r>
              <w:rPr>
                <w:rFonts w:ascii="Arial" w:cs="Arial" w:eastAsia="Arial" w:hAnsi="Arial"/>
                <w:sz w:val="18"/>
                <w:szCs w:val="18"/>
                <w:color w:val="auto"/>
                <w:w w:val="97"/>
              </w:rPr>
              <w:t>The changes in deferred revenue for the six months ended June 27, 2019 were as follows (in millions):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00" w:type="dxa"/>
            <w:vAlign w:val="bottom"/>
            <w:gridSpan w:val="6"/>
          </w:tcPr>
          <w:p>
            <w:pPr>
              <w:jc w:val="center"/>
              <w:ind w:right="6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Borders>
              <w:top w:val="single" w:sz="8" w:color="auto"/>
            </w:tcBorders>
            <w:gridSpan w:val="3"/>
          </w:tcPr>
          <w:p>
            <w:pPr>
              <w:jc w:val="center"/>
              <w:ind w:left="558"/>
              <w:spacing w:after="0" w:line="153" w:lineRule="exact"/>
              <w:rPr>
                <w:sz w:val="20"/>
                <w:szCs w:val="20"/>
                <w:color w:val="auto"/>
              </w:rPr>
            </w:pPr>
            <w:r>
              <w:rPr>
                <w:rFonts w:ascii="Arial" w:cs="Arial" w:eastAsia="Arial" w:hAnsi="Arial"/>
                <w:sz w:val="14"/>
                <w:szCs w:val="14"/>
                <w:b w:val="1"/>
                <w:bCs w:val="1"/>
                <w:color w:val="auto"/>
                <w:w w:val="92"/>
              </w:rPr>
              <w:t>June 27,</w:t>
            </w: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tcPr>
          <w:p>
            <w:pPr>
              <w:jc w:val="center"/>
              <w:ind w:left="598"/>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8"/>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Performance obligations satisfied</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New contract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8"/>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As of June 27, 2019 and December 27, 2018, the Company had $14.1 million and $6.0 million in unbilled accounts receivable, respectively.</w:t>
      </w:r>
    </w:p>
    <w:p>
      <w:pPr>
        <w:spacing w:after="0" w:line="2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3. EARNINGS PER SHARE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7" w:lineRule="exact"/>
        <w:rPr>
          <w:sz w:val="20"/>
          <w:szCs w:val="20"/>
          <w:color w:val="auto"/>
        </w:rPr>
      </w:pPr>
    </w:p>
    <w:p>
      <w:pPr>
        <w:ind w:right="100" w:firstLine="540"/>
        <w:spacing w:after="0" w:line="312" w:lineRule="auto"/>
        <w:rPr>
          <w:sz w:val="20"/>
          <w:szCs w:val="20"/>
          <w:color w:val="auto"/>
        </w:rPr>
      </w:pPr>
      <w:r>
        <w:rPr>
          <w:rFonts w:ascii="Arial" w:cs="Arial" w:eastAsia="Arial" w:hAnsi="Arial"/>
          <w:sz w:val="16"/>
          <w:szCs w:val="16"/>
          <w:color w:val="auto"/>
        </w:rPr>
        <w:t>Basic earnings per share is computed on the basis of the weighted average number of common shares outstanding. Diluted earnings per share is computed on the basis of the weighted average number of common shares outstanding plus the effect of potentially dilutive common stock options, restricted stock and restricted stock units using the treasury stock method. The components of basic and diluted income per NCM, Inc. share are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27,</w:t>
            </w:r>
          </w:p>
        </w:tc>
        <w:tc>
          <w:tcPr>
            <w:tcW w:w="260" w:type="dxa"/>
            <w:vAlign w:val="bottom"/>
          </w:tcPr>
          <w:p>
            <w:pPr>
              <w:spacing w:after="0"/>
              <w:rPr>
                <w:sz w:val="13"/>
                <w:szCs w:val="13"/>
                <w:color w:val="auto"/>
              </w:rPr>
            </w:pPr>
          </w:p>
        </w:tc>
        <w:tc>
          <w:tcPr>
            <w:tcW w:w="12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28,</w:t>
            </w:r>
          </w:p>
        </w:tc>
        <w:tc>
          <w:tcPr>
            <w:tcW w:w="260" w:type="dxa"/>
            <w:vAlign w:val="bottom"/>
          </w:tcPr>
          <w:p>
            <w:pPr>
              <w:spacing w:after="0"/>
              <w:rPr>
                <w:sz w:val="13"/>
                <w:szCs w:val="13"/>
                <w:color w:val="auto"/>
              </w:rPr>
            </w:pPr>
          </w:p>
        </w:tc>
        <w:tc>
          <w:tcPr>
            <w:tcW w:w="12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27,</w:t>
            </w:r>
          </w:p>
        </w:tc>
        <w:tc>
          <w:tcPr>
            <w:tcW w:w="260" w:type="dxa"/>
            <w:vAlign w:val="bottom"/>
          </w:tcPr>
          <w:p>
            <w:pPr>
              <w:spacing w:after="0"/>
              <w:rPr>
                <w:sz w:val="13"/>
                <w:szCs w:val="13"/>
                <w:color w:val="auto"/>
              </w:rPr>
            </w:pPr>
          </w:p>
        </w:tc>
        <w:tc>
          <w:tcPr>
            <w:tcW w:w="1100" w:type="dxa"/>
            <w:vAlign w:val="bottom"/>
          </w:tcPr>
          <w:p>
            <w:pPr>
              <w:jc w:val="right"/>
              <w:ind w:right="354"/>
              <w:spacing w:after="0" w:line="153" w:lineRule="exact"/>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NCM, Inc. (in millions)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77,343,093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76,912,086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77,261,435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76,776,250</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Add: Dilutive effect of stock options and restricted stock</w:t>
            </w:r>
          </w:p>
        </w:tc>
        <w:tc>
          <w:tcPr>
            <w:tcW w:w="2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293,003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213,524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313,646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204,806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77,636,096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77,125,610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77,575,081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76,981,056</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Earnings per NCM, Inc. share:</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0" w:firstLine="540"/>
        <w:spacing w:after="0" w:line="272" w:lineRule="auto"/>
        <w:rPr>
          <w:sz w:val="20"/>
          <w:szCs w:val="20"/>
          <w:color w:val="auto"/>
        </w:rPr>
      </w:pPr>
      <w:r>
        <w:rPr>
          <w:rFonts w:ascii="Arial" w:cs="Arial" w:eastAsia="Arial" w:hAnsi="Arial"/>
          <w:sz w:val="17"/>
          <w:szCs w:val="17"/>
          <w:color w:val="auto"/>
        </w:rPr>
        <w:t>The effect of 81,705,487, 80,660,822, 81,263,513 and 79,467,022 weighted average exchangeable NCM LLC common units held by the founding members for the three months ended June 27, 2019 and June 28, 2018 and the six months ended June 27, 2019 and June 28, 2018, respectively, have been excluded from the calculation of diluted weighted average shares and loss per NCM, Inc. share as they were anti-dilutive. NCM LLC common units do not participate in dividends paid on NCM, Inc.’s common stock. In addition, there were 1,969,086, 2,323,154, 2,125,728 and 2,493,613 stock options and non-vested (restricted) shares for the three months ended June 27, 2019 and June 28, 2018 and the six months ended June 27, 2019 and June 28, 2018, respectively, excluded from the calculation as they were anti-dilutive. The Company’s non-vested (restricted) shares do not meet the definition of a participating security as the dividends will not be paid if the shares do not vest.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4. INTANGIBLE ASSETS</w:t>
      </w:r>
    </w:p>
    <w:p>
      <w:pPr>
        <w:spacing w:after="0" w:line="121" w:lineRule="exact"/>
        <w:rPr>
          <w:sz w:val="20"/>
          <w:szCs w:val="20"/>
          <w:color w:val="auto"/>
        </w:rPr>
      </w:pPr>
    </w:p>
    <w:p>
      <w:pPr>
        <w:ind w:right="180" w:firstLine="540"/>
        <w:spacing w:after="0" w:line="273" w:lineRule="auto"/>
        <w:rPr>
          <w:sz w:val="20"/>
          <w:szCs w:val="20"/>
          <w:color w:val="auto"/>
        </w:rPr>
      </w:pPr>
      <w:r>
        <w:rPr>
          <w:rFonts w:ascii="Arial" w:cs="Arial" w:eastAsia="Arial" w:hAnsi="Arial"/>
          <w:sz w:val="17"/>
          <w:szCs w:val="17"/>
          <w:color w:val="auto"/>
        </w:rPr>
        <w:t>Intangible assets consist of contractual rights to provide the Company’s services within the theaters of the founding members and network affiliates and are stated at cost, net of accumulated amortization. The Company’s intangible assets with its founding members are recorded at fair market value of NCM, Inc.’s publicly traded stock as of the date on which the common membership units were issued. The NCM LLC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network affiliate agreement.</w:t>
      </w:r>
    </w:p>
    <w:p>
      <w:pPr>
        <w:spacing w:after="0" w:line="124" w:lineRule="exact"/>
        <w:rPr>
          <w:sz w:val="20"/>
          <w:szCs w:val="20"/>
          <w:color w:val="auto"/>
        </w:rPr>
      </w:pPr>
    </w:p>
    <w:p>
      <w:pPr>
        <w:ind w:right="80" w:firstLine="540"/>
        <w:spacing w:after="0" w:line="276" w:lineRule="auto"/>
        <w:rPr>
          <w:sz w:val="20"/>
          <w:szCs w:val="20"/>
          <w:color w:val="auto"/>
        </w:rPr>
      </w:pPr>
      <w:r>
        <w:rPr>
          <w:rFonts w:ascii="Arial" w:cs="Arial" w:eastAsia="Arial" w:hAnsi="Arial"/>
          <w:sz w:val="17"/>
          <w:szCs w:val="17"/>
          <w:b w:val="1"/>
          <w:bCs w:val="1"/>
          <w:i w:val="1"/>
          <w:iCs w:val="1"/>
          <w:color w:val="auto"/>
        </w:rPr>
        <w:t>Common Unit Adjustments</w:t>
      </w:r>
      <w:r>
        <w:rPr>
          <w:rFonts w:ascii="Arial" w:cs="Arial" w:eastAsia="Arial" w:hAnsi="Arial"/>
          <w:sz w:val="17"/>
          <w:szCs w:val="17"/>
          <w:color w:val="auto"/>
        </w:rPr>
        <w:t>—In accordance with NCM LLC’s Common Unit Adjustment Agreement with its founding members, on an annual basis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NCM LLC determines the amount of common membership units to be issued to or returned by the founding members based on theater additions or dispositions during the previous year. In addition, NCM LLC’s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119" w:lineRule="exact"/>
        <w:rPr>
          <w:sz w:val="20"/>
          <w:szCs w:val="20"/>
          <w:color w:val="auto"/>
        </w:rPr>
      </w:pPr>
    </w:p>
    <w:p>
      <w:pPr>
        <w:ind w:right="80" w:firstLine="540"/>
        <w:spacing w:after="0" w:line="286" w:lineRule="auto"/>
        <w:rPr>
          <w:sz w:val="20"/>
          <w:szCs w:val="20"/>
          <w:color w:val="auto"/>
        </w:rPr>
      </w:pPr>
      <w:r>
        <w:rPr>
          <w:rFonts w:ascii="Arial" w:cs="Arial" w:eastAsia="Arial" w:hAnsi="Arial"/>
          <w:sz w:val="17"/>
          <w:szCs w:val="17"/>
          <w:color w:val="auto"/>
        </w:rPr>
        <w:t>During the first quarter of 2019, NCM LLC issued 1,044,665 common membership units to its founding members for the rights to exclusive access to the theater screens and attendees added, net of dispositions by the founding members to NCM LLC’s network during the 2018 fiscal year and NCM LLC recorded a net intangible asset of $7.6 million during the first quarter of 2019 as a result of the Common Unit Adjustment.</w:t>
      </w:r>
    </w:p>
    <w:p>
      <w:pPr>
        <w:spacing w:after="0" w:line="111" w:lineRule="exact"/>
        <w:rPr>
          <w:sz w:val="20"/>
          <w:szCs w:val="20"/>
          <w:color w:val="auto"/>
        </w:rPr>
      </w:pPr>
    </w:p>
    <w:p>
      <w:pPr>
        <w:ind w:right="200" w:firstLine="540"/>
        <w:spacing w:after="0" w:line="259" w:lineRule="auto"/>
        <w:rPr>
          <w:sz w:val="20"/>
          <w:szCs w:val="20"/>
          <w:color w:val="auto"/>
        </w:rPr>
      </w:pPr>
      <w:r>
        <w:rPr>
          <w:rFonts w:ascii="Arial" w:cs="Arial" w:eastAsia="Arial" w:hAnsi="Arial"/>
          <w:sz w:val="18"/>
          <w:szCs w:val="18"/>
          <w:color w:val="auto"/>
        </w:rPr>
        <w:t>During the first quarter of 2018, NCM LLC issued 2,821,710 (3,736,860 issued, net of 915,150 returned) common membership units to its founding members for the rights to exclusive access to the theater screens and attendees added, net of dispositions by the founding members to NCM LLC’s network during the 2017 fiscal year and NCM LLC recorded a net intangible asset of $15.9 million during the first quarter of 2018 as a result of the Common Unit Adjustment.</w:t>
      </w:r>
    </w:p>
    <w:p>
      <w:pPr>
        <w:spacing w:after="0" w:line="133" w:lineRule="exact"/>
        <w:rPr>
          <w:sz w:val="20"/>
          <w:szCs w:val="20"/>
          <w:color w:val="auto"/>
        </w:rPr>
      </w:pPr>
    </w:p>
    <w:p>
      <w:pPr>
        <w:ind w:right="20" w:firstLine="540"/>
        <w:spacing w:after="0" w:line="259" w:lineRule="auto"/>
        <w:rPr>
          <w:sz w:val="20"/>
          <w:szCs w:val="20"/>
          <w:color w:val="auto"/>
        </w:rPr>
      </w:pPr>
      <w:r>
        <w:rPr>
          <w:rFonts w:ascii="Arial" w:cs="Arial" w:eastAsia="Arial" w:hAnsi="Arial"/>
          <w:sz w:val="18"/>
          <w:szCs w:val="18"/>
          <w:b w:val="1"/>
          <w:bCs w:val="1"/>
          <w:i w:val="1"/>
          <w:iCs w:val="1"/>
          <w:color w:val="auto"/>
        </w:rPr>
        <w:t>Integration Payments and Other Encumbered Theater Payments</w:t>
      </w:r>
      <w:r>
        <w:rPr>
          <w:rFonts w:ascii="Arial" w:cs="Arial" w:eastAsia="Arial" w:hAnsi="Arial"/>
          <w:sz w:val="18"/>
          <w:szCs w:val="18"/>
          <w:color w:val="auto"/>
        </w:rPr>
        <w:t>—If an existing on-screen advertising agreement with an alternative provider is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place with respect to any acquired theaters ("encumbered theaters"), the founding members may elect to receive common membership units related to those encumbered theaters in connection with the Common Unit Adjustment. If the founding members make this election, then they are required to make payments on a quarterly basis in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arrears in accordance with certain run-out provisions pursuant to the ESAs (“integration payments”). Because the Carmike Cinemas, Inc. (“Carmike”) theaters acquired by AMC are subject to an existing on-screen advertising agreement with an alternative provider, AMC will make integration payments to NCM LLC. The integration payments will continue until the earlier of (i) the date the theaters are transferred to NCM LLC’s network or (ii) the expiration of the ESA. Integration payments are calculated based upon the advertising cash flow that the Company would have generated if it had exclusive access to sell advertising in the theaters with pre-existing advertising agreements. The ESA additionally entitles NCM LLC to payments related to the founding members’ on-screen advertising commitments under their beverage concessionaire agreements for encumbered theaters. These payments are also accounted for as a reduction to the intangible asset. During the three months ended June 27, 2019 and June 28, 2018 and the six months ended June 27, 2019 and June 28, 2018, the Company recorded a reduction to net intangible assets of $5.7 million, $5.6 million, $8.1 million and $7.8 million, respectively, related to integration and other encumbered theater payments. These payments received from AMC related to its acquisitions of theaters from Carmike and Rave Cinemas and from Cinemark related primarily to its acquisition of theaters from Rave Cinemas. During the three months ended June 27, 2019 and June 28, 2018 and the six months ended June 27, 2019 and June 28, 2018, AMC and Cinemark paid a total of $2.5 million, $2.2 million, $10.6 million and $11.5 million, respectively, in integration and other encumbered theater payments (as payments are made one quarter and one month in arrears, respectively). If common membership units are issued to a founding member for newly acquired theaters that are subject to an existing on-screen advertising agreement with an alternative provider, the amortization of the intangible asset commences after the existing agreement expires and NCM LLC can utilize the theaters for all of its services.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5. RELATED PARTY TRANSACTIONS</w:t>
      </w:r>
    </w:p>
    <w:p>
      <w:pPr>
        <w:spacing w:after="0" w:line="121" w:lineRule="exact"/>
        <w:rPr>
          <w:sz w:val="20"/>
          <w:szCs w:val="20"/>
          <w:color w:val="auto"/>
        </w:rPr>
      </w:pPr>
    </w:p>
    <w:p>
      <w:pPr>
        <w:ind w:firstLine="540"/>
        <w:spacing w:after="0" w:line="253" w:lineRule="auto"/>
        <w:rPr>
          <w:sz w:val="20"/>
          <w:szCs w:val="20"/>
          <w:color w:val="auto"/>
        </w:rPr>
      </w:pPr>
      <w:r>
        <w:rPr>
          <w:rFonts w:ascii="Arial" w:cs="Arial" w:eastAsia="Arial" w:hAnsi="Arial"/>
          <w:sz w:val="18"/>
          <w:szCs w:val="18"/>
          <w:b w:val="1"/>
          <w:bCs w:val="1"/>
          <w:i w:val="1"/>
          <w:iCs w:val="1"/>
          <w:color w:val="auto"/>
        </w:rPr>
        <w:t>Founding Member Transactions</w:t>
      </w:r>
      <w:r>
        <w:rPr>
          <w:rFonts w:ascii="Arial" w:cs="Arial" w:eastAsia="Arial" w:hAnsi="Arial"/>
          <w:sz w:val="18"/>
          <w:szCs w:val="18"/>
          <w:color w:val="auto"/>
        </w:rPr>
        <w:t>—In connection with NCM, Inc.’s IPO, the Company entered into several agreements to define and regulate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relationships among NCM, Inc., NCM LLC and the founding members which are outlined below. As AMC owns less than 5% of NCM LLC as of June 27, 2019, AMC is no longer a related party. AMC remains a party to the ESA, Common Unit Adjustment Agreement, Tax Receivable Agreement ("TRA") and certain other original agreements and is a member under the terms of the NCM LLC Operating Agreement, subject to fulfilling the requirements of Section 3.1 of the NCM LLC Operating Agreement. AMC will continue to participate in the annual Common Unit Adjustment and receive available cash distributions or allocation of earnings and losses in NCM LLC (as long as its ownership is greater than zero), TRA payments and theater access fees. Further, AMC will continue to pay beverage revenue, among other things. AMC's ownership percentage does not impact future integration payments and other encumbered theater payments owed to NCM LLC by AMC. AMC is considered a related party through the date its ownership fell below the 5% threshold (July 5, 2018) and related party transactions with AMC through this period are included within the disclosures below (specifically the first quarter and first six months of 2018).</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agreements with the founding members are as follows:</w:t>
      </w:r>
    </w:p>
    <w:p>
      <w:pPr>
        <w:spacing w:after="0" w:line="167" w:lineRule="exact"/>
        <w:rPr>
          <w:sz w:val="20"/>
          <w:szCs w:val="20"/>
          <w:color w:val="auto"/>
        </w:rPr>
      </w:pPr>
    </w:p>
    <w:p>
      <w:pPr>
        <w:ind w:left="1080" w:right="20" w:hanging="329"/>
        <w:spacing w:after="0" w:line="291"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ESAs. </w:t>
      </w:r>
      <w:r>
        <w:rPr>
          <w:rFonts w:ascii="Arial" w:cs="Arial" w:eastAsia="Arial" w:hAnsi="Arial"/>
          <w:sz w:val="16"/>
          <w:szCs w:val="16"/>
          <w:color w:val="auto"/>
        </w:rPr>
        <w:t>Under the ESAs, NCM LLC is the exclusive provider within the United States of advertising services in the founding members’ theaters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(subject to pre-existing contractual obligations and other limited exceptions for the benefit of the founding members). The advertising services include the use of the digital content network (“DCN”) equipment required to deliver the on-screen advertising and other content included in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use of the LEN and rights to sell and display certain lobby promotions. Further, 30 to 60 seconds of advertising included in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is sold to NCM LLC’s founding members to satisfy the founding members’ on-screen advertising commitments under their beverage concessionaire agreements. In consideration for access to the founding members’ theaters, theater patrons, the network equipment required to display on-screen and LEN video advertising and the use of theaters for lobby promotions, the founding members receive a monthly theater access fee. These agreements are considered leases with related parties under ASC 842.</w:t>
      </w:r>
    </w:p>
    <w:p>
      <w:pPr>
        <w:spacing w:after="0" w:line="106" w:lineRule="exact"/>
        <w:rPr>
          <w:rFonts w:ascii="Arial" w:cs="Arial" w:eastAsia="Arial" w:hAnsi="Arial"/>
          <w:sz w:val="16"/>
          <w:szCs w:val="16"/>
          <w:color w:val="auto"/>
        </w:rPr>
      </w:pPr>
    </w:p>
    <w:p>
      <w:pPr>
        <w:ind w:left="1080" w:right="100" w:hanging="329"/>
        <w:spacing w:after="0" w:line="26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Common Unit Adjustment Agreement. </w:t>
      </w:r>
      <w:r>
        <w:rPr>
          <w:rFonts w:ascii="Arial" w:cs="Arial" w:eastAsia="Arial" w:hAnsi="Arial"/>
          <w:sz w:val="18"/>
          <w:szCs w:val="18"/>
          <w:color w:val="auto"/>
        </w:rPr>
        <w:t>The Common Unit Adjustment Agreement provides a mechanism for increasing or decreasing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membership units held by the founding members based on the acquisition or construction of new theaters or sale or closure of theaters that are operated by each founding member and included in NCM LLC’s network.</w:t>
      </w:r>
    </w:p>
    <w:p>
      <w:pPr>
        <w:spacing w:after="0" w:line="122" w:lineRule="exact"/>
        <w:rPr>
          <w:rFonts w:ascii="Arial" w:cs="Arial" w:eastAsia="Arial" w:hAnsi="Arial"/>
          <w:sz w:val="18"/>
          <w:szCs w:val="18"/>
          <w:color w:val="auto"/>
        </w:rPr>
      </w:pPr>
    </w:p>
    <w:p>
      <w:pPr>
        <w:ind w:left="1080" w:right="100" w:hanging="329"/>
        <w:spacing w:after="0" w:line="314"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Tax Receivable Agreement. </w:t>
      </w:r>
      <w:r>
        <w:rPr>
          <w:rFonts w:ascii="Arial" w:cs="Arial" w:eastAsia="Arial" w:hAnsi="Arial"/>
          <w:sz w:val="16"/>
          <w:szCs w:val="16"/>
          <w:color w:val="auto"/>
        </w:rPr>
        <w:t>The TRA provides for the effective payment by NCM, Inc. to the founding members of 90% of the amount of</w:t>
      </w:r>
      <w:r>
        <w:rPr>
          <w:rFonts w:ascii="Arial" w:cs="Arial" w:eastAsia="Arial" w:hAnsi="Arial"/>
          <w:sz w:val="16"/>
          <w:szCs w:val="16"/>
          <w:b w:val="1"/>
          <w:bCs w:val="1"/>
          <w:color w:val="auto"/>
        </w:rPr>
        <w:t xml:space="preserve"> </w:t>
      </w:r>
      <w:r>
        <w:rPr>
          <w:rFonts w:ascii="Arial" w:cs="Arial" w:eastAsia="Arial" w:hAnsi="Arial"/>
          <w:sz w:val="16"/>
          <w:szCs w:val="16"/>
          <w:color w:val="auto"/>
        </w:rPr>
        <w:t>cash savings, if any, in U.S. federal, state and local income tax or franchise tax that is actually realized as a result of certain increases in NCM, Inc.’s proportionate share of tax basis in NCM LLC’s tangible and intangible assets resulting from the IPO and related transactions.</w:t>
      </w:r>
    </w:p>
    <w:p>
      <w:pPr>
        <w:spacing w:after="0" w:line="88" w:lineRule="exact"/>
        <w:rPr>
          <w:rFonts w:ascii="Arial" w:cs="Arial" w:eastAsia="Arial" w:hAnsi="Arial"/>
          <w:sz w:val="16"/>
          <w:szCs w:val="16"/>
          <w:color w:val="auto"/>
        </w:rPr>
      </w:pPr>
    </w:p>
    <w:p>
      <w:pPr>
        <w:ind w:left="1080" w:right="120" w:hanging="329"/>
        <w:spacing w:after="0" w:line="282"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Software License Agreement. </w:t>
      </w:r>
      <w:r>
        <w:rPr>
          <w:rFonts w:ascii="Arial" w:cs="Arial" w:eastAsia="Arial" w:hAnsi="Arial"/>
          <w:sz w:val="18"/>
          <w:szCs w:val="18"/>
          <w:color w:val="auto"/>
        </w:rPr>
        <w:t>At the date of the Company’s IPO, NCM LLC was granted a perpetual, royalty-free license from NCM LLC’s</w:t>
      </w:r>
      <w:r>
        <w:rPr>
          <w:rFonts w:ascii="Arial" w:cs="Arial" w:eastAsia="Arial" w:hAnsi="Arial"/>
          <w:sz w:val="18"/>
          <w:szCs w:val="18"/>
          <w:b w:val="1"/>
          <w:bCs w:val="1"/>
          <w:color w:val="auto"/>
        </w:rPr>
        <w:t xml:space="preserve"> </w:t>
      </w:r>
      <w:r>
        <w:rPr>
          <w:rFonts w:ascii="Arial" w:cs="Arial" w:eastAsia="Arial" w:hAnsi="Arial"/>
          <w:sz w:val="18"/>
          <w:szCs w:val="18"/>
          <w:color w:val="auto"/>
        </w:rPr>
        <w:t>founding members to use certain proprietary software that existed at the time for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34" w:lineRule="exact"/>
        <w:rPr>
          <w:sz w:val="20"/>
          <w:szCs w:val="20"/>
          <w:color w:val="auto"/>
        </w:rPr>
      </w:pPr>
    </w:p>
    <w:p>
      <w:pPr>
        <w:ind w:left="1080" w:right="20"/>
        <w:spacing w:after="0" w:line="311" w:lineRule="auto"/>
        <w:rPr>
          <w:sz w:val="20"/>
          <w:szCs w:val="20"/>
          <w:color w:val="auto"/>
        </w:rPr>
      </w:pPr>
      <w:r>
        <w:rPr>
          <w:rFonts w:ascii="Arial" w:cs="Arial" w:eastAsia="Arial" w:hAnsi="Arial"/>
          <w:sz w:val="18"/>
          <w:szCs w:val="18"/>
          <w:color w:val="auto"/>
        </w:rPr>
        <w:t>the delivery of digital advertising and other content through the DCN to screens in the U.S. NCM LLC has made improvements to this software since the IPO date and NCM LLC owns those improvements, except for improvements that were developed jointly by NCM LLC and NCM LLC’s founding members, if any.</w:t>
      </w:r>
    </w:p>
    <w:p>
      <w:pPr>
        <w:spacing w:after="0" w:line="10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tables provide summaries of the transactions between the Company and the founding members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27,</w:t>
            </w:r>
          </w:p>
        </w:tc>
        <w:tc>
          <w:tcPr>
            <w:tcW w:w="200" w:type="dxa"/>
            <w:vAlign w:val="bottom"/>
          </w:tcPr>
          <w:p>
            <w:pPr>
              <w:spacing w:after="0"/>
              <w:rPr>
                <w:sz w:val="13"/>
                <w:szCs w:val="13"/>
                <w:color w:val="auto"/>
              </w:rPr>
            </w:pPr>
          </w:p>
        </w:tc>
        <w:tc>
          <w:tcPr>
            <w:tcW w:w="10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28,</w:t>
            </w:r>
          </w:p>
        </w:tc>
        <w:tc>
          <w:tcPr>
            <w:tcW w:w="200" w:type="dxa"/>
            <w:vAlign w:val="bottom"/>
          </w:tcPr>
          <w:p>
            <w:pPr>
              <w:spacing w:after="0"/>
              <w:rPr>
                <w:sz w:val="13"/>
                <w:szCs w:val="13"/>
                <w:color w:val="auto"/>
              </w:rPr>
            </w:pPr>
          </w:p>
        </w:tc>
        <w:tc>
          <w:tcPr>
            <w:tcW w:w="10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92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rPr>
              <w:t>June 28,</w:t>
            </w:r>
          </w:p>
        </w:tc>
      </w:tr>
      <w:tr>
        <w:trPr>
          <w:trHeight w:val="192"/>
        </w:trPr>
        <w:tc>
          <w:tcPr>
            <w:tcW w:w="6520" w:type="dxa"/>
            <w:vAlign w:val="bottom"/>
            <w:tcBorders>
              <w:bottom w:val="single" w:sz="8" w:color="CCEEFF"/>
            </w:tcBorders>
            <w:gridSpan w:val="5"/>
          </w:tcPr>
          <w:p>
            <w:pPr>
              <w:ind w:left="40"/>
              <w:spacing w:after="0"/>
              <w:rPr>
                <w:sz w:val="20"/>
                <w:szCs w:val="20"/>
                <w:color w:val="auto"/>
              </w:rPr>
            </w:pPr>
            <w:r>
              <w:rPr>
                <w:rFonts w:ascii="Arial" w:cs="Arial" w:eastAsia="Arial" w:hAnsi="Arial"/>
                <w:sz w:val="14"/>
                <w:szCs w:val="14"/>
                <w:b w:val="1"/>
                <w:bCs w:val="1"/>
                <w:i w:val="1"/>
                <w:iCs w:val="1"/>
                <w:color w:val="auto"/>
              </w:rPr>
              <w:t xml:space="preserve">Included in the unaudited Condensed Consolidated Statements of Income: </w:t>
            </w:r>
            <w:r>
              <w:rPr>
                <w:rFonts w:ascii="Arial" w:cs="Arial" w:eastAsia="Arial" w:hAnsi="Arial"/>
                <w:sz w:val="14"/>
                <w:szCs w:val="14"/>
                <w:i w:val="1"/>
                <w:iCs w:val="1"/>
                <w:color w:val="auto"/>
              </w:rPr>
              <w:t>(1)</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5"/>
              </w:rPr>
              <w:t>Revenue:</w:t>
            </w:r>
          </w:p>
        </w:tc>
        <w:tc>
          <w:tcPr>
            <w:tcW w:w="5560" w:type="dxa"/>
            <w:vAlign w:val="bottom"/>
            <w:tcBorders>
              <w:bottom w:val="single" w:sz="8" w:color="CCEEFF"/>
            </w:tcBorders>
            <w:gridSpan w:val="3"/>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6240" w:type="dxa"/>
            <w:vAlign w:val="bottom"/>
            <w:gridSpan w:val="4"/>
          </w:tcPr>
          <w:p>
            <w:pPr>
              <w:ind w:left="160"/>
              <w:spacing w:after="0"/>
              <w:rPr>
                <w:sz w:val="20"/>
                <w:szCs w:val="20"/>
                <w:color w:val="auto"/>
              </w:rPr>
            </w:pPr>
            <w:r>
              <w:rPr>
                <w:rFonts w:ascii="Arial" w:cs="Arial" w:eastAsia="Arial" w:hAnsi="Arial"/>
                <w:sz w:val="18"/>
                <w:szCs w:val="18"/>
                <w:color w:val="auto"/>
              </w:rPr>
              <w:t xml:space="preserve">Beverage concessionaire revenue (included in advertising revenue) </w:t>
            </w:r>
            <w:r>
              <w:rPr>
                <w:rFonts w:ascii="Arial" w:cs="Arial" w:eastAsia="Arial" w:hAnsi="Arial"/>
                <w:sz w:val="18"/>
                <w:szCs w:val="18"/>
                <w:i w:val="1"/>
                <w:iCs w:val="1"/>
                <w:color w:val="auto"/>
              </w:rPr>
              <w:t>(2)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16.6</w:t>
            </w:r>
          </w:p>
        </w:tc>
      </w:tr>
      <w:tr>
        <w:trPr>
          <w:trHeight w:val="27"/>
        </w:trPr>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3"/>
        </w:trPr>
        <w:tc>
          <w:tcPr>
            <w:tcW w:w="280" w:type="dxa"/>
            <w:vAlign w:val="bottom"/>
            <w:shd w:val="clear" w:color="auto" w:fill="CCEEFF"/>
          </w:tcPr>
          <w:p>
            <w:pPr>
              <w:spacing w:after="0"/>
              <w:rPr>
                <w:sz w:val="17"/>
                <w:szCs w:val="17"/>
                <w:color w:val="auto"/>
              </w:rPr>
            </w:pPr>
          </w:p>
        </w:tc>
        <w:tc>
          <w:tcPr>
            <w:tcW w:w="62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48"/>
        </w:trPr>
        <w:tc>
          <w:tcPr>
            <w:tcW w:w="2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78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4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r>
      <w:tr>
        <w:trPr>
          <w:trHeight w:val="243"/>
        </w:trPr>
        <w:tc>
          <w:tcPr>
            <w:tcW w:w="280" w:type="dxa"/>
            <w:vAlign w:val="bottom"/>
          </w:tcPr>
          <w:p>
            <w:pPr>
              <w:spacing w:after="0"/>
              <w:rPr>
                <w:sz w:val="21"/>
                <w:szCs w:val="21"/>
                <w:color w:val="auto"/>
              </w:rPr>
            </w:pPr>
          </w:p>
        </w:tc>
        <w:tc>
          <w:tcPr>
            <w:tcW w:w="6240" w:type="dxa"/>
            <w:vAlign w:val="bottom"/>
            <w:gridSpan w:val="4"/>
          </w:tcPr>
          <w:p>
            <w:pPr>
              <w:ind w:left="140"/>
              <w:spacing w:after="0"/>
              <w:rPr>
                <w:sz w:val="20"/>
                <w:szCs w:val="20"/>
                <w:color w:val="auto"/>
              </w:rPr>
            </w:pPr>
            <w:r>
              <w:rPr>
                <w:rFonts w:ascii="Arial" w:cs="Arial" w:eastAsia="Arial" w:hAnsi="Arial"/>
                <w:sz w:val="18"/>
                <w:szCs w:val="18"/>
                <w:color w:val="auto"/>
              </w:rPr>
              <w:t xml:space="preserve">Theater access fee </w:t>
            </w:r>
            <w:r>
              <w:rPr>
                <w:rFonts w:ascii="Arial" w:cs="Arial" w:eastAsia="Arial" w:hAnsi="Arial"/>
                <w:sz w:val="18"/>
                <w:szCs w:val="18"/>
                <w:i w:val="1"/>
                <w:iCs w:val="1"/>
                <w:color w:val="auto"/>
              </w:rPr>
              <w:t>(3)</w:t>
            </w:r>
          </w:p>
        </w:tc>
        <w:tc>
          <w:tcPr>
            <w:tcW w:w="22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42.1</w:t>
            </w:r>
          </w:p>
        </w:tc>
      </w:tr>
      <w:tr>
        <w:trPr>
          <w:trHeight w:val="27"/>
        </w:trPr>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280" w:type="dxa"/>
            <w:vAlign w:val="bottom"/>
            <w:shd w:val="clear" w:color="auto" w:fill="CCEEFF"/>
          </w:tcPr>
          <w:p>
            <w:pPr>
              <w:spacing w:after="0"/>
              <w:rPr>
                <w:sz w:val="19"/>
                <w:szCs w:val="19"/>
                <w:color w:val="auto"/>
              </w:rPr>
            </w:pPr>
          </w:p>
        </w:tc>
        <w:tc>
          <w:tcPr>
            <w:tcW w:w="62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6"/>
              </w:rPr>
              <w:t>Purchase of movie tickets and concession products and rental of theater space</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624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 xml:space="preserve">(included in selling and marketing costs) </w:t>
            </w:r>
            <w:r>
              <w:rPr>
                <w:rFonts w:ascii="Arial" w:cs="Arial" w:eastAsia="Arial" w:hAnsi="Arial"/>
                <w:sz w:val="18"/>
                <w:szCs w:val="18"/>
                <w:i w:val="1"/>
                <w:iCs w:val="1"/>
                <w:color w:val="auto"/>
              </w:rPr>
              <w:t>(4)</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0.7</w:t>
            </w:r>
          </w:p>
        </w:tc>
      </w:tr>
      <w:tr>
        <w:trPr>
          <w:trHeight w:val="203"/>
        </w:trPr>
        <w:tc>
          <w:tcPr>
            <w:tcW w:w="280" w:type="dxa"/>
            <w:vAlign w:val="bottom"/>
          </w:tcPr>
          <w:p>
            <w:pPr>
              <w:spacing w:after="0"/>
              <w:rPr>
                <w:sz w:val="17"/>
                <w:szCs w:val="17"/>
                <w:color w:val="auto"/>
              </w:rPr>
            </w:pPr>
          </w:p>
        </w:tc>
        <w:tc>
          <w:tcPr>
            <w:tcW w:w="6240" w:type="dxa"/>
            <w:vAlign w:val="bottom"/>
            <w:gridSpan w:val="4"/>
          </w:tcPr>
          <w:p>
            <w:pPr>
              <w:spacing w:after="0" w:line="202" w:lineRule="exact"/>
              <w:rPr>
                <w:sz w:val="20"/>
                <w:szCs w:val="20"/>
                <w:color w:val="auto"/>
              </w:rPr>
            </w:pPr>
            <w:r>
              <w:rPr>
                <w:rFonts w:ascii="Arial" w:cs="Arial" w:eastAsia="Arial" w:hAnsi="Arial"/>
                <w:sz w:val="18"/>
                <w:szCs w:val="18"/>
                <w:color w:val="auto"/>
              </w:rPr>
              <w:t>Non-operating expenses: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8"/>
        </w:trPr>
        <w:tc>
          <w:tcPr>
            <w:tcW w:w="2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29"/>
        </w:trPr>
        <w:tc>
          <w:tcPr>
            <w:tcW w:w="280" w:type="dxa"/>
            <w:vAlign w:val="bottom"/>
            <w:shd w:val="clear" w:color="auto" w:fill="CCEEFF"/>
          </w:tcPr>
          <w:p>
            <w:pPr>
              <w:spacing w:after="0"/>
              <w:rPr>
                <w:sz w:val="19"/>
                <w:szCs w:val="19"/>
                <w:color w:val="auto"/>
              </w:rPr>
            </w:pPr>
          </w:p>
        </w:tc>
        <w:tc>
          <w:tcPr>
            <w:tcW w:w="62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Interest income from notes receivable (included in interest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280" w:type="dxa"/>
            <w:vAlign w:val="bottom"/>
            <w:shd w:val="clear" w:color="auto" w:fill="CCEEFF"/>
          </w:tcPr>
          <w:p>
            <w:pPr>
              <w:spacing w:after="0"/>
              <w:rPr>
                <w:sz w:val="20"/>
                <w:szCs w:val="20"/>
                <w:color w:val="auto"/>
              </w:rPr>
            </w:pPr>
          </w:p>
        </w:tc>
        <w:tc>
          <w:tcPr>
            <w:tcW w:w="62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 xml:space="preserve">income) </w:t>
            </w:r>
            <w:r>
              <w:rPr>
                <w:rFonts w:ascii="Arial" w:cs="Arial" w:eastAsia="Arial" w:hAnsi="Arial"/>
                <w:sz w:val="18"/>
                <w:szCs w:val="18"/>
                <w:i w:val="1"/>
                <w:iCs w:val="1"/>
                <w:color w:val="auto"/>
              </w:rPr>
              <w:t>(5)</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r>
      <w:tr>
        <w:trPr>
          <w:trHeight w:val="27"/>
        </w:trPr>
        <w:tc>
          <w:tcPr>
            <w:tcW w:w="2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23" w:lineRule="exact"/>
        <w:rPr>
          <w:sz w:val="20"/>
          <w:szCs w:val="20"/>
          <w:color w:val="auto"/>
        </w:rPr>
      </w:pPr>
    </w:p>
    <w:p>
      <w:pPr>
        <w:ind w:left="340" w:right="480" w:hanging="332"/>
        <w:spacing w:after="0" w:line="250"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AMC is no longer considered a related party as of July 5, 2018, as described further above. As such, the figures within the table above only include related party activity with AMC for the three and six months ended June 28, 2018.</w:t>
      </w:r>
    </w:p>
    <w:p>
      <w:pPr>
        <w:ind w:left="340" w:right="180" w:hanging="332"/>
        <w:spacing w:after="0" w:line="281" w:lineRule="auto"/>
        <w:tabs>
          <w:tab w:leader="none" w:pos="340" w:val="left"/>
        </w:tabs>
        <w:numPr>
          <w:ilvl w:val="0"/>
          <w:numId w:val="3"/>
        </w:numPr>
        <w:rPr>
          <w:rFonts w:ascii="Arial" w:cs="Arial" w:eastAsia="Arial" w:hAnsi="Arial"/>
          <w:sz w:val="16"/>
          <w:szCs w:val="16"/>
          <w:i w:val="1"/>
          <w:iCs w:val="1"/>
          <w:color w:val="auto"/>
        </w:rPr>
      </w:pPr>
      <w:r>
        <w:rPr>
          <w:rFonts w:ascii="Arial" w:cs="Arial" w:eastAsia="Arial" w:hAnsi="Arial"/>
          <w:sz w:val="16"/>
          <w:szCs w:val="16"/>
          <w:color w:val="auto"/>
        </w:rPr>
        <w:t>For the three and six months ended June 27, 2019 and June 28, 2018, two of the founding members purchased 60 seconds of on-screen advertising time and one founding member purchased 30 seconds (with all three founding members having a right to purchase up to 90 seconds) from NCM LLC to satisfy their obligations under their beverage concessionaire agreements at a 30 seconds equivalent CPM rate specified by the ESA.</w:t>
      </w:r>
    </w:p>
    <w:p>
      <w:pPr>
        <w:spacing w:after="0" w:line="2" w:lineRule="exact"/>
        <w:rPr>
          <w:rFonts w:ascii="Arial" w:cs="Arial" w:eastAsia="Arial" w:hAnsi="Arial"/>
          <w:sz w:val="16"/>
          <w:szCs w:val="16"/>
          <w:i w:val="1"/>
          <w:iCs w:val="1"/>
          <w:color w:val="auto"/>
        </w:rPr>
      </w:pPr>
    </w:p>
    <w:p>
      <w:pPr>
        <w:ind w:left="340" w:right="300" w:hanging="332"/>
        <w:spacing w:after="0" w:line="250"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Comprised of payments per theater attendee and payments per digital screen with respect to the founding member theaters included in the Company’s network, including payments for access to higher quality digital cinema equipment.</w:t>
      </w: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w:t>
      </w:r>
    </w:p>
    <w:p>
      <w:pPr>
        <w:spacing w:after="0" w:line="9" w:lineRule="exact"/>
        <w:rPr>
          <w:sz w:val="20"/>
          <w:szCs w:val="20"/>
          <w:color w:val="auto"/>
        </w:rPr>
      </w:pPr>
    </w:p>
    <w:p>
      <w:pPr>
        <w:ind w:left="340" w:right="40" w:hanging="323"/>
        <w:spacing w:after="0" w:line="295" w:lineRule="auto"/>
        <w:rPr>
          <w:sz w:val="20"/>
          <w:szCs w:val="20"/>
          <w:color w:val="auto"/>
        </w:rPr>
      </w:pPr>
      <w:r>
        <w:rPr>
          <w:rFonts w:ascii="Arial" w:cs="Arial" w:eastAsia="Arial" w:hAnsi="Arial"/>
          <w:sz w:val="16"/>
          <w:szCs w:val="16"/>
          <w:i w:val="1"/>
          <w:iCs w:val="1"/>
          <w:color w:val="auto"/>
        </w:rPr>
        <w:t>(5)</w:t>
      </w:r>
      <w:r>
        <w:rPr>
          <w:rFonts w:ascii="Arial" w:cs="Arial" w:eastAsia="Arial" w:hAnsi="Arial"/>
          <w:sz w:val="16"/>
          <w:szCs w:val="16"/>
          <w:color w:val="auto"/>
        </w:rPr>
        <w:t>On December 26, 2013, NCM LLC sold its Fathom Events business to a newly formed limited liability company (AC JV, LLC) owned 32% by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founding members and 4% by NCM LLC. In consideration for the sale, NCM LLC received a total of $25.0 million in promissory notes from its founding members (one-third or approximately $8.3 million from each founding member). The notes bear interest at a fixed rate of 5.0% per annum, compounded annually. Interest and principal payments are due annually in six equal installments commencing on the first anniversary of the closing.</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1"/>
              </w:rPr>
              <w:t>As of</w:t>
            </w:r>
          </w:p>
        </w:tc>
        <w:tc>
          <w:tcPr>
            <w:tcW w:w="1240" w:type="dxa"/>
            <w:vAlign w:val="bottom"/>
            <w:tcBorders>
              <w:bottom w:val="single" w:sz="8" w:color="auto"/>
            </w:tcBorders>
          </w:tcPr>
          <w:p>
            <w:pPr>
              <w:spacing w:after="0"/>
              <w:rPr>
                <w:sz w:val="16"/>
                <w:szCs w:val="16"/>
                <w:color w:val="auto"/>
              </w:rPr>
            </w:pPr>
          </w:p>
        </w:tc>
      </w:tr>
      <w:tr>
        <w:trPr>
          <w:trHeight w:val="152"/>
        </w:trPr>
        <w:tc>
          <w:tcPr>
            <w:tcW w:w="8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June 27,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w w:val="98"/>
              </w:rPr>
              <w:t>December 27,</w:t>
            </w:r>
          </w:p>
        </w:tc>
      </w:tr>
      <w:tr>
        <w:trPr>
          <w:trHeight w:val="192"/>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Included in the unaudited Condensed Consolidated Balance Sheets: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0"/>
        </w:trPr>
        <w:tc>
          <w:tcPr>
            <w:tcW w:w="8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 xml:space="preserve">Purchase of movie tickets and concession products (included in prepaid expenses) </w:t>
            </w:r>
            <w:r>
              <w:rPr>
                <w:rFonts w:ascii="Arial" w:cs="Arial" w:eastAsia="Arial" w:hAnsi="Arial"/>
                <w:sz w:val="18"/>
                <w:szCs w:val="18"/>
                <w:i w:val="1"/>
                <w:iCs w:val="1"/>
                <w:color w:val="auto"/>
              </w:rPr>
              <w:t>(1)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080" w:type="dxa"/>
            <w:vAlign w:val="bottom"/>
          </w:tcPr>
          <w:p>
            <w:pPr>
              <w:ind w:left="260"/>
              <w:spacing w:after="0"/>
              <w:rPr>
                <w:sz w:val="20"/>
                <w:szCs w:val="20"/>
                <w:color w:val="auto"/>
              </w:rPr>
            </w:pPr>
            <w:r>
              <w:rPr>
                <w:rFonts w:ascii="Arial" w:cs="Arial" w:eastAsia="Arial" w:hAnsi="Arial"/>
                <w:sz w:val="18"/>
                <w:szCs w:val="18"/>
                <w:color w:val="auto"/>
              </w:rPr>
              <w:t xml:space="preserve">Current portion of notes receivable - related parties </w:t>
            </w:r>
            <w:r>
              <w:rPr>
                <w:rFonts w:ascii="Arial" w:cs="Arial" w:eastAsia="Arial" w:hAnsi="Arial"/>
                <w:sz w:val="18"/>
                <w:szCs w:val="18"/>
                <w:i w:val="1"/>
                <w:iCs w:val="1"/>
                <w:color w:val="auto"/>
              </w:rPr>
              <w:t>(1) (2)</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4.2</w:t>
            </w:r>
          </w:p>
        </w:tc>
      </w:tr>
      <w:tr>
        <w:trPr>
          <w:trHeight w:val="27"/>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 xml:space="preserve">Interest receivable on notes receivable (included in other current assets) </w:t>
            </w:r>
            <w:r>
              <w:rPr>
                <w:rFonts w:ascii="Arial" w:cs="Arial" w:eastAsia="Arial" w:hAnsi="Arial"/>
                <w:sz w:val="18"/>
                <w:szCs w:val="18"/>
                <w:i w:val="1"/>
                <w:iCs w:val="1"/>
                <w:color w:val="auto"/>
              </w:rPr>
              <w:t>(1) (2)</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r>
      <w:tr>
        <w:trPr>
          <w:trHeight w:val="243"/>
        </w:trPr>
        <w:tc>
          <w:tcPr>
            <w:tcW w:w="8080" w:type="dxa"/>
            <w:vAlign w:val="bottom"/>
          </w:tcPr>
          <w:p>
            <w:pPr>
              <w:ind w:left="260"/>
              <w:spacing w:after="0"/>
              <w:rPr>
                <w:sz w:val="20"/>
                <w:szCs w:val="20"/>
                <w:color w:val="auto"/>
              </w:rPr>
            </w:pPr>
            <w:r>
              <w:rPr>
                <w:rFonts w:ascii="Arial" w:cs="Arial" w:eastAsia="Arial" w:hAnsi="Arial"/>
                <w:sz w:val="18"/>
                <w:szCs w:val="18"/>
                <w:color w:val="auto"/>
                <w:w w:val="92"/>
              </w:rPr>
              <w:t xml:space="preserve">Common unit adjustments, net of amortization and integration payments (included in intangible assets) </w:t>
            </w:r>
            <w:r>
              <w:rPr>
                <w:rFonts w:ascii="Arial" w:cs="Arial" w:eastAsia="Arial" w:hAnsi="Arial"/>
                <w:sz w:val="18"/>
                <w:szCs w:val="18"/>
                <w:i w:val="1"/>
                <w:iCs w:val="1"/>
                <w:color w:val="auto"/>
                <w:w w:val="92"/>
              </w:rPr>
              <w:t>(3)</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657.6</w:t>
            </w:r>
          </w:p>
        </w:tc>
      </w:tr>
      <w:tr>
        <w:trPr>
          <w:trHeight w:val="27"/>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 xml:space="preserve">Current payable to founding members under tax receivable agreement </w:t>
            </w:r>
            <w:r>
              <w:rPr>
                <w:rFonts w:ascii="Arial" w:cs="Arial" w:eastAsia="Arial" w:hAnsi="Arial"/>
                <w:sz w:val="18"/>
                <w:szCs w:val="18"/>
                <w:i w:val="1"/>
                <w:iCs w:val="1"/>
                <w:color w:val="auto"/>
              </w:rPr>
              <w:t>(1)(4)</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r>
      <w:tr>
        <w:trPr>
          <w:trHeight w:val="243"/>
        </w:trPr>
        <w:tc>
          <w:tcPr>
            <w:tcW w:w="8080" w:type="dxa"/>
            <w:vAlign w:val="bottom"/>
          </w:tcPr>
          <w:p>
            <w:pPr>
              <w:ind w:left="260"/>
              <w:spacing w:after="0"/>
              <w:rPr>
                <w:sz w:val="20"/>
                <w:szCs w:val="20"/>
                <w:color w:val="auto"/>
              </w:rPr>
            </w:pPr>
            <w:r>
              <w:rPr>
                <w:rFonts w:ascii="Arial" w:cs="Arial" w:eastAsia="Arial" w:hAnsi="Arial"/>
                <w:sz w:val="18"/>
                <w:szCs w:val="18"/>
                <w:color w:val="auto"/>
              </w:rPr>
              <w:t xml:space="preserve">Long-term payable to founding members under tax receivable agreement </w:t>
            </w:r>
            <w:r>
              <w:rPr>
                <w:rFonts w:ascii="Arial" w:cs="Arial" w:eastAsia="Arial" w:hAnsi="Arial"/>
                <w:sz w:val="18"/>
                <w:szCs w:val="18"/>
                <w:i w:val="1"/>
                <w:iCs w:val="1"/>
                <w:color w:val="auto"/>
              </w:rPr>
              <w:t>(1)(4)</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141.1</w:t>
            </w:r>
          </w:p>
        </w:tc>
      </w:tr>
      <w:tr>
        <w:trPr>
          <w:trHeight w:val="243"/>
        </w:trPr>
        <w:tc>
          <w:tcPr>
            <w:tcW w:w="8080" w:type="dxa"/>
            <w:vAlign w:val="bottom"/>
          </w:tcPr>
          <w:p>
            <w:pPr>
              <w:spacing w:after="0"/>
              <w:rPr>
                <w:sz w:val="20"/>
                <w:szCs w:val="20"/>
                <w:color w:val="auto"/>
              </w:rPr>
            </w:pPr>
            <w:r>
              <w:rPr>
                <w:rFonts w:ascii="Arial" w:cs="Arial" w:eastAsia="Arial" w:hAnsi="Arial"/>
                <w:sz w:val="18"/>
                <w:szCs w:val="18"/>
                <w:color w:val="auto"/>
              </w:rPr>
              <w:t>_________________________________</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107" w:lineRule="exact"/>
        <w:rPr>
          <w:sz w:val="20"/>
          <w:szCs w:val="20"/>
          <w:color w:val="auto"/>
        </w:rPr>
      </w:pPr>
    </w:p>
    <w:p>
      <w:pPr>
        <w:ind w:left="960" w:right="680" w:hanging="317"/>
        <w:spacing w:after="0" w:line="266" w:lineRule="auto"/>
        <w:tabs>
          <w:tab w:leader="none" w:pos="9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AMC is no longer considered a related party as of July 5, 2018, as described further above. As such, the figures as of June 27, 2019 and December 27, 2018 do not include AMC.</w:t>
      </w:r>
    </w:p>
    <w:p>
      <w:pPr>
        <w:spacing w:after="0" w:line="1" w:lineRule="exact"/>
        <w:rPr>
          <w:rFonts w:ascii="Arial" w:cs="Arial" w:eastAsia="Arial" w:hAnsi="Arial"/>
          <w:sz w:val="18"/>
          <w:szCs w:val="18"/>
          <w:i w:val="1"/>
          <w:iCs w:val="1"/>
          <w:color w:val="auto"/>
        </w:rPr>
      </w:pPr>
    </w:p>
    <w:p>
      <w:pPr>
        <w:ind w:left="960" w:hanging="317"/>
        <w:spacing w:after="0"/>
        <w:tabs>
          <w:tab w:leader="none" w:pos="9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Refer to the discussion of notes receivable from the founding members above.</w:t>
      </w:r>
    </w:p>
    <w:p>
      <w:pPr>
        <w:spacing w:after="0" w:line="9" w:lineRule="exact"/>
        <w:rPr>
          <w:rFonts w:ascii="Arial" w:cs="Arial" w:eastAsia="Arial" w:hAnsi="Arial"/>
          <w:sz w:val="18"/>
          <w:szCs w:val="18"/>
          <w:i w:val="1"/>
          <w:iCs w:val="1"/>
          <w:color w:val="auto"/>
        </w:rPr>
      </w:pPr>
    </w:p>
    <w:p>
      <w:pPr>
        <w:ind w:left="960" w:right="180" w:hanging="317"/>
        <w:spacing w:after="0" w:line="255" w:lineRule="auto"/>
        <w:tabs>
          <w:tab w:leader="none" w:pos="9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Refer to Note 4—</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for further information on common unit adjustments and integration payments. This balance includes common unit adjustments issued to all of the founding members (including AMC) as the Company's intangible balance is considered one asset inclusive of all common unit adjustment activity.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7" w:lineRule="exact"/>
        <w:rPr>
          <w:sz w:val="20"/>
          <w:szCs w:val="20"/>
          <w:color w:val="auto"/>
        </w:rPr>
      </w:pPr>
    </w:p>
    <w:p>
      <w:pPr>
        <w:ind w:left="960" w:right="240" w:hanging="317"/>
        <w:spacing w:after="0" w:line="264" w:lineRule="auto"/>
        <w:tabs>
          <w:tab w:leader="none" w:pos="96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The Company paid Cinemark and Regal $3.5 million and $6.3 million, respectively, in payments pursuant to the TRA during 2019 which was for the 2018 tax year. The Company paid Cinemark and Regal $4.6 million and $8.4 million, respectively, in payments pursuant to the TRA during 2018 which was for the 2017 tax year.</w:t>
      </w:r>
    </w:p>
    <w:p>
      <w:pPr>
        <w:spacing w:after="0" w:line="181" w:lineRule="exact"/>
        <w:rPr>
          <w:sz w:val="20"/>
          <w:szCs w:val="20"/>
          <w:color w:val="auto"/>
        </w:rPr>
      </w:pPr>
    </w:p>
    <w:p>
      <w:pPr>
        <w:ind w:right="160" w:firstLine="540"/>
        <w:spacing w:after="0" w:line="312" w:lineRule="auto"/>
        <w:rPr>
          <w:sz w:val="20"/>
          <w:szCs w:val="20"/>
          <w:color w:val="auto"/>
        </w:rPr>
      </w:pPr>
      <w:r>
        <w:rPr>
          <w:rFonts w:ascii="Arial" w:cs="Arial" w:eastAsia="Arial" w:hAnsi="Arial"/>
          <w:sz w:val="16"/>
          <w:szCs w:val="16"/>
          <w:color w:val="auto"/>
        </w:rPr>
        <w:t>Pursuant to the terms of the NCM LLC Operating Agreement in place since the completion of the Company’s IPO, NCM LLC is required to make mandatory distributions on a proportionate basis to its members of available cash, as defined in the NCM LLC Operating Agreement, on a quarterly basis in arrears. Mandatory distributions of available cash for the three and six months ended June 27, 2019 and June 28, 2018 were as follows (in millions):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Borders>
              <w:bottom w:val="single" w:sz="8" w:color="auto"/>
            </w:tcBorders>
          </w:tcPr>
          <w:p>
            <w:pPr>
              <w:spacing w:after="0"/>
              <w:rPr>
                <w:sz w:val="16"/>
                <w:szCs w:val="16"/>
                <w:color w:val="auto"/>
              </w:rPr>
            </w:pPr>
          </w:p>
        </w:tc>
      </w:tr>
      <w:tr>
        <w:trPr>
          <w:trHeight w:val="152"/>
        </w:trPr>
        <w:tc>
          <w:tcPr>
            <w:tcW w:w="5600" w:type="dxa"/>
            <w:vAlign w:val="bottom"/>
          </w:tcPr>
          <w:p>
            <w:pPr>
              <w:spacing w:after="0"/>
              <w:rPr>
                <w:sz w:val="13"/>
                <w:szCs w:val="13"/>
                <w:color w:val="auto"/>
              </w:rPr>
            </w:pPr>
          </w:p>
        </w:tc>
        <w:tc>
          <w:tcPr>
            <w:tcW w:w="9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27,</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28,</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27,</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28,</w:t>
            </w:r>
          </w:p>
        </w:tc>
        <w:tc>
          <w:tcPr>
            <w:tcW w:w="440" w:type="dxa"/>
            <w:vAlign w:val="bottom"/>
          </w:tcPr>
          <w:p>
            <w:pPr>
              <w:spacing w:after="0"/>
              <w:rPr>
                <w:sz w:val="13"/>
                <w:szCs w:val="13"/>
                <w:color w:val="auto"/>
              </w:rPr>
            </w:pPr>
          </w:p>
        </w:tc>
      </w:tr>
      <w:tr>
        <w:trPr>
          <w:trHeight w:val="192"/>
        </w:trPr>
        <w:tc>
          <w:tcPr>
            <w:tcW w:w="56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6"/>
                <w:szCs w:val="16"/>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AMC</w:t>
            </w:r>
          </w:p>
        </w:tc>
        <w:tc>
          <w:tcPr>
            <w:tcW w:w="94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21"/>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Cinemark</w:t>
            </w:r>
          </w:p>
        </w:tc>
        <w:tc>
          <w:tcPr>
            <w:tcW w:w="9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11.3</w:t>
            </w:r>
          </w:p>
        </w:tc>
      </w:tr>
      <w:tr>
        <w:trPr>
          <w:trHeight w:val="27"/>
        </w:trPr>
        <w:tc>
          <w:tcPr>
            <w:tcW w:w="5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Regal</w:t>
            </w:r>
          </w:p>
        </w:tc>
        <w:tc>
          <w:tcPr>
            <w:tcW w:w="9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11.8</w:t>
            </w:r>
          </w:p>
        </w:tc>
      </w:tr>
      <w:tr>
        <w:trPr>
          <w:trHeight w:val="237"/>
        </w:trPr>
        <w:tc>
          <w:tcPr>
            <w:tcW w:w="5600" w:type="dxa"/>
            <w:vAlign w:val="bottom"/>
          </w:tcPr>
          <w:p>
            <w:pPr>
              <w:ind w:left="280"/>
              <w:spacing w:after="0"/>
              <w:rPr>
                <w:sz w:val="20"/>
                <w:szCs w:val="20"/>
                <w:color w:val="auto"/>
              </w:rPr>
            </w:pPr>
            <w:r>
              <w:rPr>
                <w:rFonts w:ascii="Arial" w:cs="Arial" w:eastAsia="Arial" w:hAnsi="Arial"/>
                <w:sz w:val="18"/>
                <w:szCs w:val="18"/>
                <w:color w:val="auto"/>
              </w:rPr>
              <w:t>Total founding members</w:t>
            </w:r>
          </w:p>
        </w:tc>
        <w:tc>
          <w:tcPr>
            <w:tcW w:w="9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5"/>
              </w:rPr>
              <w:t>15.4</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5"/>
              </w:rPr>
              <w:t>16.9</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1"/>
              </w:rPr>
              <w:t>21.5</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5"/>
              </w:rPr>
              <w:t>25.3</w:t>
            </w:r>
          </w:p>
        </w:tc>
      </w:tr>
      <w:tr>
        <w:trPr>
          <w:trHeight w:val="27"/>
        </w:trPr>
        <w:tc>
          <w:tcPr>
            <w:tcW w:w="5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NCM, Inc.</w:t>
            </w:r>
          </w:p>
        </w:tc>
        <w:tc>
          <w:tcPr>
            <w:tcW w:w="9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16.2</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24.3</w:t>
            </w:r>
          </w:p>
        </w:tc>
      </w:tr>
      <w:tr>
        <w:trPr>
          <w:trHeight w:val="257"/>
        </w:trPr>
        <w:tc>
          <w:tcPr>
            <w:tcW w:w="5600" w:type="dxa"/>
            <w:vAlign w:val="bottom"/>
          </w:tcPr>
          <w:p>
            <w:pPr>
              <w:ind w:left="50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jc w:val="right"/>
              <w:ind w:right="741"/>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5"/>
              </w:rPr>
              <w:t>30.0</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5"/>
              </w:rPr>
              <w:t>33.1</w:t>
            </w:r>
          </w:p>
        </w:tc>
        <w:tc>
          <w:tcPr>
            <w:tcW w:w="1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41.9</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5"/>
              </w:rPr>
              <w:t>49.6</w:t>
            </w:r>
          </w:p>
        </w:tc>
      </w:tr>
      <w:tr>
        <w:trPr>
          <w:trHeight w:val="20"/>
        </w:trPr>
        <w:tc>
          <w:tcPr>
            <w:tcW w:w="5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mandatory distributions of available cash by NCM LLC to Regal and Cinemark for the three months ended June 27, 2019 of $15.4 million is included in amounts due to founding members, net on the unaudited Condensed Consolidated Balance Sheets as of June 27, 2019 and will be made in the third quarter of 2019. AMC’s distribution for the three months ended June 28, 2018 was split equally between Cinemark and Regal because NCM LLC used a record date of July 6, 2018 (following the sale of AMC's membership units to Cinemark and Regal) to accommodate an agreement between AMC and Cinemark and AMC and Regal. These agreements entitled AMC to half of the second quarter of 2018 available cash distribution, or approximately $2.2 million, of which Cinemark and Regal each independently paid AMC approximately $1.1 million. The mandatory distributions to NCM, Inc. are eliminated in consolidation.</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Amounts due to founding members, net as of June 27, 2019 were comprised of the following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Cinemark</w:t>
            </w:r>
          </w:p>
        </w:tc>
        <w:tc>
          <w:tcPr>
            <w:tcW w:w="28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Regal</w:t>
            </w: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Total</w:t>
            </w:r>
          </w:p>
        </w:tc>
      </w:tr>
      <w:tr>
        <w:trPr>
          <w:trHeight w:val="215"/>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Theater access fees, net of beverage revenues and other encumbered theater</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Distributions payable to founding members</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15.4</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Integration payments due from founding members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Cost and other reimbursement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amounts due to founding members,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Amounts due to founding members, net as of December 27, 2018 were comprised of the following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Cinemark</w:t>
            </w:r>
          </w:p>
        </w:tc>
        <w:tc>
          <w:tcPr>
            <w:tcW w:w="28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Regal</w:t>
            </w:r>
          </w:p>
        </w:tc>
        <w:tc>
          <w:tcPr>
            <w:tcW w:w="30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Total</w:t>
            </w:r>
          </w:p>
        </w:tc>
      </w:tr>
      <w:tr>
        <w:trPr>
          <w:trHeight w:val="215"/>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Theater access fees, net of beverage revenues and other encumbered theater</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Distributions payable to founding members</w:t>
            </w: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27.9</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Integration payments due from founding members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Total amounts due to founding members, net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30.0</w:t>
            </w:r>
          </w:p>
        </w:tc>
      </w:tr>
      <w:tr>
        <w:trPr>
          <w:trHeight w:val="27"/>
        </w:trPr>
        <w:tc>
          <w:tcPr>
            <w:tcW w:w="7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Amounts due from founding members, net balance as of June 27, 2019 and December 27, 2018 per the Condensed Consolidated Balance Sheets relates to payments due from AMC to NCM LLC. Given that AMC ceased being a related party as of July 5, 2018, the detail of that balance has not been included within the tables above.</w:t>
      </w:r>
    </w:p>
    <w:p>
      <w:pPr>
        <w:spacing w:after="0" w:line="235"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As of June 28, 2018, AMC owned 1.0 million shares of NCM, Inc. common stock. During the three and six months ended June 28, 2018, AMC received cash dividends of approximately $0.1 million and $0.3 million, respectively, on its shares of NCM, Inc. common stock held at that time.</w:t>
      </w:r>
    </w:p>
    <w:p>
      <w:pPr>
        <w:sectPr>
          <w:pgSz w:w="11900" w:h="16838" w:orient="portrait"/>
          <w:cols w:equalWidth="0" w:num="1">
            <w:col w:w="11420"/>
          </w:cols>
          <w:pgMar w:left="240" w:top="121"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type w:val="continuous"/>
        </w:sectPr>
      </w:pPr>
    </w:p>
    <w:bookmarkStart w:id="15" w:name="page16"/>
    <w:bookmarkEnd w:id="15"/>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315" w:lineRule="exact"/>
        <w:rPr>
          <w:sz w:val="20"/>
          <w:szCs w:val="20"/>
          <w:color w:val="auto"/>
        </w:rPr>
      </w:pPr>
    </w:p>
    <w:p>
      <w:pPr>
        <w:ind w:right="40" w:firstLine="540"/>
        <w:spacing w:after="0" w:line="286" w:lineRule="auto"/>
        <w:rPr>
          <w:sz w:val="20"/>
          <w:szCs w:val="20"/>
          <w:color w:val="auto"/>
        </w:rPr>
      </w:pPr>
      <w:r>
        <w:rPr>
          <w:rFonts w:ascii="Arial" w:cs="Arial" w:eastAsia="Arial" w:hAnsi="Arial"/>
          <w:sz w:val="16"/>
          <w:szCs w:val="16"/>
          <w:b w:val="1"/>
          <w:bCs w:val="1"/>
          <w:i w:val="1"/>
          <w:iCs w:val="1"/>
          <w:color w:val="auto"/>
        </w:rPr>
        <w:t>AC JV, LLC Transactions</w:t>
      </w:r>
      <w:r>
        <w:rPr>
          <w:rFonts w:ascii="Arial" w:cs="Arial" w:eastAsia="Arial" w:hAnsi="Arial"/>
          <w:sz w:val="16"/>
          <w:szCs w:val="16"/>
          <w:color w:val="auto"/>
        </w:rPr>
        <w:t>—In December 2013, NCM LLC sold its Fathom Events business to a newly formed limited liability company, AC JV,</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LLC, owned 32% by each of the founding members and 4% by NCM LLC. The Company accounts for its investment in AC JV, LLC under the equity method of accounting in accordance with ASC 323-30, </w:t>
      </w:r>
      <w:r>
        <w:rPr>
          <w:rFonts w:ascii="Arial" w:cs="Arial" w:eastAsia="Arial" w:hAnsi="Arial"/>
          <w:sz w:val="16"/>
          <w:szCs w:val="16"/>
          <w:i w:val="1"/>
          <w:iCs w:val="1"/>
          <w:color w:val="auto"/>
        </w:rPr>
        <w:t>Investments—Equity Method and Joint Ventures</w:t>
      </w:r>
      <w:r>
        <w:rPr>
          <w:rFonts w:ascii="Arial" w:cs="Arial" w:eastAsia="Arial" w:hAnsi="Arial"/>
          <w:sz w:val="16"/>
          <w:szCs w:val="16"/>
          <w:color w:val="auto"/>
        </w:rPr>
        <w:t xml:space="preserve">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The Company’s investment in AC JV, LLC was $1.1 million and $0.9 million as of June 27, 2019 and December 27, 2018, respectively. During the three months ended June 27, 2019 and June 28, 2018 and the six months ended June 27, 2019 and June 28, 2018, NCM LLC received cash distributions from AC JV, LLC of $0.1 million, $0.0 million, $0.1 million and $0.0 million, respectively. Equity in earnings from AC JV, LLC for the three months ended June 27, 2019 and June 28, 2018 and the six months ended June 27, 2019 and June 28, 2018, were $0.1 million, $0.1 million, $0.3 million and $0.1 million, respectively, and is included in non-operating expenses in the unaudited Condensed Consolidated Statements of Income. NCM LLC also received fees from AC JV, LLC of $0.0 million, $0.1 million, $0.0 million, and $0.1 million in the three months ended June 27, 2019 and June 28, 2018 and the six months ended June 27, 2019 and June 28, 2018, respectively, related to the transition services agreement with AC JV, LLC whereby the Company provides certain corporate overhead or creative services or use of facilities in exchange for a fee. These fees received by NCM LLC are included as an offset to network costs in the unaudited Condensed Consolidated Statements of Income.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6. BORROWINGS</w:t>
      </w:r>
    </w:p>
    <w:p>
      <w:pPr>
        <w:spacing w:after="0" w:line="121" w:lineRule="exact"/>
        <w:rPr>
          <w:sz w:val="20"/>
          <w:szCs w:val="20"/>
          <w:color w:val="auto"/>
        </w:rPr>
      </w:pPr>
    </w:p>
    <w:p>
      <w:pPr>
        <w:ind w:right="540" w:firstLine="540"/>
        <w:spacing w:after="0" w:line="277" w:lineRule="auto"/>
        <w:rPr>
          <w:sz w:val="20"/>
          <w:szCs w:val="20"/>
          <w:color w:val="auto"/>
        </w:rPr>
      </w:pPr>
      <w:r>
        <w:rPr>
          <w:rFonts w:ascii="Arial" w:cs="Arial" w:eastAsia="Arial" w:hAnsi="Arial"/>
          <w:sz w:val="18"/>
          <w:szCs w:val="18"/>
          <w:color w:val="auto"/>
        </w:rPr>
        <w:t>The following table summarizes NCM LLC’s total outstanding debt as of June 27, 2019 and December 27, 2018 and the significant terms of its borrowing arrangements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Outstanding Balance as of</w:t>
            </w: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Borrowings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27,</w:t>
            </w:r>
          </w:p>
        </w:tc>
        <w:tc>
          <w:tcPr>
            <w:tcW w:w="180" w:type="dxa"/>
            <w:vAlign w:val="bottom"/>
          </w:tcPr>
          <w:p>
            <w:pPr>
              <w:spacing w:after="0"/>
              <w:rPr>
                <w:sz w:val="13"/>
                <w:szCs w:val="13"/>
                <w:color w:val="auto"/>
              </w:rPr>
            </w:pPr>
          </w:p>
        </w:tc>
        <w:tc>
          <w:tcPr>
            <w:tcW w:w="1180" w:type="dxa"/>
            <w:vAlign w:val="bottom"/>
          </w:tcPr>
          <w:p>
            <w:pPr>
              <w:jc w:val="right"/>
              <w:ind w:right="193"/>
              <w:spacing w:after="0" w:line="153" w:lineRule="exact"/>
              <w:rPr>
                <w:sz w:val="20"/>
                <w:szCs w:val="20"/>
                <w:color w:val="auto"/>
              </w:rPr>
            </w:pPr>
            <w:r>
              <w:rPr>
                <w:rFonts w:ascii="Arial" w:cs="Arial" w:eastAsia="Arial" w:hAnsi="Arial"/>
                <w:sz w:val="14"/>
                <w:szCs w:val="14"/>
                <w:b w:val="1"/>
                <w:bCs w:val="1"/>
                <w:color w:val="auto"/>
                <w:w w:val="96"/>
              </w:rPr>
              <w:t>December 27,</w:t>
            </w:r>
          </w:p>
        </w:tc>
        <w:tc>
          <w:tcPr>
            <w:tcW w:w="100" w:type="dxa"/>
            <w:vAlign w:val="bottom"/>
          </w:tcPr>
          <w:p>
            <w:pPr>
              <w:spacing w:after="0"/>
              <w:rPr>
                <w:sz w:val="13"/>
                <w:szCs w:val="13"/>
                <w:color w:val="auto"/>
              </w:rPr>
            </w:pPr>
          </w:p>
        </w:tc>
        <w:tc>
          <w:tcPr>
            <w:tcW w:w="20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rPr>
              <w:t>Maturity</w:t>
            </w: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notes due 2022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April 15, 2022</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6.000%</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Revolving credit facility</w:t>
            </w:r>
          </w:p>
        </w:tc>
        <w:tc>
          <w:tcPr>
            <w:tcW w:w="2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20, 2023</w:t>
            </w:r>
          </w:p>
        </w:tc>
        <w:tc>
          <w:tcPr>
            <w:tcW w:w="1140" w:type="dxa"/>
            <w:vAlign w:val="bottom"/>
          </w:tcPr>
          <w:p>
            <w:pPr>
              <w:jc w:val="center"/>
              <w:spacing w:after="0"/>
              <w:rPr>
                <w:sz w:val="20"/>
                <w:szCs w:val="20"/>
                <w:color w:val="auto"/>
              </w:rPr>
            </w:pPr>
            <w:r>
              <w:rPr>
                <w:rFonts w:ascii="Arial" w:cs="Arial" w:eastAsia="Arial" w:hAnsi="Arial"/>
                <w:sz w:val="18"/>
                <w:szCs w:val="18"/>
                <w:i w:val="1"/>
                <w:iCs w:val="1"/>
                <w:color w:val="auto"/>
                <w:w w:val="99"/>
              </w:rPr>
              <w:t>(1)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269.4</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June 20, 2025</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(1)</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Senior unsecured notes due 2026</w:t>
            </w:r>
          </w:p>
        </w:tc>
        <w:tc>
          <w:tcPr>
            <w:tcW w:w="2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235.0</w:t>
            </w:r>
          </w:p>
        </w:tc>
        <w:tc>
          <w:tcPr>
            <w:tcW w:w="100" w:type="dxa"/>
            <w:vAlign w:val="bottom"/>
          </w:tcPr>
          <w:p>
            <w:pPr>
              <w:spacing w:after="0"/>
              <w:rPr>
                <w:sz w:val="21"/>
                <w:szCs w:val="21"/>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August 15, 2026</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5.750%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931.4</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Less: debt issuance costs related to term loan and senior notes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borrowings,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923.6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160"/>
              <w:spacing w:after="0"/>
              <w:rPr>
                <w:sz w:val="20"/>
                <w:szCs w:val="20"/>
                <w:color w:val="auto"/>
              </w:rPr>
            </w:pPr>
            <w:r>
              <w:rPr>
                <w:rFonts w:ascii="Arial" w:cs="Arial" w:eastAsia="Arial" w:hAnsi="Arial"/>
                <w:sz w:val="18"/>
                <w:szCs w:val="18"/>
                <w:color w:val="auto"/>
              </w:rPr>
              <w:t>Less: current portion of debt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Carrying value of long-term debt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915.4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920.9</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340"/>
              <w:spacing w:after="0"/>
              <w:rPr>
                <w:sz w:val="20"/>
                <w:szCs w:val="20"/>
                <w:color w:val="auto"/>
              </w:rPr>
            </w:pPr>
            <w:r>
              <w:rPr>
                <w:rFonts w:ascii="Arial" w:cs="Arial" w:eastAsia="Arial" w:hAnsi="Arial"/>
                <w:sz w:val="18"/>
                <w:szCs w:val="18"/>
                <w:color w:val="auto"/>
                <w:w w:val="94"/>
              </w:rPr>
              <w:t>___________________________________________________</w:t>
            </w:r>
          </w:p>
        </w:tc>
        <w:tc>
          <w:tcPr>
            <w:tcW w:w="1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20" w:hanging="315"/>
        <w:spacing w:after="0"/>
        <w:tabs>
          <w:tab w:leader="none" w:pos="62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facility and term loan are described below.</w:t>
      </w:r>
    </w:p>
    <w:p>
      <w:pPr>
        <w:spacing w:after="0" w:line="319" w:lineRule="exact"/>
        <w:rPr>
          <w:sz w:val="20"/>
          <w:szCs w:val="20"/>
          <w:color w:val="auto"/>
        </w:rPr>
      </w:pPr>
    </w:p>
    <w:p>
      <w:pPr>
        <w:ind w:right="120" w:firstLine="540"/>
        <w:spacing w:after="0" w:line="257" w:lineRule="auto"/>
        <w:rPr>
          <w:sz w:val="20"/>
          <w:szCs w:val="20"/>
          <w:color w:val="auto"/>
        </w:rPr>
      </w:pPr>
      <w:r>
        <w:rPr>
          <w:rFonts w:ascii="Arial" w:cs="Arial" w:eastAsia="Arial" w:hAnsi="Arial"/>
          <w:sz w:val="18"/>
          <w:szCs w:val="18"/>
          <w:b w:val="1"/>
          <w:bCs w:val="1"/>
          <w:i w:val="1"/>
          <w:iCs w:val="1"/>
          <w:color w:val="auto"/>
        </w:rPr>
        <w:t>Senior Secured Credit Facility</w:t>
      </w:r>
      <w:r>
        <w:rPr>
          <w:rFonts w:ascii="Arial" w:cs="Arial" w:eastAsia="Arial" w:hAnsi="Arial"/>
          <w:sz w:val="18"/>
          <w:szCs w:val="18"/>
          <w:color w:val="auto"/>
        </w:rPr>
        <w:t>—On June 20, 2018, NCM LLC entered into a credit agreement to replace NCM LLC's senior secured credit facility,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dated as of February 13, 2007, as amended (the “previous facility”). Consistent with the structure of the previous facility, the agreement consists of a term loan facility and a revolving credit facility. As of June 27, 2019, NCM LLC’s senior secured credit facility consisted of a $175.0 million revolving credit facility and a $268.0 million term loan. The obligations under the senior secured credit facility are secured by a lien on substantially all of the assets of NCM LLC.</w:t>
      </w:r>
    </w:p>
    <w:p>
      <w:pPr>
        <w:spacing w:after="0" w:line="134" w:lineRule="exact"/>
        <w:rPr>
          <w:sz w:val="20"/>
          <w:szCs w:val="20"/>
          <w:color w:val="auto"/>
        </w:rPr>
      </w:pPr>
    </w:p>
    <w:p>
      <w:pPr>
        <w:jc w:val="both"/>
        <w:ind w:right="40" w:firstLine="540"/>
        <w:spacing w:after="0" w:line="286" w:lineRule="auto"/>
        <w:rPr>
          <w:sz w:val="20"/>
          <w:szCs w:val="20"/>
          <w:color w:val="auto"/>
        </w:rPr>
      </w:pPr>
      <w:r>
        <w:rPr>
          <w:rFonts w:ascii="Arial" w:cs="Arial" w:eastAsia="Arial" w:hAnsi="Arial"/>
          <w:sz w:val="16"/>
          <w:szCs w:val="16"/>
          <w:i w:val="1"/>
          <w:iCs w:val="1"/>
          <w:color w:val="auto"/>
        </w:rPr>
        <w:t>Revolving Credit Facility</w:t>
      </w:r>
      <w:r>
        <w:rPr>
          <w:rFonts w:ascii="Arial" w:cs="Arial" w:eastAsia="Arial" w:hAnsi="Arial"/>
          <w:sz w:val="16"/>
          <w:szCs w:val="16"/>
          <w:color w:val="auto"/>
        </w:rPr>
        <w:t>—The revolving credit facility portion of NCM LLC’s total borrowings is available, subject to certain conditions, for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purposes of NCM LLC in the ordinary course of business and for other transactions permitted under the senior secured credit facility, and a portion is available for letters of credit. As of June 27, 2019, NCM LLC’s total availability under the $175.0 million revolving credit facility was $143.2 million, net of $27.0 million outstanding and $4.8 million in letters of credit. The unused line fee is 0.50% per annum which is consistent with the previous</w:t>
      </w:r>
    </w:p>
    <w:p>
      <w:pPr>
        <w:spacing w:after="0" w:line="2"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facility. Borrowings under the revolving credit facility bear interest at NCM LLC’s option of either the LIBOR index plus an applicable margin ranging from 1.75% to 2.25% or the base rate plus an applicable margin ranging from 0.75% to 1.25%. The applicable margin for the revolving credit facility is determined quarterly and is subject to adjustment based upon a</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6" w:name="page17"/>
    <w:bookmarkEnd w:id="16"/>
    <w:p>
      <w:pPr>
        <w:jc w:val="center"/>
        <w:ind w:left="260" w:right="274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consolidated net senior secured leverage ratio for NCM LLC (the ratio of secured funded debt less unrestricted cash and cash equivalents of up to $100.0 million, divided by Adjusted EBITDA for debt purposes, defined as NCM LLC's net income before depreciation and amortization expense adjusted to also exclude non-cash share based compensation costs for NCM LLC plus integration payments received). The revolving credit facility will mature on June 20, 2023, which is contingent upon the refinancing of NCM LLC’s Notes due 2022 (defined below, see “Senior Secured Notes due 2022”) on or prior to October 30, 2021. If the Notes due 2022 are not refinanced on or prior to October 30, 2021, then the revolving credit facility will instead mature on December 30, 2021. The weighted-average interest rate on the revolving credit facility as of June 27, 2019 was 5.35%.</w:t>
      </w:r>
    </w:p>
    <w:p>
      <w:pPr>
        <w:spacing w:after="0" w:line="124" w:lineRule="exact"/>
        <w:rPr>
          <w:sz w:val="20"/>
          <w:szCs w:val="20"/>
          <w:color w:val="auto"/>
        </w:rPr>
      </w:pPr>
    </w:p>
    <w:p>
      <w:pPr>
        <w:ind w:right="20" w:firstLine="540"/>
        <w:spacing w:after="0" w:line="257" w:lineRule="auto"/>
        <w:rPr>
          <w:sz w:val="20"/>
          <w:szCs w:val="20"/>
          <w:color w:val="auto"/>
        </w:rPr>
      </w:pPr>
      <w:r>
        <w:rPr>
          <w:rFonts w:ascii="Arial" w:cs="Arial" w:eastAsia="Arial" w:hAnsi="Arial"/>
          <w:sz w:val="18"/>
          <w:szCs w:val="18"/>
          <w:i w:val="1"/>
          <w:iCs w:val="1"/>
          <w:color w:val="auto"/>
        </w:rPr>
        <w:t>Term Loan</w:t>
      </w:r>
      <w:r>
        <w:rPr>
          <w:rFonts w:ascii="Arial" w:cs="Arial" w:eastAsia="Arial" w:hAnsi="Arial"/>
          <w:sz w:val="18"/>
          <w:szCs w:val="18"/>
          <w:color w:val="auto"/>
        </w:rPr>
        <w:t>—The interest rate on the term loan is a rate chosen at NCM LLC’s option of either the LIBOR index plus 3.00% or the base rate plus</w:t>
      </w:r>
      <w:r>
        <w:rPr>
          <w:rFonts w:ascii="Arial" w:cs="Arial" w:eastAsia="Arial" w:hAnsi="Arial"/>
          <w:sz w:val="18"/>
          <w:szCs w:val="18"/>
          <w:i w:val="1"/>
          <w:iCs w:val="1"/>
          <w:color w:val="auto"/>
        </w:rPr>
        <w:t xml:space="preserve"> </w:t>
      </w:r>
      <w:r>
        <w:rPr>
          <w:rFonts w:ascii="Arial" w:cs="Arial" w:eastAsia="Arial" w:hAnsi="Arial"/>
          <w:sz w:val="18"/>
          <w:szCs w:val="18"/>
          <w:color w:val="auto"/>
        </w:rPr>
        <w:t>2.00%. The interest rate on the term loan as of June 27, 2019 was 5.44%. The term loan amortizes at a rate equal to 1.00% annually, to be paid in equal quarterly installments. As of June 27, 2019, NCM LLC has paid principal of $2.0 million, reducing the outstanding balance to $268.0 million. The term loan will mature on June 20, 2025 contingent upon the refinancing of the Notes due 2022 on or prior to October 30, 2021. If the Notes due 2022 are not refinanced on or prior to October 30, 2021, then the term loan will instead mature on December 30, 2021.</w:t>
      </w:r>
    </w:p>
    <w:p>
      <w:pPr>
        <w:spacing w:after="0" w:line="134" w:lineRule="exact"/>
        <w:rPr>
          <w:sz w:val="20"/>
          <w:szCs w:val="20"/>
          <w:color w:val="auto"/>
        </w:rPr>
      </w:pPr>
    </w:p>
    <w:p>
      <w:pPr>
        <w:ind w:right="40" w:firstLine="540"/>
        <w:spacing w:after="0" w:line="284" w:lineRule="auto"/>
        <w:rPr>
          <w:sz w:val="20"/>
          <w:szCs w:val="20"/>
          <w:color w:val="auto"/>
        </w:rPr>
      </w:pPr>
      <w:r>
        <w:rPr>
          <w:rFonts w:ascii="Arial" w:cs="Arial" w:eastAsia="Arial" w:hAnsi="Arial"/>
          <w:sz w:val="16"/>
          <w:szCs w:val="16"/>
          <w:color w:val="auto"/>
        </w:rPr>
        <w:t>The senior secured credit facility contains a number of covenants and various financial ratio requirements, including, (i) a consolidated net total leverage ratio covenant of 6.25 times for each quarterly period and (ii) with respect to the revolving credit facility, maintaining a consolidated net senior secured leverage ratio of equal to or less than 4.50 times on a quarterly basis for each quarterly period in which a balance is outstanding on the revolving credit facility. In addition, NCM LLC is permitted to make quarterly dividend payments and other restricted payments with its available cash as long as NCM LLC’s consolidated net senior secured leverage ratio (after giving effect to any such payment) is below 5.50 times and no default or event of default has occurred and continues to occur under the senior secured credit facility. As of June 27, 2019, NCM LLC’s consolidated net senior secured leverage ratio was 3.14 times (versus the dividend payment restriction of 5.50 times and the covenant of 4.50 times) and NCM LLC's consolidated net total leverage ratio was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4.24 times (versus the covenant of 6.25 times).</w:t>
      </w:r>
    </w:p>
    <w:p>
      <w:pPr>
        <w:spacing w:after="0" w:line="157" w:lineRule="exact"/>
        <w:rPr>
          <w:sz w:val="20"/>
          <w:szCs w:val="20"/>
          <w:color w:val="auto"/>
        </w:rPr>
      </w:pPr>
    </w:p>
    <w:p>
      <w:pPr>
        <w:ind w:firstLine="540"/>
        <w:spacing w:after="0" w:line="259" w:lineRule="auto"/>
        <w:rPr>
          <w:sz w:val="20"/>
          <w:szCs w:val="20"/>
          <w:color w:val="auto"/>
        </w:rPr>
      </w:pPr>
      <w:r>
        <w:rPr>
          <w:rFonts w:ascii="Arial" w:cs="Arial" w:eastAsia="Arial" w:hAnsi="Arial"/>
          <w:sz w:val="18"/>
          <w:szCs w:val="18"/>
          <w:b w:val="1"/>
          <w:bCs w:val="1"/>
          <w:i w:val="1"/>
          <w:iCs w:val="1"/>
          <w:color w:val="auto"/>
        </w:rPr>
        <w:t>Senior Secured Notes due 2022</w:t>
      </w:r>
      <w:r>
        <w:rPr>
          <w:rFonts w:ascii="Arial" w:cs="Arial" w:eastAsia="Arial" w:hAnsi="Arial"/>
          <w:sz w:val="18"/>
          <w:szCs w:val="18"/>
          <w:color w:val="auto"/>
        </w:rPr>
        <w:t>—On April 27, 2012, NCM LLC completed a private placement of $400.0 million in aggregate principal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6.000% Senior Secured Notes (the “Notes due 2022”) for which the registered exchange offering was completed on November 26, 2012. The Notes due 2022 pay interest semi-annually in arrears on April 15 and October 15 of each year, which commenced on October 15, 2012. The Notes due 2022 share in the same collateral that secures NCM LLC's obligations under the senior secured credit facility.</w:t>
      </w:r>
    </w:p>
    <w:p>
      <w:pPr>
        <w:spacing w:after="0" w:line="133" w:lineRule="exact"/>
        <w:rPr>
          <w:sz w:val="20"/>
          <w:szCs w:val="20"/>
          <w:color w:val="auto"/>
        </w:rPr>
      </w:pPr>
    </w:p>
    <w:p>
      <w:pPr>
        <w:ind w:firstLine="540"/>
        <w:spacing w:after="0" w:line="271" w:lineRule="auto"/>
        <w:rPr>
          <w:sz w:val="20"/>
          <w:szCs w:val="20"/>
          <w:color w:val="auto"/>
        </w:rPr>
      </w:pPr>
      <w:r>
        <w:rPr>
          <w:rFonts w:ascii="Arial" w:cs="Arial" w:eastAsia="Arial" w:hAnsi="Arial"/>
          <w:sz w:val="17"/>
          <w:szCs w:val="17"/>
          <w:b w:val="1"/>
          <w:bCs w:val="1"/>
          <w:i w:val="1"/>
          <w:iCs w:val="1"/>
          <w:color w:val="auto"/>
        </w:rPr>
        <w:t>Senior Unsecured Notes due 2026</w:t>
      </w:r>
      <w:r>
        <w:rPr>
          <w:rFonts w:ascii="Arial" w:cs="Arial" w:eastAsia="Arial" w:hAnsi="Arial"/>
          <w:sz w:val="17"/>
          <w:szCs w:val="17"/>
          <w:color w:val="auto"/>
        </w:rPr>
        <w:t>—On August 19, 2016, NCM LLC completed a private placement of $250.0 million in aggregate principal amount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5.750% Senior Unsecured Notes (the “Notes due 2026”) for which the registered exchange offering was completed on November 8, 2016. The Notes due 2026 pay interest semi-annually in arrears on February 15 and August 15 of each year, which commenced on February 15, 2017. The Notes due 2026 were issued at 100% of the face amount thereof and are the senior unsecured obligations of NCM LLC. NCM LLC repurchased and canceled a total of $5.0 million and $15.0 million of the Notes due 2026 during 2019 and 2018, respectively, reducing the principal amount to $230.0 million as of June 27, 2019. These repurchases were treated as partial debt extinguishments and resulted in the realization of a non-operating gain, net of written off debt issuance costs, of $0.0 million, $0.0 million, $0.3 million and $0.0 million during the three months ended June 27, 2019 and June 28, 2018 and the six months ended June 27, 2019 and June 28, 2018, respectively.</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ind w:right="120" w:firstLine="540"/>
        <w:spacing w:after="0" w:line="276" w:lineRule="auto"/>
        <w:rPr>
          <w:sz w:val="20"/>
          <w:szCs w:val="20"/>
          <w:color w:val="auto"/>
        </w:rPr>
      </w:pPr>
      <w:r>
        <w:rPr>
          <w:rFonts w:ascii="Arial" w:cs="Arial" w:eastAsia="Arial" w:hAnsi="Arial"/>
          <w:sz w:val="17"/>
          <w:szCs w:val="17"/>
          <w:b w:val="1"/>
          <w:bCs w:val="1"/>
          <w:i w:val="1"/>
          <w:iCs w:val="1"/>
          <w:color w:val="auto"/>
        </w:rPr>
        <w:t>Changes in the Company’s Effective Tax Rate</w:t>
      </w:r>
      <w:r>
        <w:rPr>
          <w:rFonts w:ascii="Arial" w:cs="Arial" w:eastAsia="Arial" w:hAnsi="Arial"/>
          <w:sz w:val="17"/>
          <w:szCs w:val="17"/>
          <w:color w:val="auto"/>
        </w:rPr>
        <w:t>—The Company’s effective tax rate decreased from 88.1% for the six months ended June 28, 2018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17.9% for the six months ended June 27, 2019 primarily due to a decrease in tax expense recorded for the change in the state effective tax rate. The decrease in income tax expense was primarily due to a decrease in deferred tax expense for the six months ended June 27, 2019, compared to the six months ended June 28, 2018 related to the Company's remeasurement of its deferred taxes as a result of a 2018 state tax law change. The Company's current blended state and federal rate is 24.5% as of June 27, 2019 as compared to 25.4% as of June 28, 2018.</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right="200" w:firstLine="540"/>
        <w:spacing w:after="0" w:line="277"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effect individually and in the aggregate on its financial position, results of operations or cash flows.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1" w:right="259" w:bottom="1440" w:gutter="0" w:footer="0" w:header="0"/>
        </w:sectPr>
      </w:pPr>
    </w:p>
    <w:bookmarkStart w:id="17" w:name="page18"/>
    <w:bookmarkEnd w:id="17"/>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7" w:lineRule="exact"/>
        <w:rPr>
          <w:sz w:val="20"/>
          <w:szCs w:val="20"/>
          <w:color w:val="auto"/>
        </w:rPr>
      </w:pPr>
    </w:p>
    <w:p>
      <w:pPr>
        <w:ind w:right="100" w:firstLine="540"/>
        <w:spacing w:after="0" w:line="271" w:lineRule="auto"/>
        <w:rPr>
          <w:sz w:val="20"/>
          <w:szCs w:val="20"/>
          <w:color w:val="auto"/>
        </w:rPr>
      </w:pPr>
      <w:r>
        <w:rPr>
          <w:rFonts w:ascii="Arial" w:cs="Arial" w:eastAsia="Arial" w:hAnsi="Arial"/>
          <w:sz w:val="17"/>
          <w:szCs w:val="17"/>
          <w:b w:val="1"/>
          <w:bCs w:val="1"/>
          <w:i w:val="1"/>
          <w:iCs w:val="1"/>
          <w:color w:val="auto"/>
        </w:rPr>
        <w:t xml:space="preserve">Operating Commitments - Facilities </w:t>
      </w:r>
      <w:r>
        <w:rPr>
          <w:rFonts w:ascii="Arial" w:cs="Arial" w:eastAsia="Arial" w:hAnsi="Arial"/>
          <w:sz w:val="17"/>
          <w:szCs w:val="17"/>
          <w:color w:val="auto"/>
        </w:rPr>
        <w:t>- The Company has entered into operating lease agreements for its corporate headquarters and other regional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offices. The Company has right-of-use (“ROU”) assets of $21.2 million and short-term and long-term lease liabilities of $1.3 million and $23.9 million, respectively, on the balance sheet as of June 27, 2019 for all material leases with terms longer than twelve months. These balances are included within 'Other assets', 'Other current liabilities' and 'Other liabilities', respectively, on the unaudited Condensed Consolidated Balance Sheets. The Company has options on certain of these facilities to extend the lease or to terminate part or all of the leased space prior to the lease end date. Certain termination fees would be due upon exercise of the early termination options as outlined within the underlying agreements. None of these options were considered reasonably certain of exercise and thus have not been recognized as part of the ROU assets and lease liabilities. As of June 27, 2019, the Company had a weighted average remaining lease term of 10.8 years on these leases.</w:t>
      </w:r>
    </w:p>
    <w:p>
      <w:pPr>
        <w:spacing w:after="0" w:line="71" w:lineRule="exact"/>
        <w:rPr>
          <w:sz w:val="20"/>
          <w:szCs w:val="20"/>
          <w:color w:val="auto"/>
        </w:rPr>
      </w:pPr>
    </w:p>
    <w:p>
      <w:pPr>
        <w:ind w:right="300" w:firstLine="540"/>
        <w:spacing w:after="0" w:line="308" w:lineRule="auto"/>
        <w:rPr>
          <w:sz w:val="20"/>
          <w:szCs w:val="20"/>
          <w:color w:val="auto"/>
        </w:rPr>
      </w:pPr>
      <w:r>
        <w:rPr>
          <w:rFonts w:ascii="Arial" w:cs="Arial" w:eastAsia="Arial" w:hAnsi="Arial"/>
          <w:sz w:val="17"/>
          <w:szCs w:val="17"/>
          <w:color w:val="auto"/>
        </w:rPr>
        <w:t>The Company has also entered into certain short-term leases with a term of less than one year. These leases are not included within the Company’s ROU assets or lease liabilities due to the Company’s election of the practical expedient in ASC 842-20-25-2 for short-term leases.</w:t>
      </w:r>
    </w:p>
    <w:p>
      <w:pPr>
        <w:spacing w:after="0" w:line="14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During the three and six months ended June 27, 2019, the Company recognized the following components of total lease cost (in millions). These costs are presented within selling and marketing costs and administrative and other costs within the unaudited Condensed Consolidated Statements of Income depending upon the nature of the use of the facility.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960" w:type="dxa"/>
            <w:vAlign w:val="bottom"/>
            <w:tcBorders>
              <w:bottom w:val="single" w:sz="8" w:color="auto"/>
            </w:tcBorders>
          </w:tcPr>
          <w:p>
            <w:pPr>
              <w:jc w:val="center"/>
              <w:ind w:left="341"/>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2"/>
              </w:rPr>
              <w:t>Six Months Ended</w:t>
            </w:r>
          </w:p>
        </w:tc>
      </w:tr>
      <w:tr>
        <w:trPr>
          <w:trHeight w:val="152"/>
        </w:trPr>
        <w:tc>
          <w:tcPr>
            <w:tcW w:w="6640" w:type="dxa"/>
            <w:vAlign w:val="bottom"/>
          </w:tcPr>
          <w:p>
            <w:pPr>
              <w:spacing w:after="0"/>
              <w:rPr>
                <w:sz w:val="13"/>
                <w:szCs w:val="13"/>
                <w:color w:val="auto"/>
              </w:rPr>
            </w:pPr>
          </w:p>
        </w:tc>
        <w:tc>
          <w:tcPr>
            <w:tcW w:w="1960" w:type="dxa"/>
            <w:vAlign w:val="bottom"/>
          </w:tcPr>
          <w:p>
            <w:pPr>
              <w:jc w:val="center"/>
              <w:ind w:left="321"/>
              <w:spacing w:after="0" w:line="153" w:lineRule="exact"/>
              <w:rPr>
                <w:sz w:val="20"/>
                <w:szCs w:val="20"/>
                <w:color w:val="auto"/>
              </w:rPr>
            </w:pPr>
            <w:r>
              <w:rPr>
                <w:rFonts w:ascii="Arial" w:cs="Arial" w:eastAsia="Arial" w:hAnsi="Arial"/>
                <w:sz w:val="14"/>
                <w:szCs w:val="14"/>
                <w:b w:val="1"/>
                <w:bCs w:val="1"/>
                <w:color w:val="auto"/>
                <w:w w:val="92"/>
              </w:rPr>
              <w:t>June 27,</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40" w:type="dxa"/>
            <w:vAlign w:val="bottom"/>
          </w:tcPr>
          <w:p>
            <w:pPr>
              <w:jc w:val="center"/>
              <w:ind w:right="298"/>
              <w:spacing w:after="0" w:line="153" w:lineRule="exact"/>
              <w:rPr>
                <w:sz w:val="20"/>
                <w:szCs w:val="20"/>
                <w:color w:val="auto"/>
              </w:rPr>
            </w:pPr>
            <w:r>
              <w:rPr>
                <w:rFonts w:ascii="Arial" w:cs="Arial" w:eastAsia="Arial" w:hAnsi="Arial"/>
                <w:sz w:val="14"/>
                <w:szCs w:val="14"/>
                <w:b w:val="1"/>
                <w:bCs w:val="1"/>
                <w:color w:val="auto"/>
                <w:w w:val="92"/>
              </w:rPr>
              <w:t>June 27,</w:t>
            </w:r>
          </w:p>
        </w:tc>
      </w:tr>
      <w:tr>
        <w:trPr>
          <w:trHeight w:val="192"/>
        </w:trPr>
        <w:tc>
          <w:tcPr>
            <w:tcW w:w="664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center"/>
              <w:ind w:left="361"/>
              <w:spacing w:after="0"/>
              <w:rPr>
                <w:sz w:val="20"/>
                <w:szCs w:val="20"/>
                <w:color w:val="auto"/>
              </w:rPr>
            </w:pPr>
            <w:r>
              <w:rPr>
                <w:rFonts w:ascii="Arial" w:cs="Arial" w:eastAsia="Arial" w:hAnsi="Arial"/>
                <w:sz w:val="14"/>
                <w:szCs w:val="14"/>
                <w:b w:val="1"/>
                <w:bCs w:val="1"/>
                <w:color w:val="auto"/>
                <w:w w:val="89"/>
              </w:rPr>
              <w:t>2019</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89"/>
              </w:rPr>
              <w:t>2019</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1960" w:type="dxa"/>
            <w:vAlign w:val="bottom"/>
            <w:tcBorders>
              <w:bottom w:val="single" w:sz="8" w:color="CCEEFF"/>
            </w:tcBorders>
            <w:shd w:val="clear" w:color="auto" w:fill="CCEEFF"/>
          </w:tcPr>
          <w:p>
            <w:pPr>
              <w:jc w:val="right"/>
              <w:ind w:right="176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Short-term lease cost</w:t>
            </w:r>
          </w:p>
        </w:tc>
        <w:tc>
          <w:tcPr>
            <w:tcW w:w="196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940" w:type="dxa"/>
            <w:vAlign w:val="bottom"/>
          </w:tcPr>
          <w:p>
            <w:pPr>
              <w:jc w:val="right"/>
              <w:ind w:right="18"/>
              <w:spacing w:after="0"/>
              <w:rPr>
                <w:sz w:val="20"/>
                <w:szCs w:val="20"/>
                <w:color w:val="auto"/>
              </w:rPr>
            </w:pPr>
            <w:r>
              <w:rPr>
                <w:rFonts w:ascii="Arial" w:cs="Arial" w:eastAsia="Arial" w:hAnsi="Arial"/>
                <w:sz w:val="18"/>
                <w:szCs w:val="18"/>
                <w:color w:val="auto"/>
              </w:rPr>
              <w:t>0.1</w:t>
            </w:r>
          </w:p>
        </w:tc>
      </w:tr>
      <w:tr>
        <w:trPr>
          <w:trHeight w:val="27"/>
        </w:trPr>
        <w:tc>
          <w:tcPr>
            <w:tcW w:w="66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cost</w:t>
            </w:r>
          </w:p>
        </w:tc>
        <w:tc>
          <w:tcPr>
            <w:tcW w:w="19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0.3</w:t>
            </w:r>
          </w:p>
        </w:tc>
      </w:tr>
      <w:tr>
        <w:trPr>
          <w:trHeight w:val="257"/>
        </w:trPr>
        <w:tc>
          <w:tcPr>
            <w:tcW w:w="6640" w:type="dxa"/>
            <w:vAlign w:val="bottom"/>
          </w:tcPr>
          <w:p>
            <w:pPr>
              <w:ind w:left="40"/>
              <w:spacing w:after="0"/>
              <w:rPr>
                <w:sz w:val="20"/>
                <w:szCs w:val="20"/>
                <w:color w:val="auto"/>
              </w:rPr>
            </w:pPr>
            <w:r>
              <w:rPr>
                <w:rFonts w:ascii="Arial" w:cs="Arial" w:eastAsia="Arial" w:hAnsi="Arial"/>
                <w:sz w:val="18"/>
                <w:szCs w:val="18"/>
                <w:color w:val="auto"/>
              </w:rPr>
              <w:t>Total lease cost</w:t>
            </w:r>
          </w:p>
        </w:tc>
        <w:tc>
          <w:tcPr>
            <w:tcW w:w="1960" w:type="dxa"/>
            <w:vAlign w:val="bottom"/>
            <w:tcBorders>
              <w:top w:val="single" w:sz="8" w:color="auto"/>
              <w:bottom w:val="single" w:sz="8" w:color="auto"/>
            </w:tcBorders>
          </w:tcPr>
          <w:p>
            <w:pPr>
              <w:jc w:val="right"/>
              <w:ind w:right="1761"/>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2.0</w:t>
            </w:r>
          </w:p>
        </w:tc>
      </w:tr>
      <w:tr>
        <w:trPr>
          <w:trHeight w:val="20"/>
        </w:trPr>
        <w:tc>
          <w:tcPr>
            <w:tcW w:w="66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made total lease payments of $0.8 million and $1.6 million during the three and six months ended June 27, 2019. These payments are included within cash flows from operating activities within the unaudited Condensed Consolidated Statement of Cash Flows. The minimum lease payments under noncancelable operating leases as of December 27, 2018 were as follows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Borders>
              <w:bottom w:val="single" w:sz="8" w:color="auto"/>
            </w:tcBorders>
          </w:tcPr>
          <w:p>
            <w:pPr>
              <w:ind w:left="3580"/>
              <w:spacing w:after="0"/>
              <w:rPr>
                <w:sz w:val="20"/>
                <w:szCs w:val="20"/>
                <w:color w:val="auto"/>
              </w:rPr>
            </w:pPr>
            <w:r>
              <w:rPr>
                <w:rFonts w:ascii="Arial" w:cs="Arial" w:eastAsia="Arial" w:hAnsi="Arial"/>
                <w:sz w:val="14"/>
                <w:szCs w:val="14"/>
                <w:b w:val="1"/>
                <w:bCs w:val="1"/>
                <w:color w:val="auto"/>
              </w:rPr>
              <w:t>Year</w:t>
            </w:r>
          </w:p>
        </w:tc>
        <w:tc>
          <w:tcPr>
            <w:tcW w:w="2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tcPr>
          <w:p>
            <w:pPr>
              <w:jc w:val="right"/>
              <w:ind w:right="1032"/>
              <w:spacing w:after="0"/>
              <w:rPr>
                <w:sz w:val="20"/>
                <w:szCs w:val="20"/>
                <w:color w:val="auto"/>
              </w:rPr>
            </w:pPr>
            <w:r>
              <w:rPr>
                <w:rFonts w:ascii="Arial" w:cs="Arial" w:eastAsia="Arial" w:hAnsi="Arial"/>
                <w:sz w:val="14"/>
                <w:szCs w:val="14"/>
                <w:b w:val="1"/>
                <w:bCs w:val="1"/>
                <w:color w:val="auto"/>
              </w:rPr>
              <w:t>Minimum Lease Payments</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42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2020</w:t>
            </w:r>
          </w:p>
        </w:tc>
        <w:tc>
          <w:tcPr>
            <w:tcW w:w="2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6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2022</w:t>
            </w:r>
          </w:p>
        </w:tc>
        <w:tc>
          <w:tcPr>
            <w:tcW w:w="2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6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60" w:type="dxa"/>
            <w:vAlign w:val="bottom"/>
          </w:tcPr>
          <w:p>
            <w:pPr>
              <w:jc w:val="right"/>
              <w:ind w:right="12"/>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4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CCEEFF"/>
            </w:tcBorders>
            <w:vMerge w:val="restart"/>
          </w:tcPr>
          <w:p>
            <w:pPr>
              <w:jc w:val="right"/>
              <w:ind w:right="1550"/>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74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future lease payments under noncancelable operating leases as of June 27, 2019 were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auto"/>
            </w:tcBorders>
          </w:tcPr>
          <w:p>
            <w:pPr>
              <w:ind w:left="3580"/>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BFE4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tcPr>
          <w:p>
            <w:pPr>
              <w:jc w:val="right"/>
              <w:ind w:right="1132"/>
              <w:spacing w:after="0"/>
              <w:rPr>
                <w:sz w:val="20"/>
                <w:szCs w:val="20"/>
                <w:color w:val="auto"/>
              </w:rPr>
            </w:pPr>
            <w:r>
              <w:rPr>
                <w:rFonts w:ascii="Arial" w:cs="Arial" w:eastAsia="Arial" w:hAnsi="Arial"/>
                <w:sz w:val="14"/>
                <w:szCs w:val="14"/>
                <w:b w:val="1"/>
                <w:bCs w:val="1"/>
                <w:color w:val="auto"/>
              </w:rPr>
              <w:t>Future Lease Payments</w:t>
            </w:r>
          </w:p>
        </w:tc>
      </w:tr>
      <w:tr>
        <w:trPr>
          <w:trHeight w:val="250"/>
        </w:trPr>
        <w:tc>
          <w:tcPr>
            <w:tcW w:w="754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2019 (June 28, 2019 - December 26, 2019)</w:t>
            </w:r>
          </w:p>
        </w:tc>
        <w:tc>
          <w:tcPr>
            <w:tcW w:w="680" w:type="dxa"/>
            <w:vAlign w:val="bottom"/>
            <w:tcBorders>
              <w:bottom w:val="single" w:sz="8" w:color="BFE4FF"/>
            </w:tcBorders>
            <w:shd w:val="clear" w:color="auto" w:fill="BFE4FF"/>
          </w:tcPr>
          <w:p>
            <w:pPr>
              <w:jc w:val="right"/>
              <w:ind w:right="470"/>
              <w:spacing w:after="0"/>
              <w:rPr>
                <w:sz w:val="20"/>
                <w:szCs w:val="20"/>
                <w:color w:val="auto"/>
              </w:rPr>
            </w:pPr>
            <w:r>
              <w:rPr>
                <w:rFonts w:ascii="Arial" w:cs="Arial" w:eastAsia="Arial" w:hAnsi="Arial"/>
                <w:sz w:val="18"/>
                <w:szCs w:val="18"/>
                <w:color w:val="auto"/>
                <w:w w:val="99"/>
              </w:rPr>
              <w:t>$</w:t>
            </w:r>
          </w:p>
        </w:tc>
        <w:tc>
          <w:tcPr>
            <w:tcW w:w="32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0" w:type="dxa"/>
            <w:vAlign w:val="bottom"/>
          </w:tcPr>
          <w:p>
            <w:pPr>
              <w:jc w:val="right"/>
              <w:ind w:right="12"/>
              <w:spacing w:after="0"/>
              <w:rPr>
                <w:sz w:val="20"/>
                <w:szCs w:val="20"/>
                <w:color w:val="auto"/>
              </w:rPr>
            </w:pPr>
            <w:r>
              <w:rPr>
                <w:rFonts w:ascii="Arial" w:cs="Arial" w:eastAsia="Arial" w:hAnsi="Arial"/>
                <w:sz w:val="18"/>
                <w:szCs w:val="18"/>
                <w:color w:val="auto"/>
              </w:rPr>
              <w:t>3.3</w:t>
            </w: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0" w:type="dxa"/>
            <w:vAlign w:val="bottom"/>
          </w:tcPr>
          <w:p>
            <w:pPr>
              <w:spacing w:after="0"/>
              <w:rPr>
                <w:sz w:val="2"/>
                <w:szCs w:val="2"/>
                <w:color w:val="auto"/>
              </w:rPr>
            </w:pPr>
          </w:p>
        </w:tc>
      </w:tr>
      <w:tr>
        <w:trPr>
          <w:trHeight w:val="250"/>
        </w:trPr>
        <w:tc>
          <w:tcPr>
            <w:tcW w:w="74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BFE4FF"/>
            </w:tcBorders>
            <w:shd w:val="clear" w:color="auto" w:fill="BFE4FF"/>
          </w:tcPr>
          <w:p>
            <w:pPr>
              <w:spacing w:after="0"/>
              <w:rPr>
                <w:sz w:val="21"/>
                <w:szCs w:val="21"/>
                <w:color w:val="auto"/>
              </w:rPr>
            </w:pPr>
          </w:p>
        </w:tc>
        <w:tc>
          <w:tcPr>
            <w:tcW w:w="680" w:type="dxa"/>
            <w:vAlign w:val="bottom"/>
            <w:tcBorders>
              <w:bottom w:val="single" w:sz="8" w:color="BFE4FF"/>
            </w:tcBorders>
            <w:shd w:val="clear" w:color="auto" w:fill="BFE4FF"/>
          </w:tcPr>
          <w:p>
            <w:pPr>
              <w:spacing w:after="0"/>
              <w:rPr>
                <w:sz w:val="21"/>
                <w:szCs w:val="21"/>
                <w:color w:val="auto"/>
              </w:rPr>
            </w:pPr>
          </w:p>
        </w:tc>
        <w:tc>
          <w:tcPr>
            <w:tcW w:w="32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0" w:type="dxa"/>
            <w:vAlign w:val="bottom"/>
          </w:tcPr>
          <w:p>
            <w:pPr>
              <w:jc w:val="right"/>
              <w:ind w:right="12"/>
              <w:spacing w:after="0"/>
              <w:rPr>
                <w:sz w:val="20"/>
                <w:szCs w:val="20"/>
                <w:color w:val="auto"/>
              </w:rPr>
            </w:pPr>
            <w:r>
              <w:rPr>
                <w:rFonts w:ascii="Arial" w:cs="Arial" w:eastAsia="Arial" w:hAnsi="Arial"/>
                <w:sz w:val="18"/>
                <w:szCs w:val="18"/>
                <w:color w:val="auto"/>
              </w:rPr>
              <w:t>3.4</w:t>
            </w: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0" w:type="dxa"/>
            <w:vAlign w:val="bottom"/>
          </w:tcPr>
          <w:p>
            <w:pPr>
              <w:spacing w:after="0"/>
              <w:rPr>
                <w:sz w:val="2"/>
                <w:szCs w:val="2"/>
                <w:color w:val="auto"/>
              </w:rPr>
            </w:pPr>
          </w:p>
        </w:tc>
      </w:tr>
      <w:tr>
        <w:trPr>
          <w:trHeight w:val="250"/>
        </w:trPr>
        <w:tc>
          <w:tcPr>
            <w:tcW w:w="74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BFE4FF"/>
            </w:tcBorders>
            <w:shd w:val="clear" w:color="auto" w:fill="BFE4FF"/>
          </w:tcPr>
          <w:p>
            <w:pPr>
              <w:spacing w:after="0"/>
              <w:rPr>
                <w:sz w:val="21"/>
                <w:szCs w:val="21"/>
                <w:color w:val="auto"/>
              </w:rPr>
            </w:pPr>
          </w:p>
        </w:tc>
        <w:tc>
          <w:tcPr>
            <w:tcW w:w="680" w:type="dxa"/>
            <w:vAlign w:val="bottom"/>
            <w:tcBorders>
              <w:bottom w:val="single" w:sz="8" w:color="BFE4FF"/>
            </w:tcBorders>
            <w:shd w:val="clear" w:color="auto" w:fill="BFE4FF"/>
          </w:tcPr>
          <w:p>
            <w:pPr>
              <w:spacing w:after="0"/>
              <w:rPr>
                <w:sz w:val="21"/>
                <w:szCs w:val="21"/>
                <w:color w:val="auto"/>
              </w:rPr>
            </w:pPr>
          </w:p>
        </w:tc>
        <w:tc>
          <w:tcPr>
            <w:tcW w:w="32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0" w:type="dxa"/>
            <w:vAlign w:val="bottom"/>
          </w:tcPr>
          <w:p>
            <w:pPr>
              <w:spacing w:after="0"/>
              <w:rPr>
                <w:sz w:val="2"/>
                <w:szCs w:val="2"/>
                <w:color w:val="auto"/>
              </w:rPr>
            </w:pPr>
          </w:p>
        </w:tc>
      </w:tr>
      <w:tr>
        <w:trPr>
          <w:trHeight w:val="270"/>
        </w:trPr>
        <w:tc>
          <w:tcPr>
            <w:tcW w:w="754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Thereafter</w:t>
            </w:r>
          </w:p>
        </w:tc>
        <w:tc>
          <w:tcPr>
            <w:tcW w:w="680" w:type="dxa"/>
            <w:vAlign w:val="bottom"/>
            <w:tcBorders>
              <w:bottom w:val="single" w:sz="8" w:color="BFE4FF"/>
            </w:tcBorders>
            <w:shd w:val="clear" w:color="auto" w:fill="BFE4FF"/>
          </w:tcPr>
          <w:p>
            <w:pPr>
              <w:spacing w:after="0"/>
              <w:rPr>
                <w:sz w:val="23"/>
                <w:szCs w:val="23"/>
                <w:color w:val="auto"/>
              </w:rPr>
            </w:pPr>
          </w:p>
        </w:tc>
        <w:tc>
          <w:tcPr>
            <w:tcW w:w="32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18.7</w:t>
            </w:r>
          </w:p>
        </w:tc>
      </w:tr>
      <w:tr>
        <w:trPr>
          <w:trHeight w:val="237"/>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tcBorders>
          </w:tcPr>
          <w:p>
            <w:pPr>
              <w:spacing w:after="0"/>
              <w:rPr>
                <w:sz w:val="20"/>
                <w:szCs w:val="20"/>
                <w:color w:val="auto"/>
              </w:rPr>
            </w:pPr>
          </w:p>
        </w:tc>
        <w:tc>
          <w:tcPr>
            <w:tcW w:w="3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37.3</w:t>
            </w: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0" w:type="dxa"/>
            <w:vAlign w:val="bottom"/>
          </w:tcPr>
          <w:p>
            <w:pPr>
              <w:spacing w:after="0"/>
              <w:rPr>
                <w:sz w:val="2"/>
                <w:szCs w:val="2"/>
                <w:color w:val="auto"/>
              </w:rPr>
            </w:pPr>
          </w:p>
        </w:tc>
      </w:tr>
      <w:tr>
        <w:trPr>
          <w:trHeight w:val="270"/>
        </w:trPr>
        <w:tc>
          <w:tcPr>
            <w:tcW w:w="7540" w:type="dxa"/>
            <w:vAlign w:val="bottom"/>
            <w:tcBorders>
              <w:bottom w:val="single" w:sz="8" w:color="BFE4FF"/>
            </w:tcBorders>
            <w:gridSpan w:val="2"/>
            <w:shd w:val="clear" w:color="auto" w:fill="BFE4FF"/>
          </w:tcPr>
          <w:p>
            <w:pPr>
              <w:ind w:left="280"/>
              <w:spacing w:after="0"/>
              <w:rPr>
                <w:sz w:val="20"/>
                <w:szCs w:val="20"/>
                <w:color w:val="auto"/>
              </w:rPr>
            </w:pPr>
            <w:r>
              <w:rPr>
                <w:rFonts w:ascii="Arial" w:cs="Arial" w:eastAsia="Arial" w:hAnsi="Arial"/>
                <w:sz w:val="18"/>
                <w:szCs w:val="18"/>
                <w:color w:val="auto"/>
              </w:rPr>
              <w:t>Less: Imputed interest on future lease payments</w:t>
            </w:r>
          </w:p>
        </w:tc>
        <w:tc>
          <w:tcPr>
            <w:tcW w:w="680" w:type="dxa"/>
            <w:vAlign w:val="bottom"/>
            <w:tcBorders>
              <w:bottom w:val="single" w:sz="8" w:color="BFE4FF"/>
            </w:tcBorders>
            <w:shd w:val="clear" w:color="auto" w:fill="BFE4FF"/>
          </w:tcPr>
          <w:p>
            <w:pPr>
              <w:spacing w:after="0"/>
              <w:rPr>
                <w:sz w:val="23"/>
                <w:szCs w:val="23"/>
                <w:color w:val="auto"/>
              </w:rPr>
            </w:pPr>
          </w:p>
        </w:tc>
        <w:tc>
          <w:tcPr>
            <w:tcW w:w="3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(12.1)</w:t>
            </w:r>
          </w:p>
        </w:tc>
      </w:tr>
      <w:tr>
        <w:trPr>
          <w:trHeight w:val="257"/>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Total lease liability as of June 27, 2019 per the Condensed Consolidated Balance Sheet</w:t>
            </w: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3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25.2</w:t>
            </w:r>
          </w:p>
        </w:tc>
      </w:tr>
      <w:tr>
        <w:trPr>
          <w:trHeight w:val="20"/>
        </w:trPr>
        <w:tc>
          <w:tcPr>
            <w:tcW w:w="7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540"/>
        <w:spacing w:after="0" w:line="259" w:lineRule="auto"/>
        <w:rPr>
          <w:sz w:val="20"/>
          <w:szCs w:val="20"/>
          <w:color w:val="auto"/>
        </w:rPr>
      </w:pPr>
      <w:r>
        <w:rPr>
          <w:rFonts w:ascii="Arial" w:cs="Arial" w:eastAsia="Arial" w:hAnsi="Arial"/>
          <w:sz w:val="18"/>
          <w:szCs w:val="18"/>
          <w:color w:val="auto"/>
        </w:rPr>
        <w:t>When measuring the ROU assets and lease liabilities recorded, the Company utilized its incremental borrowing rate in order to determine the present value of the lease payments as the leases do not provide an implicit rate. The Company used the rate of interest that it would have paid to borrow on a collateralized basis over a similar term for an amount equal to the lease payments in a similar economic environment. As of June 27, 2019, the Company’s weighted average annual discount rate was 7.43%.</w:t>
      </w:r>
    </w:p>
    <w:p>
      <w:pPr>
        <w:spacing w:after="0" w:line="133" w:lineRule="exact"/>
        <w:rPr>
          <w:sz w:val="20"/>
          <w:szCs w:val="20"/>
          <w:color w:val="auto"/>
        </w:rPr>
      </w:pPr>
    </w:p>
    <w:p>
      <w:pPr>
        <w:ind w:right="20" w:firstLine="540"/>
        <w:spacing w:after="0" w:line="269" w:lineRule="auto"/>
        <w:rPr>
          <w:sz w:val="20"/>
          <w:szCs w:val="20"/>
          <w:color w:val="auto"/>
        </w:rPr>
      </w:pPr>
      <w:r>
        <w:rPr>
          <w:rFonts w:ascii="Arial" w:cs="Arial" w:eastAsia="Arial" w:hAnsi="Arial"/>
          <w:sz w:val="17"/>
          <w:szCs w:val="17"/>
          <w:b w:val="1"/>
          <w:bCs w:val="1"/>
          <w:i w:val="1"/>
          <w:iCs w:val="1"/>
          <w:color w:val="auto"/>
        </w:rPr>
        <w:t xml:space="preserve">Operating Commitments - ESAs and Affiliate Agreements </w:t>
      </w:r>
      <w:r>
        <w:rPr>
          <w:rFonts w:ascii="Arial" w:cs="Arial" w:eastAsia="Arial" w:hAnsi="Arial"/>
          <w:sz w:val="17"/>
          <w:szCs w:val="17"/>
          <w:color w:val="auto"/>
        </w:rPr>
        <w:t xml:space="preserve">- The Company has entered into long-term ESAs with the founding members and multi-year agreements with certain network affiliates, or third-party theater circuits. The ESAs and network affiliate agreements grant NCM LLC exclusive rights in their theaters to sell advertising, subject to limited exceptions. The Company recognizes intangible assets upon issuance of membership units to the founding members in accordance with NCM LLC’s Common Unit Adjustment Agreement and upfront cash payments to the affiliates for the contractual rights to provide the Company’s services within their theaters as further discussed within Note 4 - </w:t>
      </w:r>
      <w:r>
        <w:rPr>
          <w:rFonts w:ascii="Arial" w:cs="Arial" w:eastAsia="Arial" w:hAnsi="Arial"/>
          <w:sz w:val="17"/>
          <w:szCs w:val="17"/>
          <w:i w:val="1"/>
          <w:iCs w:val="1"/>
          <w:color w:val="auto"/>
        </w:rPr>
        <w:t>Intangible Assets</w:t>
      </w:r>
      <w:r>
        <w:rPr>
          <w:rFonts w:ascii="Arial" w:cs="Arial" w:eastAsia="Arial" w:hAnsi="Arial"/>
          <w:sz w:val="17"/>
          <w:szCs w:val="17"/>
          <w:color w:val="auto"/>
        </w:rPr>
        <w:t>. These ESA and network affiliate agreements are considered leases under ASC 842 once the asset is identified and the period of control is determined upon the scheduling of the showtimes by the exhibitors, typically one week prior to the showtime. As such, the leases are considered short-term in nature, specifically less than one month. Within ASC 842, leases with terms of less than one month are exempt from the majority of the accounting and disclosure requirements, including disclosure of short-term lease expense. No ROU assets or lease liabilities were recognized for these agreements and no change to the balance sheet presentation of the intangible assets was necessary. However, the amortization of these intangible assets is considered lease expense and was therefore, reclassified in the current period from 'Depreciation and amortization expense' to 'Amortization of intangibles recorded for network theater screen leases' within the unaudited Condensed Consolidated Statement of Income.</w:t>
      </w:r>
    </w:p>
    <w:p>
      <w:pPr>
        <w:spacing w:after="0" w:line="126" w:lineRule="exact"/>
        <w:rPr>
          <w:sz w:val="20"/>
          <w:szCs w:val="20"/>
          <w:color w:val="auto"/>
        </w:rPr>
      </w:pPr>
    </w:p>
    <w:p>
      <w:pPr>
        <w:ind w:firstLine="540"/>
        <w:spacing w:after="0" w:line="254" w:lineRule="auto"/>
        <w:rPr>
          <w:sz w:val="20"/>
          <w:szCs w:val="20"/>
          <w:color w:val="auto"/>
        </w:rPr>
      </w:pPr>
      <w:r>
        <w:rPr>
          <w:rFonts w:ascii="Arial" w:cs="Arial" w:eastAsia="Arial" w:hAnsi="Arial"/>
          <w:sz w:val="18"/>
          <w:szCs w:val="18"/>
          <w:color w:val="auto"/>
        </w:rPr>
        <w:t>In consideration for NCM LLC’s access to the founding members’ theater attendees for on-screen advertising and use of lobbies and other space within the founding members’ theaters for the LEN and lobby promotions, the founding members receive a monthly theater access fee under the ESAs. The theater access fee is composed of a fixed payment per patron, a fixed payment per digital screen (connected to the DCN) and a fee for access to higher quality digital cinema equipment. The payment per theater patron increases by 8% every five years, with this next increase occurring in fiscal year 2022, and the payment per digital screen and for digital cinema equipment increases annually by 5%. The theater access fee paid in the aggregate to all founding members cannot be less than 12% of NCM LLC’s aggregate advertising revenue (as defined in the ESA), or it will be adjusted upward to reach this minimum payment. As of June 27, 2019 and December 27, 2018, the Company had no liabilities recorded for the minimum payment, as the theater access fee was in excess of the minimum.</w:t>
      </w:r>
    </w:p>
    <w:p>
      <w:pPr>
        <w:spacing w:after="0" w:line="138"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network affiliates compensation is considered variable lease expense and varies by circuit depending upon the agreed upon terms of the network affiliate agreement. The majority of agreements are centered around a revenue share where an agreed upon percentage of the advertising revenue received from a theater’s attendance is paid to the circuit. As part of the network affiliate agreements entered into in the ordinary course of business under which the 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As of June 27, 2019, the maximum potential amount of future payments the Company could be required to make pursuant to the minimum revenue guarantees is $90.1 million over the remaining terms of the network affiliate agreements. These minimum guarantees relate to various affiliate agreements ranging in term from one to twenty years,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jc w:val="center"/>
        <w:ind w:left="260" w:right="274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prior to any renewal periods of which some are at the option of the Company. Additionally, the Company accrued $0.7 million and $0.1 million related to affiliate agreements with guaranteed minimums in excess of the revenue share agreement as of June 27, 2019 and December 27, 2018, respectively.</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jc w:val="both"/>
        <w:ind w:right="120" w:firstLine="540"/>
        <w:spacing w:after="0" w:line="312" w:lineRule="auto"/>
        <w:rPr>
          <w:sz w:val="20"/>
          <w:szCs w:val="20"/>
          <w:color w:val="auto"/>
        </w:rPr>
      </w:pPr>
      <w:r>
        <w:rPr>
          <w:rFonts w:ascii="Arial" w:cs="Arial" w:eastAsia="Arial" w:hAnsi="Arial"/>
          <w:sz w:val="16"/>
          <w:szCs w:val="16"/>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9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71" w:lineRule="exact"/>
        <w:rPr>
          <w:sz w:val="20"/>
          <w:szCs w:val="20"/>
          <w:color w:val="auto"/>
        </w:rPr>
      </w:pPr>
    </w:p>
    <w:p>
      <w:pPr>
        <w:jc w:val="both"/>
        <w:ind w:right="20" w:firstLine="54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127" w:lineRule="exact"/>
        <w:rPr>
          <w:sz w:val="20"/>
          <w:szCs w:val="20"/>
          <w:color w:val="auto"/>
        </w:rPr>
      </w:pPr>
    </w:p>
    <w:p>
      <w:pPr>
        <w:ind w:right="340" w:firstLine="54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116" w:lineRule="exact"/>
        <w:rPr>
          <w:sz w:val="20"/>
          <w:szCs w:val="20"/>
          <w:color w:val="auto"/>
        </w:rPr>
      </w:pPr>
    </w:p>
    <w:p>
      <w:pPr>
        <w:ind w:right="100" w:firstLine="540"/>
        <w:spacing w:after="0" w:line="264" w:lineRule="auto"/>
        <w:rPr>
          <w:sz w:val="20"/>
          <w:szCs w:val="20"/>
          <w:color w:val="auto"/>
        </w:rPr>
      </w:pPr>
      <w:r>
        <w:rPr>
          <w:rFonts w:ascii="Arial" w:cs="Arial" w:eastAsia="Arial" w:hAnsi="Arial"/>
          <w:sz w:val="18"/>
          <w:szCs w:val="18"/>
          <w:b w:val="1"/>
          <w:bCs w:val="1"/>
          <w:i w:val="1"/>
          <w:iCs w:val="1"/>
          <w:color w:val="auto"/>
        </w:rPr>
        <w:t>Non-Recurring Measurements</w:t>
      </w:r>
      <w:r>
        <w:rPr>
          <w:rFonts w:ascii="Arial" w:cs="Arial" w:eastAsia="Arial" w:hAnsi="Arial"/>
          <w:sz w:val="18"/>
          <w:szCs w:val="18"/>
          <w:color w:val="auto"/>
        </w:rPr>
        <w:t>—Certain assets are measured at fair value on a non-recurring basis. These assets are not measured at fair value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ongoing basis but are subject to fair value adjustments in certain circumstances. These assets include long-lived assets, intangible assets, other investments, notes receivable and borrowings.</w:t>
      </w:r>
    </w:p>
    <w:p>
      <w:pPr>
        <w:spacing w:after="0" w:line="127" w:lineRule="exact"/>
        <w:rPr>
          <w:sz w:val="20"/>
          <w:szCs w:val="20"/>
          <w:color w:val="auto"/>
        </w:rPr>
      </w:pPr>
    </w:p>
    <w:p>
      <w:pPr>
        <w:ind w:right="200" w:firstLine="540"/>
        <w:spacing w:after="0" w:line="257" w:lineRule="auto"/>
        <w:rPr>
          <w:sz w:val="20"/>
          <w:szCs w:val="20"/>
          <w:color w:val="auto"/>
        </w:rPr>
      </w:pPr>
      <w:r>
        <w:rPr>
          <w:rFonts w:ascii="Arial" w:cs="Arial" w:eastAsia="Arial" w:hAnsi="Arial"/>
          <w:sz w:val="18"/>
          <w:szCs w:val="18"/>
          <w:i w:val="1"/>
          <w:iCs w:val="1"/>
          <w:color w:val="auto"/>
        </w:rPr>
        <w:t>Long-Lived Assets, Intangible Assets, Other Investments and Notes Receivable</w:t>
      </w:r>
      <w:r>
        <w:rPr>
          <w:rFonts w:ascii="Arial" w:cs="Arial" w:eastAsia="Arial" w:hAnsi="Arial"/>
          <w:sz w:val="18"/>
          <w:szCs w:val="18"/>
          <w:color w:val="auto"/>
        </w:rPr>
        <w:t>—The Company regularly reviews long-lived assets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plant and equipment), intangible assets, investments accounted for under the cost or equity method and notes receivable for impairment whenever certain qualitative factors,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 investments consisted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5"/>
              </w:rPr>
              <w:t>As of</w:t>
            </w:r>
          </w:p>
        </w:tc>
        <w:tc>
          <w:tcPr>
            <w:tcW w:w="1280" w:type="dxa"/>
            <w:vAlign w:val="bottom"/>
            <w:tcBorders>
              <w:bottom w:val="single" w:sz="8" w:color="auto"/>
            </w:tcBorders>
          </w:tcPr>
          <w:p>
            <w:pPr>
              <w:spacing w:after="0"/>
              <w:rPr>
                <w:sz w:val="16"/>
                <w:szCs w:val="16"/>
                <w:color w:val="auto"/>
              </w:rPr>
            </w:pPr>
          </w:p>
        </w:tc>
      </w:tr>
      <w:tr>
        <w:trPr>
          <w:trHeight w:val="152"/>
        </w:trPr>
        <w:tc>
          <w:tcPr>
            <w:tcW w:w="8320" w:type="dxa"/>
            <w:vAlign w:val="bottom"/>
          </w:tcPr>
          <w:p>
            <w:pPr>
              <w:spacing w:after="0"/>
              <w:rPr>
                <w:sz w:val="13"/>
                <w:szCs w:val="13"/>
                <w:color w:val="auto"/>
              </w:rPr>
            </w:pPr>
          </w:p>
        </w:tc>
        <w:tc>
          <w:tcPr>
            <w:tcW w:w="1080" w:type="dxa"/>
            <w:vAlign w:val="bottom"/>
          </w:tcPr>
          <w:p>
            <w:pPr>
              <w:jc w:val="right"/>
              <w:ind w:right="19"/>
              <w:spacing w:after="0" w:line="153" w:lineRule="exact"/>
              <w:rPr>
                <w:sz w:val="20"/>
                <w:szCs w:val="20"/>
                <w:color w:val="auto"/>
              </w:rPr>
            </w:pPr>
            <w:r>
              <w:rPr>
                <w:rFonts w:ascii="Arial" w:cs="Arial" w:eastAsia="Arial" w:hAnsi="Arial"/>
                <w:sz w:val="14"/>
                <w:szCs w:val="14"/>
                <w:b w:val="1"/>
                <w:bCs w:val="1"/>
                <w:color w:val="auto"/>
              </w:rPr>
              <w:t>June 27,</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257"/>
              <w:spacing w:after="0" w:line="153" w:lineRule="exact"/>
              <w:rPr>
                <w:sz w:val="20"/>
                <w:szCs w:val="20"/>
                <w:color w:val="auto"/>
              </w:rPr>
            </w:pPr>
            <w:r>
              <w:rPr>
                <w:rFonts w:ascii="Arial" w:cs="Arial" w:eastAsia="Arial" w:hAnsi="Arial"/>
                <w:sz w:val="14"/>
                <w:szCs w:val="14"/>
                <w:b w:val="1"/>
                <w:bCs w:val="1"/>
                <w:color w:val="auto"/>
              </w:rPr>
              <w:t>December 27,</w:t>
            </w:r>
          </w:p>
        </w:tc>
      </w:tr>
      <w:tr>
        <w:trPr>
          <w:trHeight w:val="192"/>
        </w:trPr>
        <w:tc>
          <w:tcPr>
            <w:tcW w:w="83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Investment in AC JV, LLC </w:t>
            </w:r>
            <w:r>
              <w:rPr>
                <w:rFonts w:ascii="Arial" w:cs="Arial" w:eastAsia="Arial" w:hAnsi="Arial"/>
                <w:sz w:val="18"/>
                <w:szCs w:val="18"/>
                <w:i w:val="1"/>
                <w:iCs w:val="1"/>
                <w:color w:val="auto"/>
              </w:rPr>
              <w:t>(1)</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18"/>
                <w:szCs w:val="18"/>
                <w:i w:val="1"/>
                <w:iCs w:val="1"/>
                <w:color w:val="auto"/>
              </w:rPr>
              <w:t>(2)</w:t>
            </w:r>
          </w:p>
        </w:tc>
        <w:tc>
          <w:tcPr>
            <w:tcW w:w="10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2.1</w:t>
            </w:r>
          </w:p>
        </w:tc>
      </w:tr>
      <w:tr>
        <w:trPr>
          <w:trHeight w:val="27"/>
        </w:trPr>
        <w:tc>
          <w:tcPr>
            <w:tcW w:w="83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w:t>
      </w:r>
    </w:p>
    <w:p>
      <w:pPr>
        <w:spacing w:after="0" w:line="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Refer to Note 5—</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This investment is accounted for utilizing the equity method.</w:t>
      </w:r>
    </w:p>
    <w:p>
      <w:pPr>
        <w:spacing w:after="0" w:line="7" w:lineRule="exact"/>
        <w:rPr>
          <w:rFonts w:ascii="Arial" w:cs="Arial" w:eastAsia="Arial" w:hAnsi="Arial"/>
          <w:sz w:val="18"/>
          <w:szCs w:val="18"/>
          <w:i w:val="1"/>
          <w:iCs w:val="1"/>
          <w:color w:val="auto"/>
        </w:rPr>
      </w:pPr>
    </w:p>
    <w:p>
      <w:pPr>
        <w:ind w:left="340" w:right="20" w:hanging="332"/>
        <w:spacing w:after="0" w:line="254"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 xml:space="preserve">The Company received equity securities in privately held companies as consideration for a portion of advertising contracts. The equity securities are accounted for at adjusted cost in accordance with the practicability exception under Accounting Standards Update 2016-1, </w:t>
      </w:r>
      <w:r>
        <w:rPr>
          <w:rFonts w:ascii="Arial" w:cs="Arial" w:eastAsia="Arial" w:hAnsi="Arial"/>
          <w:sz w:val="18"/>
          <w:szCs w:val="18"/>
          <w:i w:val="1"/>
          <w:iCs w:val="1"/>
          <w:color w:val="auto"/>
        </w:rPr>
        <w:t>Recognition and Measurement</w:t>
      </w:r>
      <w:r>
        <w:rPr>
          <w:rFonts w:ascii="Arial" w:cs="Arial" w:eastAsia="Arial" w:hAnsi="Arial"/>
          <w:sz w:val="18"/>
          <w:szCs w:val="18"/>
          <w:color w:val="auto"/>
        </w:rPr>
        <w:t xml:space="preserve"> </w:t>
      </w:r>
      <w:r>
        <w:rPr>
          <w:rFonts w:ascii="Arial" w:cs="Arial" w:eastAsia="Arial" w:hAnsi="Arial"/>
          <w:sz w:val="18"/>
          <w:szCs w:val="18"/>
          <w:i w:val="1"/>
          <w:iCs w:val="1"/>
          <w:color w:val="auto"/>
        </w:rPr>
        <w:t>of Financial Assets and Financial Liabilities</w:t>
      </w:r>
      <w:r>
        <w:rPr>
          <w:rFonts w:ascii="Arial" w:cs="Arial" w:eastAsia="Arial" w:hAnsi="Arial"/>
          <w:sz w:val="18"/>
          <w:szCs w:val="18"/>
          <w:color w:val="auto"/>
        </w:rPr>
        <w:t>, and represent an ownership of less than 20%. The Company does not exert significant influence on these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operating or financial activities.</w:t>
      </w:r>
    </w:p>
    <w:p>
      <w:pPr>
        <w:spacing w:after="0" w:line="13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During the three months ended June 27, 2019 and June 28, 2018 and the six months ended June 27, 2019 and June 28, 2018, the Company recorded impairment charges of $0.0 million, $0.0 million, $0.0 million and $0.4 million, respectively, on certain of its investments due to a significant deterioration in the business prospects of the investee or new information regarding the fair value of the investee, which brought the total remaining value of the respective impaired investments to $0.0 million as of June 27, 2019 and June 28, 2018. As of June 27, 2019, no other observable price changes or impairments have been recorded as a result of the Company’s qualitative assessment of identified events or changes in the circumstances of the remaining investments. The investment in AC JV, LLC was initially valued using comparative market multiples. The other investments were recorded based upon the fair value of the services provided in exchange for the investment. As the inputs to the determination of fair value are based upon non-identical assets and use significant unobservable inputs, they have been classified as Level 3 in the fair value hierarchy.</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20" w:name="page21"/>
    <w:bookmarkEnd w:id="20"/>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7" w:lineRule="exact"/>
        <w:rPr>
          <w:sz w:val="20"/>
          <w:szCs w:val="20"/>
          <w:color w:val="auto"/>
        </w:rPr>
      </w:pPr>
    </w:p>
    <w:p>
      <w:pPr>
        <w:ind w:right="40" w:firstLine="540"/>
        <w:spacing w:after="0" w:line="257" w:lineRule="auto"/>
        <w:rPr>
          <w:sz w:val="20"/>
          <w:szCs w:val="20"/>
          <w:color w:val="auto"/>
        </w:rPr>
      </w:pPr>
      <w:r>
        <w:rPr>
          <w:rFonts w:ascii="Arial" w:cs="Arial" w:eastAsia="Arial" w:hAnsi="Arial"/>
          <w:sz w:val="18"/>
          <w:szCs w:val="18"/>
          <w:color w:val="auto"/>
        </w:rPr>
        <w:t>As of June 27, 2019 and December 27, 2018, the Company had notes receivable totaling $4.2 million and $5.6 million, respectively, from its founding members related to the sale of Fathom Events, as described in Note 5—</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These notes were initially valued using comparative market multiples. There were no identified events or changes in circumstances that had a significant adverse effect on the fair value of the notes receivable. The notes are classified as Level 3 in the fair value hierarchy as the inputs to the determination of fair value are based upon non-identical assets and use significant unobservable inputs.</w:t>
      </w:r>
    </w:p>
    <w:p>
      <w:pPr>
        <w:spacing w:after="0" w:line="134" w:lineRule="exact"/>
        <w:rPr>
          <w:sz w:val="20"/>
          <w:szCs w:val="20"/>
          <w:color w:val="auto"/>
        </w:rPr>
      </w:pPr>
    </w:p>
    <w:p>
      <w:pPr>
        <w:ind w:right="180" w:firstLine="540"/>
        <w:spacing w:after="0" w:line="308" w:lineRule="auto"/>
        <w:rPr>
          <w:sz w:val="20"/>
          <w:szCs w:val="20"/>
          <w:color w:val="auto"/>
        </w:rPr>
      </w:pPr>
      <w:r>
        <w:rPr>
          <w:rFonts w:ascii="Arial" w:cs="Arial" w:eastAsia="Arial" w:hAnsi="Arial"/>
          <w:sz w:val="17"/>
          <w:szCs w:val="17"/>
          <w:i w:val="1"/>
          <w:iCs w:val="1"/>
          <w:color w:val="auto"/>
        </w:rPr>
        <w:t>Borrowings</w:t>
      </w:r>
      <w:r>
        <w:rPr>
          <w:rFonts w:ascii="Arial" w:cs="Arial" w:eastAsia="Arial" w:hAnsi="Arial"/>
          <w:sz w:val="17"/>
          <w:szCs w:val="17"/>
          <w:color w:val="auto"/>
        </w:rPr>
        <w:t>—The carrying amount of the revolving credit facility is considered a reasonable estimate of fair value due to its floating-rate terms.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fair values of the Company’s financial instruments where carrying values do not approximate fair value were as follows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ind w:left="740"/>
              <w:spacing w:after="0"/>
              <w:rPr>
                <w:sz w:val="20"/>
                <w:szCs w:val="20"/>
                <w:color w:val="auto"/>
              </w:rPr>
            </w:pPr>
            <w:r>
              <w:rPr>
                <w:rFonts w:ascii="Arial" w:cs="Arial" w:eastAsia="Arial" w:hAnsi="Arial"/>
                <w:sz w:val="14"/>
                <w:szCs w:val="14"/>
                <w:b w:val="1"/>
                <w:bCs w:val="1"/>
                <w:color w:val="auto"/>
              </w:rPr>
              <w:t>As of June 27,</w:t>
            </w:r>
          </w:p>
        </w:tc>
        <w:tc>
          <w:tcPr>
            <w:tcW w:w="120" w:type="dxa"/>
            <w:vAlign w:val="bottom"/>
          </w:tcPr>
          <w:p>
            <w:pPr>
              <w:spacing w:after="0"/>
              <w:rPr>
                <w:sz w:val="14"/>
                <w:szCs w:val="14"/>
                <w:color w:val="auto"/>
              </w:rPr>
            </w:pPr>
          </w:p>
        </w:tc>
        <w:tc>
          <w:tcPr>
            <w:tcW w:w="2460" w:type="dxa"/>
            <w:vAlign w:val="bottom"/>
            <w:gridSpan w:val="5"/>
          </w:tcPr>
          <w:p>
            <w:pPr>
              <w:jc w:val="right"/>
              <w:ind w:right="614"/>
              <w:spacing w:after="0"/>
              <w:rPr>
                <w:sz w:val="20"/>
                <w:szCs w:val="20"/>
                <w:color w:val="auto"/>
              </w:rPr>
            </w:pPr>
            <w:r>
              <w:rPr>
                <w:rFonts w:ascii="Arial" w:cs="Arial" w:eastAsia="Arial" w:hAnsi="Arial"/>
                <w:sz w:val="14"/>
                <w:szCs w:val="14"/>
                <w:b w:val="1"/>
                <w:bCs w:val="1"/>
                <w:color w:val="auto"/>
              </w:rPr>
              <w:t>As of December 27,</w:t>
            </w:r>
          </w:p>
        </w:tc>
      </w:tr>
      <w:tr>
        <w:trPr>
          <w:trHeight w:val="192"/>
        </w:trPr>
        <w:tc>
          <w:tcPr>
            <w:tcW w:w="6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2019</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2018</w:t>
            </w:r>
          </w:p>
        </w:tc>
        <w:tc>
          <w:tcPr>
            <w:tcW w:w="1080" w:type="dxa"/>
            <w:vAlign w:val="bottom"/>
            <w:tcBorders>
              <w:bottom w:val="single" w:sz="8" w:color="auto"/>
            </w:tcBorders>
          </w:tcPr>
          <w:p>
            <w:pPr>
              <w:spacing w:after="0"/>
              <w:rPr>
                <w:sz w:val="16"/>
                <w:szCs w:val="16"/>
                <w:color w:val="auto"/>
              </w:rPr>
            </w:pPr>
          </w:p>
        </w:tc>
      </w:tr>
      <w:tr>
        <w:trPr>
          <w:trHeight w:val="264"/>
        </w:trPr>
        <w:tc>
          <w:tcPr>
            <w:tcW w:w="6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Carrying Value</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7"/>
              </w:rPr>
              <w:t>Fair Value (1)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Carrying Value</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7"/>
              </w:rPr>
              <w:t xml:space="preserve">Fair Value </w:t>
            </w:r>
            <w:r>
              <w:rPr>
                <w:rFonts w:ascii="Arial" w:cs="Arial" w:eastAsia="Arial" w:hAnsi="Arial"/>
                <w:sz w:val="14"/>
                <w:szCs w:val="14"/>
                <w:b w:val="1"/>
                <w:bCs w:val="1"/>
                <w:i w:val="1"/>
                <w:iCs w:val="1"/>
                <w:color w:val="auto"/>
                <w:w w:val="97"/>
              </w:rPr>
              <w:t>(1)</w:t>
            </w: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261.2</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Notes due 2022</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405.0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401.8</w:t>
            </w:r>
          </w:p>
        </w:tc>
      </w:tr>
      <w:tr>
        <w:trPr>
          <w:trHeight w:val="27"/>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6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2026</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218.5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211.0</w:t>
            </w:r>
          </w:p>
        </w:tc>
      </w:tr>
      <w:tr>
        <w:trPr>
          <w:trHeight w:val="27"/>
        </w:trPr>
        <w:tc>
          <w:tcPr>
            <w:tcW w:w="6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3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w:t>
      </w:r>
    </w:p>
    <w:p>
      <w:pPr>
        <w:spacing w:after="0" w:line="6" w:lineRule="exact"/>
        <w:rPr>
          <w:sz w:val="20"/>
          <w:szCs w:val="20"/>
          <w:color w:val="auto"/>
        </w:rPr>
      </w:pPr>
    </w:p>
    <w:p>
      <w:pPr>
        <w:ind w:left="340" w:right="180" w:hanging="332"/>
        <w:spacing w:after="0" w:line="259" w:lineRule="auto"/>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If the Company were to measure the borrowings in the above table at fair value on the balance sheet they would be classified as Level 2 based upon the inputs utilized.</w:t>
      </w:r>
    </w:p>
    <w:p>
      <w:pPr>
        <w:spacing w:after="0" w:line="131" w:lineRule="exact"/>
        <w:rPr>
          <w:sz w:val="20"/>
          <w:szCs w:val="20"/>
          <w:color w:val="auto"/>
        </w:rPr>
      </w:pPr>
    </w:p>
    <w:p>
      <w:pPr>
        <w:ind w:right="60" w:firstLine="540"/>
        <w:spacing w:after="0" w:line="277" w:lineRule="auto"/>
        <w:rPr>
          <w:sz w:val="20"/>
          <w:szCs w:val="20"/>
          <w:color w:val="auto"/>
        </w:rPr>
      </w:pPr>
      <w:r>
        <w:rPr>
          <w:rFonts w:ascii="Arial" w:cs="Arial" w:eastAsia="Arial" w:hAnsi="Arial"/>
          <w:sz w:val="18"/>
          <w:szCs w:val="18"/>
          <w:b w:val="1"/>
          <w:bCs w:val="1"/>
          <w:i w:val="1"/>
          <w:iCs w:val="1"/>
          <w:color w:val="auto"/>
        </w:rPr>
        <w:t>Recurring Measurements</w:t>
      </w:r>
      <w:r>
        <w:rPr>
          <w:rFonts w:ascii="Arial" w:cs="Arial" w:eastAsia="Arial" w:hAnsi="Arial"/>
          <w:sz w:val="18"/>
          <w:szCs w:val="18"/>
          <w:color w:val="auto"/>
        </w:rPr>
        <w:t>—The fair values of the Company’s assets and liabilities measured on a recurring basis pursuant to ASC 820-10,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are as follows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6"/>
          </w:tcPr>
          <w:p>
            <w:pPr>
              <w:jc w:val="right"/>
              <w:ind w:right="441"/>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Fair Value as of</w:t>
            </w:r>
          </w:p>
        </w:tc>
        <w:tc>
          <w:tcPr>
            <w:tcW w:w="200" w:type="dxa"/>
            <w:vAlign w:val="bottom"/>
          </w:tcPr>
          <w:p>
            <w:pPr>
              <w:spacing w:after="0"/>
              <w:rPr>
                <w:sz w:val="13"/>
                <w:szCs w:val="13"/>
                <w:color w:val="auto"/>
              </w:rPr>
            </w:pPr>
          </w:p>
        </w:tc>
        <w:tc>
          <w:tcPr>
            <w:tcW w:w="16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Significant Other</w:t>
            </w:r>
          </w:p>
        </w:tc>
        <w:tc>
          <w:tcPr>
            <w:tcW w:w="1140" w:type="dxa"/>
            <w:vAlign w:val="bottom"/>
            <w:vMerge w:val="restart"/>
          </w:tcPr>
          <w:p>
            <w:pPr>
              <w:jc w:val="center"/>
              <w:ind w:left="281"/>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1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June 27,</w:t>
            </w: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1140" w:type="dxa"/>
            <w:vAlign w:val="bottom"/>
          </w:tcPr>
          <w:p>
            <w:pPr>
              <w:jc w:val="center"/>
              <w:ind w:left="281"/>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8"/>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2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9"/>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140" w:type="dxa"/>
            <w:vAlign w:val="bottom"/>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200" w:type="dxa"/>
            <w:vAlign w:val="bottom"/>
          </w:tcPr>
          <w:p>
            <w:pPr>
              <w:spacing w:after="0"/>
              <w:rPr>
                <w:sz w:val="21"/>
                <w:szCs w:val="21"/>
                <w:color w:val="auto"/>
              </w:rPr>
            </w:pPr>
          </w:p>
        </w:tc>
        <w:tc>
          <w:tcPr>
            <w:tcW w:w="1320" w:type="dxa"/>
            <w:vAlign w:val="bottom"/>
          </w:tcPr>
          <w:p>
            <w:pPr>
              <w:jc w:val="right"/>
              <w:ind w:right="38"/>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53.2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6"/>
          </w:tcPr>
          <w:p>
            <w:pPr>
              <w:jc w:val="right"/>
              <w:ind w:right="441"/>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Fair Value as of</w:t>
            </w:r>
          </w:p>
        </w:tc>
        <w:tc>
          <w:tcPr>
            <w:tcW w:w="200" w:type="dxa"/>
            <w:vAlign w:val="bottom"/>
          </w:tcPr>
          <w:p>
            <w:pPr>
              <w:spacing w:after="0"/>
              <w:rPr>
                <w:sz w:val="13"/>
                <w:szCs w:val="13"/>
                <w:color w:val="auto"/>
              </w:rPr>
            </w:pPr>
          </w:p>
        </w:tc>
        <w:tc>
          <w:tcPr>
            <w:tcW w:w="16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Significant Other</w:t>
            </w:r>
          </w:p>
        </w:tc>
        <w:tc>
          <w:tcPr>
            <w:tcW w:w="1140" w:type="dxa"/>
            <w:vAlign w:val="bottom"/>
            <w:vMerge w:val="restart"/>
          </w:tcPr>
          <w:p>
            <w:pPr>
              <w:jc w:val="center"/>
              <w:ind w:left="281"/>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1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December 27,</w:t>
            </w: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1140" w:type="dxa"/>
            <w:vAlign w:val="bottom"/>
          </w:tcPr>
          <w:p>
            <w:pPr>
              <w:jc w:val="center"/>
              <w:ind w:left="281"/>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8"/>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2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9"/>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140" w:type="dxa"/>
            <w:vAlign w:val="bottom"/>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200" w:type="dxa"/>
            <w:vAlign w:val="bottom"/>
          </w:tcPr>
          <w:p>
            <w:pPr>
              <w:spacing w:after="0"/>
              <w:rPr>
                <w:sz w:val="21"/>
                <w:szCs w:val="21"/>
                <w:color w:val="auto"/>
              </w:rPr>
            </w:pPr>
          </w:p>
        </w:tc>
        <w:tc>
          <w:tcPr>
            <w:tcW w:w="1320" w:type="dxa"/>
            <w:vAlign w:val="bottom"/>
          </w:tcPr>
          <w:p>
            <w:pPr>
              <w:jc w:val="right"/>
              <w:ind w:right="38"/>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340"/>
              <w:spacing w:after="0"/>
              <w:rPr>
                <w:sz w:val="20"/>
                <w:szCs w:val="20"/>
                <w:color w:val="auto"/>
              </w:rPr>
            </w:pPr>
            <w:r>
              <w:rPr>
                <w:rFonts w:ascii="Arial" w:cs="Arial" w:eastAsia="Arial" w:hAnsi="Arial"/>
                <w:sz w:val="18"/>
                <w:szCs w:val="18"/>
                <w:color w:val="auto"/>
              </w:rPr>
              <w:t>___________________________________________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620" w:right="180" w:hanging="315"/>
        <w:spacing w:after="0" w:line="250" w:lineRule="auto"/>
        <w:tabs>
          <w:tab w:leader="none" w:pos="6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—The Company’s cash equivalents are carried at estimated fair value. Cash equivalents consist of money market accounts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classified as Level 1 given the active market for these accounts and commercial paper with original maturities of three months or less, which are classified as Level 2 and are valued as described below.</w:t>
      </w:r>
    </w:p>
    <w:p>
      <w:pPr>
        <w:spacing w:after="0" w:line="1" w:lineRule="exact"/>
        <w:rPr>
          <w:rFonts w:ascii="Arial" w:cs="Arial" w:eastAsia="Arial" w:hAnsi="Arial"/>
          <w:sz w:val="18"/>
          <w:szCs w:val="18"/>
          <w:i w:val="1"/>
          <w:iCs w:val="1"/>
          <w:color w:val="auto"/>
        </w:rPr>
      </w:pPr>
    </w:p>
    <w:p>
      <w:pPr>
        <w:ind w:left="620" w:hanging="315"/>
        <w:spacing w:after="0" w:line="295" w:lineRule="auto"/>
        <w:tabs>
          <w:tab w:leader="none" w:pos="62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Short-Term and Long-Term Marketable Securities</w:t>
      </w:r>
      <w:r>
        <w:rPr>
          <w:rFonts w:ascii="Arial" w:cs="Arial" w:eastAsia="Arial" w:hAnsi="Arial"/>
          <w:sz w:val="16"/>
          <w:szCs w:val="16"/>
          <w:color w:val="auto"/>
        </w:rPr>
        <w:t>—The carrying amount and fair value of the marketable securities are equivalent since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accounts for these instruments at fair value. The Company’s government agency bonds, commercial paper and certificates of deposit are valued using third party broker quotes. The value of the Company’s government agency bonds is derived from quoted market information. The inputs in the valuation are classified as Level 1 if there is an active market for these securities; however, if an active market does not exist, the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jc w:val="center"/>
        <w:ind w:left="260" w:right="274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34" w:lineRule="exact"/>
        <w:rPr>
          <w:sz w:val="20"/>
          <w:szCs w:val="20"/>
          <w:color w:val="auto"/>
        </w:rPr>
      </w:pPr>
    </w:p>
    <w:p>
      <w:pPr>
        <w:ind w:left="620"/>
        <w:spacing w:after="0" w:line="300" w:lineRule="auto"/>
        <w:rPr>
          <w:sz w:val="20"/>
          <w:szCs w:val="20"/>
          <w:color w:val="auto"/>
        </w:rPr>
      </w:pPr>
      <w:r>
        <w:rPr>
          <w:rFonts w:ascii="Arial" w:cs="Arial" w:eastAsia="Arial" w:hAnsi="Arial"/>
          <w:sz w:val="18"/>
          <w:szCs w:val="18"/>
          <w:color w:val="auto"/>
        </w:rPr>
        <w:t>inputs are recorded at a lower level in the fair value hierarchy. The value of commercial paper and certificates of deposit is derived from pricing models using inputs based upon market information, including contractual terms, market prices and yield curves. The inputs to the valuation pricing models are observable in the market, and as such are generally classified as Level 2 in the fair value hierarchy. For the three and six months ended June 27, 2019 and June 28, 2018, there was an inconsequential amount of net realized gains (losses) recognized in interest income and an inconsequential amount of net unrealized holding gains (losses) included in interest income. Original cost of short-term marketable securities is based on the specific identification method. As of June 27, 2019 and December 27, 2018, there was an inconsequential amount and $0.2 million, respectively, of gross unrealized losses related to individual securities of $9.9 million and $11.8 million, respectively, that had been in a continuous loss position for 12 months or longer. The Company has not recorded an impairment because it has the intention and ability to hold these securities to maturity.</w:t>
      </w:r>
    </w:p>
    <w:p>
      <w:pPr>
        <w:spacing w:after="0" w:line="116" w:lineRule="exact"/>
        <w:rPr>
          <w:sz w:val="20"/>
          <w:szCs w:val="20"/>
          <w:color w:val="auto"/>
        </w:rPr>
      </w:pPr>
    </w:p>
    <w:p>
      <w:pPr>
        <w:ind w:right="280" w:firstLine="540"/>
        <w:spacing w:after="0" w:line="277" w:lineRule="auto"/>
        <w:rPr>
          <w:sz w:val="20"/>
          <w:szCs w:val="20"/>
          <w:color w:val="auto"/>
        </w:rPr>
      </w:pPr>
      <w:r>
        <w:rPr>
          <w:rFonts w:ascii="Arial" w:cs="Arial" w:eastAsia="Arial" w:hAnsi="Arial"/>
          <w:sz w:val="18"/>
          <w:szCs w:val="18"/>
          <w:color w:val="auto"/>
        </w:rPr>
        <w:t>The amortized cost basis, aggregate fair value and maturities of the marketable securities the Company held as of June 27, 2019 and December 27, 2018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As of June 27, 2019</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94"/>
              </w:rPr>
              <w:t>Amortized Cost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Aggregate Fair</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 xml:space="preserve">Maturities </w:t>
            </w:r>
            <w:r>
              <w:rPr>
                <w:rFonts w:ascii="Arial" w:cs="Arial" w:eastAsia="Arial" w:hAnsi="Arial"/>
                <w:sz w:val="14"/>
                <w:szCs w:val="14"/>
                <w:b w:val="1"/>
                <w:bCs w:val="1"/>
                <w:i w:val="1"/>
                <w:iCs w:val="1"/>
                <w:color w:val="auto"/>
                <w:w w:val="96"/>
              </w:rPr>
              <w:t>(1)</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85"/>
              </w:rPr>
              <w:t>Basis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Value</w:t>
            </w: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114"/>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0"/>
        </w:trPr>
        <w:tc>
          <w:tcPr>
            <w:tcW w:w="6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Short-term U.S. government treasury bonds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U.S. government agency bonds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Short-term commercial paper:</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jc w:val="center"/>
              <w:ind w:right="5110"/>
              <w:spacing w:after="0"/>
              <w:rPr>
                <w:sz w:val="20"/>
                <w:szCs w:val="20"/>
                <w:color w:val="auto"/>
              </w:rPr>
            </w:pPr>
            <w:r>
              <w:rPr>
                <w:rFonts w:ascii="Arial" w:cs="Arial" w:eastAsia="Arial" w:hAnsi="Arial"/>
                <w:sz w:val="18"/>
                <w:szCs w:val="18"/>
                <w:color w:val="auto"/>
              </w:rPr>
              <w:t>Utility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Short-term municipal bonds</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certificates of deposit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6660" w:type="dxa"/>
            <w:vAlign w:val="bottom"/>
          </w:tcPr>
          <w:p>
            <w:pPr>
              <w:ind w:left="720"/>
              <w:spacing w:after="0"/>
              <w:rPr>
                <w:sz w:val="20"/>
                <w:szCs w:val="20"/>
                <w:color w:val="auto"/>
              </w:rPr>
            </w:pPr>
            <w:r>
              <w:rPr>
                <w:rFonts w:ascii="Arial" w:cs="Arial" w:eastAsia="Arial" w:hAnsi="Arial"/>
                <w:sz w:val="18"/>
                <w:szCs w:val="18"/>
                <w:color w:val="auto"/>
              </w:rPr>
              <w:t>Total short-term marketable securities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Long-term municipal bonds</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U.S. government agency bonds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Long-term certificates of deposit</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long-term marketable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60" w:type="dxa"/>
            <w:vAlign w:val="bottom"/>
          </w:tcPr>
          <w:p>
            <w:pPr>
              <w:ind w:left="1040"/>
              <w:spacing w:after="0"/>
              <w:rPr>
                <w:sz w:val="20"/>
                <w:szCs w:val="20"/>
                <w:color w:val="auto"/>
              </w:rPr>
            </w:pPr>
            <w:r>
              <w:rPr>
                <w:rFonts w:ascii="Arial" w:cs="Arial" w:eastAsia="Arial" w:hAnsi="Arial"/>
                <w:sz w:val="18"/>
                <w:szCs w:val="18"/>
                <w:color w:val="auto"/>
              </w:rPr>
              <w:t>Total marketable securities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6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December 27, 2018</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94"/>
              </w:rPr>
              <w:t>Amortized Cost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Aggregate Fair</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 xml:space="preserve">Maturities </w:t>
            </w:r>
            <w:r>
              <w:rPr>
                <w:rFonts w:ascii="Arial" w:cs="Arial" w:eastAsia="Arial" w:hAnsi="Arial"/>
                <w:sz w:val="14"/>
                <w:szCs w:val="14"/>
                <w:b w:val="1"/>
                <w:bCs w:val="1"/>
                <w:i w:val="1"/>
                <w:iCs w:val="1"/>
                <w:color w:val="auto"/>
                <w:w w:val="96"/>
              </w:rPr>
              <w:t>(1)</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85"/>
              </w:rPr>
              <w:t>Basis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Value</w:t>
            </w: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114"/>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0"/>
        </w:trPr>
        <w:tc>
          <w:tcPr>
            <w:tcW w:w="6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Short-term U.S. government agency bonds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U.S. government treasury bonds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Short-term certificates of deposit</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municipal bonds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Short-term commercial paper:</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jc w:val="center"/>
              <w:ind w:right="5130"/>
              <w:spacing w:after="0"/>
              <w:rPr>
                <w:sz w:val="20"/>
                <w:szCs w:val="20"/>
                <w:color w:val="auto"/>
              </w:rPr>
            </w:pPr>
            <w:r>
              <w:rPr>
                <w:rFonts w:ascii="Arial" w:cs="Arial" w:eastAsia="Arial" w:hAnsi="Arial"/>
                <w:sz w:val="18"/>
                <w:szCs w:val="18"/>
                <w:color w:val="auto"/>
                <w:w w:val="94"/>
              </w:rPr>
              <w:t>Financial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6660" w:type="dxa"/>
            <w:vAlign w:val="bottom"/>
          </w:tcPr>
          <w:p>
            <w:pPr>
              <w:jc w:val="center"/>
              <w:ind w:right="5110"/>
              <w:spacing w:after="0"/>
              <w:rPr>
                <w:sz w:val="20"/>
                <w:szCs w:val="20"/>
                <w:color w:val="auto"/>
              </w:rPr>
            </w:pPr>
            <w:r>
              <w:rPr>
                <w:rFonts w:ascii="Arial" w:cs="Arial" w:eastAsia="Arial" w:hAnsi="Arial"/>
                <w:sz w:val="18"/>
                <w:szCs w:val="18"/>
                <w:color w:val="auto"/>
                <w:w w:val="95"/>
              </w:rPr>
              <w:t>Industrial</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short-term 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municipal bonds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Long-term U.S. government agency bonds</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certificates of deposit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6660" w:type="dxa"/>
            <w:vAlign w:val="bottom"/>
          </w:tcPr>
          <w:p>
            <w:pPr>
              <w:ind w:left="720"/>
              <w:spacing w:after="0"/>
              <w:rPr>
                <w:sz w:val="20"/>
                <w:szCs w:val="20"/>
                <w:color w:val="auto"/>
              </w:rPr>
            </w:pPr>
            <w:r>
              <w:rPr>
                <w:rFonts w:ascii="Arial" w:cs="Arial" w:eastAsia="Arial" w:hAnsi="Arial"/>
                <w:sz w:val="18"/>
                <w:szCs w:val="18"/>
                <w:color w:val="auto"/>
              </w:rPr>
              <w:t>Total long-term marketable securities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marketable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121" w:right="259" w:bottom="1440" w:gutter="0" w:footer="0" w:header="0"/>
          <w:type w:val="continuous"/>
        </w:sectPr>
      </w:pPr>
    </w:p>
    <w:bookmarkStart w:id="22" w:name="page23"/>
    <w:bookmarkEnd w:id="22"/>
    <w:p>
      <w:pPr>
        <w:jc w:val="center"/>
        <w:ind w:left="260" w:right="274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___________________________________</w:t>
      </w:r>
    </w:p>
    <w:p>
      <w:pPr>
        <w:spacing w:after="0" w:line="23" w:lineRule="exact"/>
        <w:rPr>
          <w:sz w:val="20"/>
          <w:szCs w:val="20"/>
          <w:color w:val="auto"/>
        </w:rPr>
      </w:pPr>
    </w:p>
    <w:p>
      <w:pPr>
        <w:ind w:left="1120" w:right="120" w:hanging="315"/>
        <w:spacing w:after="0" w:line="261" w:lineRule="auto"/>
        <w:tabs>
          <w:tab w:leader="none" w:pos="1120" w:val="left"/>
        </w:tabs>
        <w:numPr>
          <w:ilvl w:val="1"/>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Maturities</w:t>
      </w:r>
      <w:r>
        <w:rPr>
          <w:rFonts w:ascii="Arial" w:cs="Arial" w:eastAsia="Arial" w:hAnsi="Arial"/>
          <w:sz w:val="18"/>
          <w:szCs w:val="18"/>
          <w:color w:val="auto"/>
        </w:rPr>
        <w:t>—Securities available for sale include obligations with various contractual maturity dates some of which are greater than one year.</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considers the securities to be liquid and convertible to cash within 30 days.</w:t>
      </w:r>
    </w:p>
    <w:p>
      <w:pPr>
        <w:spacing w:after="0" w:line="233" w:lineRule="exact"/>
        <w:rPr>
          <w:rFonts w:ascii="Arial" w:cs="Arial" w:eastAsia="Arial" w:hAnsi="Arial"/>
          <w:sz w:val="18"/>
          <w:szCs w:val="18"/>
          <w:i w:val="1"/>
          <w:iCs w:val="1"/>
          <w:color w:val="auto"/>
        </w:rPr>
      </w:pPr>
    </w:p>
    <w:p>
      <w:pPr>
        <w:ind w:left="860" w:hanging="312"/>
        <w:spacing w:after="0"/>
        <w:tabs>
          <w:tab w:leader="none" w:pos="8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appointed Thomas F. Lesinski as Chief Executive Officer ("CEO") of the Company effective as of August 2, 2019. In connection with his appointment as CEO, Mr. Lesinski resigned from the Company's Board of Directors as Chairman, member of the Audit Committee and as the independent director designated by Cinemark. The Board of Directors subsequently appointed Mr. Lesinski as a member of the Board of Directors in his role as CEO. The Board of Directors also appointed Mark B. Segall to serve as Chairman of the Board of Directors.</w:t>
      </w:r>
    </w:p>
    <w:p>
      <w:pPr>
        <w:spacing w:after="0" w:line="63" w:lineRule="exact"/>
        <w:rPr>
          <w:sz w:val="20"/>
          <w:szCs w:val="20"/>
          <w:color w:val="auto"/>
        </w:rPr>
      </w:pPr>
    </w:p>
    <w:p>
      <w:pPr>
        <w:jc w:val="both"/>
        <w:ind w:right="20" w:firstLine="540"/>
        <w:spacing w:after="0" w:line="264" w:lineRule="auto"/>
        <w:rPr>
          <w:sz w:val="20"/>
          <w:szCs w:val="20"/>
          <w:color w:val="auto"/>
        </w:rPr>
      </w:pPr>
      <w:r>
        <w:rPr>
          <w:rFonts w:ascii="Arial" w:cs="Arial" w:eastAsia="Arial" w:hAnsi="Arial"/>
          <w:sz w:val="18"/>
          <w:szCs w:val="18"/>
          <w:color w:val="auto"/>
        </w:rPr>
        <w:t>On August 5, 2019, the Company declared a cash dividend of $0.17 per share (approximately $13.1 million) on each share of the Company’s common stock (not including outstanding restricted stock which will accrue dividends until the shares vest) to stockholders of record on August 15, 2019 to be paid on August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Some of the information in this Quarterly Report on Form 10-Q includes “forward-looking statements” within the meaning of Section 27A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Securities Act of 1933, as amended, and Section 21E of the Securities Exchange Act of 1934 (the “Exchange Act”), as amended. All statements other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statements of historical facts included in this Form 10-Q, including, without limitation, certain statements under “Management’s Discussion and Analysis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Condition and Results of Operations,” may constitute forward-looking statements. In some cases, you can identify these “forward-looking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statements” by the specific words, including but not limited to “may,” “should,” “expects,” “plans,” “anticipates,” “believes,” “estimates,” “predicts,”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or “continue” or the negative of those words and other comparable words. These forward-looking statements involve risks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uncertainties. Our actual results could differ materially from those indicated in these statements as a result of certain factors as more fully discussed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heading “Risk Factors” contained below and in our annual report on Form 10-K for the Company’s fiscal year ended December 27, 2018. Investors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cautioned not to place undue reliance on any such forward-looking statements, which speak only as of the date they are made. We undertake no obligation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update any forward-looking statement, whether as a result of new information, future events or otherwise, except as required by law. The following discussion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and analysis should be read in conjunction with the unaudited Condensed Consolidated Financial Statements and notes thereto included herein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audited financial statements and other disclosure included in our annual report on Form 10-K for the Company’s fiscal year ended December 27, 2018.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following discussion and analysis, the term net income refers to net income attributable to NCM, Inc.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540"/>
        <w:spacing w:after="0" w:line="268" w:lineRule="auto"/>
        <w:rPr>
          <w:sz w:val="20"/>
          <w:szCs w:val="20"/>
          <w:color w:val="auto"/>
        </w:rPr>
      </w:pPr>
      <w:r>
        <w:rPr>
          <w:rFonts w:ascii="Arial" w:cs="Arial" w:eastAsia="Arial" w:hAnsi="Arial"/>
          <w:sz w:val="17"/>
          <w:szCs w:val="17"/>
          <w:color w:val="auto"/>
        </w:rPr>
        <w:t xml:space="preserve">We are America's Movie Network. As the #1 weekend network for Millennials (age 18-34) in the U.S., we are the connector between brands and movie audiences. We currently derive revenue principally from the sale of advertising to national, regional and local businesses in </w:t>
      </w:r>
      <w:r>
        <w:rPr>
          <w:rFonts w:ascii="Arial" w:cs="Arial" w:eastAsia="Arial" w:hAnsi="Arial"/>
          <w:sz w:val="17"/>
          <w:szCs w:val="17"/>
          <w:i w:val="1"/>
          <w:iCs w:val="1"/>
          <w:color w:val="auto"/>
        </w:rPr>
        <w:t>Noovie</w:t>
      </w:r>
      <w:r>
        <w:rPr>
          <w:rFonts w:ascii="Arial" w:cs="Arial" w:eastAsia="Arial" w:hAnsi="Arial"/>
          <w:sz w:val="17"/>
          <w:szCs w:val="17"/>
          <w:color w:val="auto"/>
        </w:rPr>
        <w:t xml:space="preserve">, our cinema advertising and entertainment pre-show seen on movie screens across the U.S. We also sell advertising on our LEN, a series of strategically-placed screens located in movie theater lobbies, as well as other forms of advertising and promotions in theater lobbies. In addition, we sell online and mobile advertising through our </w:t>
      </w:r>
      <w:r>
        <w:rPr>
          <w:rFonts w:ascii="Arial" w:cs="Arial" w:eastAsia="Arial" w:hAnsi="Arial"/>
          <w:sz w:val="17"/>
          <w:szCs w:val="17"/>
          <w:i w:val="1"/>
          <w:iCs w:val="1"/>
          <w:color w:val="auto"/>
        </w:rPr>
        <w:t>Cinema Accelerator</w:t>
      </w:r>
      <w:r>
        <w:rPr>
          <w:rFonts w:ascii="Arial" w:cs="Arial" w:eastAsia="Arial" w:hAnsi="Arial"/>
          <w:sz w:val="17"/>
          <w:szCs w:val="17"/>
          <w:color w:val="auto"/>
        </w:rPr>
        <w:t xml:space="preserve"> and our other digital gaming products including </w:t>
      </w:r>
      <w:r>
        <w:rPr>
          <w:rFonts w:ascii="Arial" w:cs="Arial" w:eastAsia="Arial" w:hAnsi="Arial"/>
          <w:sz w:val="17"/>
          <w:szCs w:val="17"/>
          <w:i w:val="1"/>
          <w:iCs w:val="1"/>
          <w:color w:val="auto"/>
        </w:rPr>
        <w:t>Noovie ARcade, Fantasy Movie League</w:t>
      </w:r>
      <w:r>
        <w:rPr>
          <w:rFonts w:ascii="Arial" w:cs="Arial" w:eastAsia="Arial" w:hAnsi="Arial"/>
          <w:sz w:val="17"/>
          <w:szCs w:val="17"/>
          <w:color w:val="auto"/>
        </w:rPr>
        <w:t xml:space="preserve"> and </w:t>
      </w:r>
      <w:r>
        <w:rPr>
          <w:rFonts w:ascii="Arial" w:cs="Arial" w:eastAsia="Arial" w:hAnsi="Arial"/>
          <w:sz w:val="17"/>
          <w:szCs w:val="17"/>
          <w:i w:val="1"/>
          <w:iCs w:val="1"/>
          <w:color w:val="auto"/>
        </w:rPr>
        <w:t>Noovie Shuffle</w:t>
      </w:r>
      <w:r>
        <w:rPr>
          <w:rFonts w:ascii="Arial" w:cs="Arial" w:eastAsia="Arial" w:hAnsi="Arial"/>
          <w:sz w:val="17"/>
          <w:szCs w:val="17"/>
          <w:color w:val="auto"/>
        </w:rPr>
        <w:t xml:space="preserve"> which can be played on the mobile apps or at </w:t>
      </w:r>
      <w:r>
        <w:rPr>
          <w:rFonts w:ascii="Arial" w:cs="Arial" w:eastAsia="Arial" w:hAnsi="Arial"/>
          <w:sz w:val="17"/>
          <w:szCs w:val="17"/>
          <w:i w:val="1"/>
          <w:iCs w:val="1"/>
          <w:color w:val="auto"/>
        </w:rPr>
        <w:t>Noovie.com</w:t>
      </w:r>
      <w:r>
        <w:rPr>
          <w:rFonts w:ascii="Arial" w:cs="Arial" w:eastAsia="Arial" w:hAnsi="Arial"/>
          <w:sz w:val="17"/>
          <w:szCs w:val="17"/>
          <w:color w:val="auto"/>
        </w:rPr>
        <w:t xml:space="preserve">. As of June 27, 2019, over 3.0 million movie goers have downloaded our mobile apps. We have long-term ESAs (approximately 18 years remaining as of June 27, 2019) with the founding members and multi-year agreements with our network affiliates, which expire at various dates between September 2019 and July 2031. The weighted average remaining term (based on attendance) of the ESAs and the network affiliate agreements is 15.5 years as of June 27, 2019. The ESAs and network affiliate agreements grant NCM LLC exclusive rights in their theaters to sell advertising, subject to limited exceptions.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and LEN programming are distributed predominantly via satellite through our proprietary DCN. Approximately 98% of the aggregate founding member and network affiliate theater attendance is generated by theaters connected to our DCN (the remaining screens receive advertisements on USB drives) and 100%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is projected on digital projectors (95% digital cinema projectors and 5% LCD projectors) as of June 27, 2019.</w:t>
      </w:r>
    </w:p>
    <w:p>
      <w:pPr>
        <w:spacing w:after="0" w:line="134" w:lineRule="exact"/>
        <w:rPr>
          <w:sz w:val="20"/>
          <w:szCs w:val="20"/>
          <w:color w:val="auto"/>
        </w:rPr>
      </w:pPr>
    </w:p>
    <w:p>
      <w:pPr>
        <w:ind w:right="40" w:firstLine="540"/>
        <w:spacing w:after="0" w:line="287" w:lineRule="auto"/>
        <w:rPr>
          <w:sz w:val="20"/>
          <w:szCs w:val="20"/>
          <w:color w:val="auto"/>
        </w:rPr>
      </w:pPr>
      <w:r>
        <w:rPr>
          <w:rFonts w:ascii="Arial" w:cs="Arial" w:eastAsia="Arial" w:hAnsi="Arial"/>
          <w:sz w:val="16"/>
          <w:szCs w:val="16"/>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meetings at least once per quarter with members of management to discuss and analyze operating results and address significant variances to budget and prior year in an effort to identify trends and changes in our business. We focus on operating metrics including changes in revenue, Adjusted OIBDA and Adjusted OIBDA margin, as defined and discussed below, as some of our primary measurement metrics. In addition, we monitor our monthly advertising performance measurements, including advertising inventory utilization, national and regional advertising pricing (CPM), local advertising rate per screen per week, national and local and regional and total advertising revenue per attendee. We also monitor free cash flow, the dividend coverage ratio, financial leverage ratio (net debt divided by Adjusted OIBDA plus integration payments and other encumbered theater payments), cash balances and revolving credit facility availability to ensure financial debt covenant compliance and that there is adequate cash availability to fund our working capital needs and debt obligations and current and future dividends declared by our Board of Directors. Financial results, including the metrics outlined above, are presented to the Board of Directors on a monthly basis.</w:t>
      </w:r>
    </w:p>
    <w:p>
      <w:pPr>
        <w:spacing w:after="0" w:line="119" w:lineRule="exact"/>
        <w:rPr>
          <w:sz w:val="20"/>
          <w:szCs w:val="20"/>
          <w:color w:val="auto"/>
        </w:rPr>
      </w:pPr>
    </w:p>
    <w:p>
      <w:pPr>
        <w:ind w:right="640" w:firstLine="540"/>
        <w:spacing w:after="0" w:line="308" w:lineRule="auto"/>
        <w:rPr>
          <w:sz w:val="20"/>
          <w:szCs w:val="20"/>
          <w:color w:val="auto"/>
        </w:rPr>
      </w:pPr>
      <w:r>
        <w:rPr>
          <w:rFonts w:ascii="Arial" w:cs="Arial" w:eastAsia="Arial" w:hAnsi="Arial"/>
          <w:sz w:val="17"/>
          <w:szCs w:val="17"/>
          <w:color w:val="auto"/>
        </w:rPr>
        <w:t>Our operating results may be affected by a variety of internal and external factors and trends described more fully in the section entitled “Risk Factors” below and in our Form 10-K filed with the SEC on February 22, 2019 for our fiscal year ended December 27, 2018.</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4" w:right="239" w:bottom="1440" w:gutter="0" w:footer="0" w:header="0"/>
        </w:sectPr>
      </w:pPr>
    </w:p>
    <w:bookmarkStart w:id="24" w:name="page25"/>
    <w:bookmarkEnd w:id="24"/>
    <w:p>
      <w:pPr>
        <w:ind w:right="420" w:firstLine="540"/>
        <w:spacing w:after="0" w:line="277" w:lineRule="auto"/>
        <w:rPr>
          <w:sz w:val="20"/>
          <w:szCs w:val="20"/>
          <w:color w:val="auto"/>
        </w:rPr>
      </w:pPr>
      <w:r>
        <w:rPr>
          <w:rFonts w:ascii="Arial" w:cs="Arial" w:eastAsia="Arial" w:hAnsi="Arial"/>
          <w:sz w:val="18"/>
          <w:szCs w:val="18"/>
          <w:color w:val="auto"/>
        </w:rPr>
        <w:t>You should read this information with the other information contained in this document, and our unaudited historical financial statements and the notes thereto included elsewhere in this document.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Our Operating Data</w:t>
      </w:r>
      <w:r>
        <w:rPr>
          <w:rFonts w:ascii="Arial" w:cs="Arial" w:eastAsia="Arial" w:hAnsi="Arial"/>
          <w:sz w:val="18"/>
          <w:szCs w:val="18"/>
          <w:color w:val="auto"/>
        </w:rPr>
        <w:t>—The following table presents operating data and Adjusted OIBDA (dollars in millions, except share and margin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tcBorders>
              <w:bottom w:val="single" w:sz="8" w:color="auto"/>
            </w:tcBorders>
            <w:gridSpan w:val="3"/>
          </w:tcPr>
          <w:p>
            <w:pPr>
              <w:jc w:val="right"/>
              <w:ind w:right="85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Q2 2019</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Q2 2018</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YTD 2019</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YTD 2018</w:t>
            </w:r>
          </w:p>
        </w:tc>
        <w:tc>
          <w:tcPr>
            <w:tcW w:w="10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Q2 2019 to Q2</w:t>
            </w:r>
          </w:p>
        </w:tc>
        <w:tc>
          <w:tcPr>
            <w:tcW w:w="12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YTD 2019 to YTD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193.9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Advertising</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89.2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tcPr>
          <w:p>
            <w:pPr>
              <w:ind w:left="260"/>
              <w:spacing w:after="0"/>
              <w:rPr>
                <w:sz w:val="20"/>
                <w:szCs w:val="20"/>
                <w:color w:val="auto"/>
              </w:rPr>
            </w:pPr>
            <w:r>
              <w:rPr>
                <w:rFonts w:ascii="Arial" w:cs="Arial" w:eastAsia="Arial" w:hAnsi="Arial"/>
                <w:sz w:val="18"/>
                <w:szCs w:val="18"/>
                <w:color w:val="auto"/>
                <w:w w:val="93"/>
              </w:rPr>
              <w:t>Network, administrative and unallocated costs</w:t>
            </w:r>
          </w:p>
        </w:tc>
        <w:tc>
          <w:tcPr>
            <w:tcW w:w="22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53.5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142.7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51.2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17.0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7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Net income attributable to NCM, Inc.</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2.3</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111.9 %</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15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Net income per NCM, Inc. basic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0.03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120.0 %</w:t>
            </w:r>
          </w:p>
        </w:tc>
        <w:tc>
          <w:tcPr>
            <w:tcW w:w="100" w:type="dxa"/>
            <w:vAlign w:val="bottom"/>
          </w:tcPr>
          <w:p>
            <w:pPr>
              <w:spacing w:after="0"/>
              <w:rPr>
                <w:sz w:val="21"/>
                <w:szCs w:val="21"/>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NCM, Inc. diluted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0.03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120.0 %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OIBDA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75.6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Adjusted OIBDA margin</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371.1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Not Meaningful</w:t>
      </w:r>
    </w:p>
    <w:p>
      <w:pPr>
        <w:spacing w:after="0" w:line="63" w:lineRule="exact"/>
        <w:rPr>
          <w:sz w:val="20"/>
          <w:szCs w:val="20"/>
          <w:color w:val="auto"/>
        </w:rPr>
      </w:pPr>
    </w:p>
    <w:p>
      <w:pPr>
        <w:ind w:left="340" w:right="60" w:hanging="332"/>
        <w:spacing w:after="0" w:line="264" w:lineRule="auto"/>
        <w:tabs>
          <w:tab w:leader="none" w:pos="34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our advertising network, excluding screens and attendance associated with certain AMC Carmike, AMC Rave and Cinemark Rave theaters that are currently part of another cinema advertising network for all periods presented. Refer to Note 4 to the unaudited Condensed Consolidated Financial Statements included elsewhere in this document.</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ind w:firstLine="540"/>
        <w:spacing w:after="0" w:line="267" w:lineRule="auto"/>
        <w:rPr>
          <w:sz w:val="20"/>
          <w:szCs w:val="20"/>
          <w:color w:val="auto"/>
        </w:rPr>
      </w:pPr>
      <w:r>
        <w:rPr>
          <w:rFonts w:ascii="Arial" w:cs="Arial" w:eastAsia="Arial" w:hAnsi="Arial"/>
          <w:sz w:val="17"/>
          <w:szCs w:val="17"/>
          <w:color w:val="auto"/>
        </w:rPr>
        <w:t>Adjusted Operating Income Before Depreciation and Amortization (“Adjusted OIBDA”) and Adjusted OIBDA margin are not financial measures calculated in accordance with GAAP in the United States. Adjusted OIBDA represents operating income before depreciation and amortization expense adjusted to also exclude amortization of intangibles recorded for network theater screen leases, non-cash share-based compensation costs and Chief Executive Officer transition costs.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the Company's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amortization of intangibles recorded for network theater screen leases, non-cash share based compensation programs, CEO turnover, interest rates,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amortization of intangibles recorded for network theater screen leases, share based payment costs or costs associated with the resignation of the Company’s former Chief Executive Officer. Adjusted OIBDA should not be regarded as an alternative to operating income, net income or as an indicator of operating performance, nor should it be considered in isolation of, or as a substitute for financial measures prepared in accordance with GAAP. The Company believes that operating income is the most directly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25" w:name="page26"/>
    <w:bookmarkEnd w:id="25"/>
    <w:p>
      <w:pPr>
        <w:ind w:right="140"/>
        <w:spacing w:after="0" w:line="308" w:lineRule="auto"/>
        <w:rPr>
          <w:sz w:val="20"/>
          <w:szCs w:val="20"/>
          <w:color w:val="auto"/>
        </w:rPr>
      </w:pPr>
      <w:r>
        <w:rPr>
          <w:rFonts w:ascii="Arial" w:cs="Arial" w:eastAsia="Arial" w:hAnsi="Arial"/>
          <w:sz w:val="17"/>
          <w:szCs w:val="17"/>
          <w:color w:val="auto"/>
        </w:rPr>
        <w:t>comparable GAAP financial measure to Adjusted OIBDA. Because not all companies use identical calculations, these non-GAAP presentations may not be comparable to other similarly titled measures of other companies, or calculations in the Company’s debt agreement.</w:t>
      </w:r>
    </w:p>
    <w:p>
      <w:pPr>
        <w:spacing w:after="0" w:line="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reconciles operating income to Adjusted OIBDA for the periods presented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Q2 2019</w:t>
            </w:r>
          </w:p>
        </w:tc>
        <w:tc>
          <w:tcPr>
            <w:tcW w:w="26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Q2 2018</w:t>
            </w:r>
          </w:p>
        </w:tc>
        <w:tc>
          <w:tcPr>
            <w:tcW w:w="24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YTD 2019</w:t>
            </w:r>
          </w:p>
        </w:tc>
        <w:tc>
          <w:tcPr>
            <w:tcW w:w="240" w:type="dxa"/>
            <w:vAlign w:val="bottom"/>
          </w:tcPr>
          <w:p>
            <w:pPr>
              <w:spacing w:after="0"/>
              <w:rPr>
                <w:sz w:val="16"/>
                <w:szCs w:val="16"/>
                <w:color w:val="auto"/>
              </w:rPr>
            </w:pPr>
          </w:p>
        </w:tc>
        <w:tc>
          <w:tcPr>
            <w:tcW w:w="1100" w:type="dxa"/>
            <w:vAlign w:val="bottom"/>
          </w:tcPr>
          <w:p>
            <w:pPr>
              <w:jc w:val="right"/>
              <w:ind w:right="272"/>
              <w:spacing w:after="0"/>
              <w:rPr>
                <w:sz w:val="20"/>
                <w:szCs w:val="20"/>
                <w:color w:val="auto"/>
              </w:rPr>
            </w:pPr>
            <w:r>
              <w:rPr>
                <w:rFonts w:ascii="Arial" w:cs="Arial" w:eastAsia="Arial" w:hAnsi="Arial"/>
                <w:sz w:val="14"/>
                <w:szCs w:val="14"/>
                <w:b w:val="1"/>
                <w:bCs w:val="1"/>
                <w:color w:val="auto"/>
              </w:rPr>
              <w:t>YTD 2018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Depreciation expense</w:t>
            </w:r>
          </w:p>
        </w:tc>
        <w:tc>
          <w:tcPr>
            <w:tcW w:w="2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Amortization expense </w:t>
            </w:r>
            <w:r>
              <w:rPr>
                <w:rFonts w:ascii="Arial" w:cs="Arial" w:eastAsia="Arial" w:hAnsi="Arial"/>
                <w:sz w:val="18"/>
                <w:szCs w:val="18"/>
                <w:i w:val="1"/>
                <w:iCs w:val="1"/>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w w:val="98"/>
              </w:rPr>
              <w:t>Amortization of intangibles recorded for network theater screen</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 xml:space="preserve">leases </w:t>
            </w:r>
            <w:r>
              <w:rPr>
                <w:rFonts w:ascii="Arial" w:cs="Arial" w:eastAsia="Arial" w:hAnsi="Arial"/>
                <w:sz w:val="18"/>
                <w:szCs w:val="18"/>
                <w:i w:val="1"/>
                <w:iCs w:val="1"/>
                <w:color w:val="auto"/>
              </w:rPr>
              <w:t>(1)</w:t>
            </w:r>
          </w:p>
        </w:tc>
        <w:tc>
          <w:tcPr>
            <w:tcW w:w="260" w:type="dxa"/>
            <w:vAlign w:val="bottom"/>
          </w:tcPr>
          <w:p>
            <w:pPr>
              <w:spacing w:after="0"/>
              <w:rPr>
                <w:sz w:val="20"/>
                <w:szCs w:val="20"/>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(2)</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CEO transition costs</w:t>
            </w:r>
          </w:p>
        </w:tc>
        <w:tc>
          <w:tcPr>
            <w:tcW w:w="2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5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Adjusted OIBDA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Adjusted OIBDA margin</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____________________________________________</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620" w:right="120" w:hanging="315"/>
        <w:spacing w:after="0" w:line="254" w:lineRule="auto"/>
        <w:tabs>
          <w:tab w:leader="none" w:pos="620"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Following the adoption of ASC 842, as discussed within Note 1 to the unaudited Condensed Consolidated Financial Statements included elsewhere in this document, amortization of the ESA and affiliate intangible balances is considered a form of lease expense and has been reclassified to this account as of the adoption date, December 28, 2018. The Company adopted ASC 842 prospectively and thus, prior period balances remain within amortization expense.</w:t>
      </w:r>
    </w:p>
    <w:p>
      <w:pPr>
        <w:spacing w:after="0" w:line="2" w:lineRule="exact"/>
        <w:rPr>
          <w:rFonts w:ascii="Arial" w:cs="Arial" w:eastAsia="Arial" w:hAnsi="Arial"/>
          <w:sz w:val="18"/>
          <w:szCs w:val="18"/>
          <w:i w:val="1"/>
          <w:iCs w:val="1"/>
          <w:color w:val="auto"/>
        </w:rPr>
      </w:pPr>
    </w:p>
    <w:p>
      <w:pPr>
        <w:ind w:left="620" w:right="660" w:hanging="315"/>
        <w:spacing w:after="0" w:line="261" w:lineRule="auto"/>
        <w:tabs>
          <w:tab w:leader="none" w:pos="620"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Share-based compensation costs are included in network operations, selling and marketing and administrative expense in the accompanying unaudited Condensed Consolidated Financial Statements.</w:t>
      </w:r>
    </w:p>
    <w:p>
      <w:pPr>
        <w:spacing w:after="0" w:line="184" w:lineRule="exact"/>
        <w:rPr>
          <w:sz w:val="20"/>
          <w:szCs w:val="20"/>
          <w:color w:val="auto"/>
        </w:rPr>
      </w:pPr>
    </w:p>
    <w:p>
      <w:pPr>
        <w:ind w:right="300" w:firstLine="567"/>
        <w:spacing w:after="0" w:line="277" w:lineRule="auto"/>
        <w:rPr>
          <w:sz w:val="20"/>
          <w:szCs w:val="20"/>
          <w:color w:val="auto"/>
        </w:rPr>
      </w:pPr>
      <w:r>
        <w:rPr>
          <w:rFonts w:ascii="Arial" w:cs="Arial" w:eastAsia="Arial" w:hAnsi="Arial"/>
          <w:sz w:val="18"/>
          <w:szCs w:val="18"/>
          <w:b w:val="1"/>
          <w:bCs w:val="1"/>
          <w:i w:val="1"/>
          <w:iCs w:val="1"/>
          <w:color w:val="auto"/>
        </w:rPr>
        <w:t>Our Network</w:t>
      </w:r>
      <w:r>
        <w:rPr>
          <w:rFonts w:ascii="Arial" w:cs="Arial" w:eastAsia="Arial" w:hAnsi="Arial"/>
          <w:sz w:val="18"/>
          <w:szCs w:val="18"/>
          <w:color w:val="auto"/>
        </w:rPr>
        <w:t>—The change in the number of screens in our network by the founding members and network affiliates during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27, 2019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Number of screens</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00" w:type="dxa"/>
            <w:vAlign w:val="bottom"/>
          </w:tcPr>
          <w:p>
            <w:pPr>
              <w:spacing w:after="0"/>
              <w:rPr>
                <w:sz w:val="22"/>
                <w:szCs w:val="22"/>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Founding Members</w:t>
            </w:r>
          </w:p>
        </w:tc>
        <w:tc>
          <w:tcPr>
            <w:tcW w:w="1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Network Affiliates</w:t>
            </w:r>
          </w:p>
        </w:tc>
        <w:tc>
          <w:tcPr>
            <w:tcW w:w="146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27, 2018</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21,172</w:t>
            </w:r>
          </w:p>
        </w:tc>
        <w:tc>
          <w:tcPr>
            <w:tcW w:w="0" w:type="dxa"/>
            <w:vAlign w:val="bottom"/>
          </w:tcPr>
          <w:p>
            <w:pPr>
              <w:spacing w:after="0"/>
              <w:rPr>
                <w:sz w:val="1"/>
                <w:szCs w:val="1"/>
                <w:color w:val="auto"/>
              </w:rPr>
            </w:pP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 xml:space="preserve">Lost affiliates, net of new affiliates </w:t>
            </w:r>
            <w:r>
              <w:rPr>
                <w:rFonts w:ascii="Arial" w:cs="Arial" w:eastAsia="Arial" w:hAnsi="Arial"/>
                <w:sz w:val="18"/>
                <w:szCs w:val="18"/>
                <w:i w:val="1"/>
                <w:iCs w:val="1"/>
                <w:color w:val="auto"/>
              </w:rPr>
              <w:t>(1)</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Openings, net of closures</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57"/>
        </w:trPr>
        <w:tc>
          <w:tcPr>
            <w:tcW w:w="6000" w:type="dxa"/>
            <w:vAlign w:val="bottom"/>
          </w:tcPr>
          <w:p>
            <w:pPr>
              <w:ind w:left="40"/>
              <w:spacing w:after="0"/>
              <w:rPr>
                <w:sz w:val="20"/>
                <w:szCs w:val="20"/>
                <w:color w:val="auto"/>
              </w:rPr>
            </w:pPr>
            <w:r>
              <w:rPr>
                <w:rFonts w:ascii="Arial" w:cs="Arial" w:eastAsia="Arial" w:hAnsi="Arial"/>
                <w:sz w:val="18"/>
                <w:szCs w:val="18"/>
                <w:color w:val="auto"/>
              </w:rPr>
              <w:t>Balance as of June 27, 2019</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16,849</w:t>
            </w:r>
          </w:p>
        </w:tc>
        <w:tc>
          <w:tcPr>
            <w:tcW w:w="12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4,196</w:t>
            </w:r>
          </w:p>
        </w:tc>
        <w:tc>
          <w:tcPr>
            <w:tcW w:w="1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21,045</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80"/>
              <w:spacing w:after="0"/>
              <w:rPr>
                <w:sz w:val="20"/>
                <w:szCs w:val="20"/>
                <w:color w:val="auto"/>
              </w:rPr>
            </w:pPr>
            <w:r>
              <w:rPr>
                <w:rFonts w:ascii="Arial" w:cs="Arial" w:eastAsia="Arial" w:hAnsi="Arial"/>
                <w:sz w:val="18"/>
                <w:szCs w:val="18"/>
                <w:color w:val="auto"/>
              </w:rPr>
              <w:t>______________________________________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0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line="289" w:lineRule="auto"/>
        <w:tabs>
          <w:tab w:leader="none" w:pos="660" w:val="left"/>
        </w:tabs>
        <w:numPr>
          <w:ilvl w:val="0"/>
          <w:numId w:val="14"/>
        </w:numPr>
        <w:rPr>
          <w:rFonts w:ascii="Arial" w:cs="Arial" w:eastAsia="Arial" w:hAnsi="Arial"/>
          <w:sz w:val="17"/>
          <w:szCs w:val="17"/>
          <w:i w:val="1"/>
          <w:iCs w:val="1"/>
          <w:color w:val="auto"/>
        </w:rPr>
      </w:pPr>
      <w:r>
        <w:rPr>
          <w:rFonts w:ascii="Arial" w:cs="Arial" w:eastAsia="Arial" w:hAnsi="Arial"/>
          <w:sz w:val="17"/>
          <w:szCs w:val="17"/>
          <w:color w:val="auto"/>
        </w:rPr>
        <w:t>Represents the loss of one of our affiliates that did not renew its contract resulting in a reduction of 244 affiliate screens to our network, offset by the addition of one new affiliate which added 4 new screens to our network during the six months ended June 27, 2019.</w:t>
      </w:r>
    </w:p>
    <w:p>
      <w:pPr>
        <w:spacing w:after="0" w:line="1" w:lineRule="exact"/>
        <w:rPr>
          <w:sz w:val="20"/>
          <w:szCs w:val="20"/>
          <w:color w:val="auto"/>
        </w:rPr>
      </w:pPr>
    </w:p>
    <w:p>
      <w:pPr>
        <w:jc w:val="both"/>
        <w:ind w:firstLine="540"/>
        <w:spacing w:after="0" w:line="279" w:lineRule="auto"/>
        <w:rPr>
          <w:sz w:val="20"/>
          <w:szCs w:val="20"/>
          <w:color w:val="auto"/>
        </w:rPr>
      </w:pPr>
      <w:r>
        <w:rPr>
          <w:rFonts w:ascii="Arial" w:cs="Arial" w:eastAsia="Arial" w:hAnsi="Arial"/>
          <w:sz w:val="17"/>
          <w:szCs w:val="17"/>
          <w:color w:val="auto"/>
        </w:rPr>
        <w:t>Our founding member and network affiliate agreements allow us to sell cinema advertising across the largest network of digitally equipped theaters in the U.S. We believe that our market coverage strengthens our selling proposition and competitive positioning against other national, regional and local video advertising platforms, including television, online and mobile video platforms and other out of home video advertising platforms by allowing advertisers the broad reach and national scale that they need to effectively reach their target audiences.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right="60" w:firstLine="540"/>
        <w:spacing w:after="0" w:line="264" w:lineRule="auto"/>
        <w:rPr>
          <w:sz w:val="20"/>
          <w:szCs w:val="20"/>
          <w:color w:val="auto"/>
        </w:rPr>
      </w:pPr>
      <w:r>
        <w:rPr>
          <w:rFonts w:ascii="Arial" w:cs="Arial" w:eastAsia="Arial" w:hAnsi="Arial"/>
          <w:sz w:val="18"/>
          <w:szCs w:val="18"/>
          <w:color w:val="auto"/>
        </w:rPr>
        <w:t>The results of operations data for the three months ended June 27, 2019 (second quarter of 2019) and June 28, 2018 (second quarter of 2018) and the six months ended June 27, 2019 and June 28, 2018 was derived from the unaudited Condensed Consolidated Financial Statements and accounting records of NCM, Inc. and should be read in conjunction with the notes thereto.</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of 2019 and Second Quarter of 2018</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368" w:right="299" w:bottom="1440" w:gutter="0" w:footer="0" w:header="0"/>
        </w:sectPr>
      </w:pPr>
    </w:p>
    <w:bookmarkStart w:id="26" w:name="page27"/>
    <w:bookmarkEnd w:id="26"/>
    <w:p>
      <w:pPr>
        <w:ind w:right="220" w:firstLine="648"/>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decreased 3.1%, from $113.7 million for the second quarter of 2018 to $110.2 million for the second quarter of 2019.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is a summary of revenue by category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4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Q2 2019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Q2 2018</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Q2 2019 to Q2 2018</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Q2 2019 to Q2 2018</w:t>
            </w: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advertising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Local advertising revenue</w:t>
            </w:r>
          </w:p>
        </w:tc>
        <w:tc>
          <w:tcPr>
            <w:tcW w:w="26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5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Regional advertising revenue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29"/>
        </w:trPr>
        <w:tc>
          <w:tcPr>
            <w:tcW w:w="5400" w:type="dxa"/>
            <w:vAlign w:val="bottom"/>
          </w:tcPr>
          <w:p>
            <w:pPr>
              <w:ind w:left="40"/>
              <w:spacing w:after="0"/>
              <w:rPr>
                <w:sz w:val="20"/>
                <w:szCs w:val="20"/>
                <w:color w:val="auto"/>
              </w:rPr>
            </w:pPr>
            <w:r>
              <w:rPr>
                <w:rFonts w:ascii="Arial" w:cs="Arial" w:eastAsia="Arial" w:hAnsi="Arial"/>
                <w:sz w:val="18"/>
                <w:szCs w:val="18"/>
                <w:color w:val="auto"/>
              </w:rPr>
              <w:t>Founding member advertising revenue from</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400" w:type="dxa"/>
            <w:vAlign w:val="bottom"/>
          </w:tcPr>
          <w:p>
            <w:pPr>
              <w:ind w:left="180"/>
              <w:spacing w:after="0"/>
              <w:rPr>
                <w:sz w:val="20"/>
                <w:szCs w:val="20"/>
                <w:color w:val="auto"/>
              </w:rPr>
            </w:pPr>
            <w:r>
              <w:rPr>
                <w:rFonts w:ascii="Arial" w:cs="Arial" w:eastAsia="Arial" w:hAnsi="Arial"/>
                <w:sz w:val="18"/>
                <w:szCs w:val="18"/>
                <w:color w:val="auto"/>
              </w:rPr>
              <w:t>beverage concessionaire agreements</w:t>
            </w:r>
          </w:p>
        </w:tc>
        <w:tc>
          <w:tcPr>
            <w:tcW w:w="26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5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5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data on theater attendance and revenue per attendee for the second quarter of 2019 and the second quarter of 2018:</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Q2 2019</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Q2 2018</w:t>
            </w:r>
          </w:p>
        </w:tc>
        <w:tc>
          <w:tcPr>
            <w:tcW w:w="1720" w:type="dxa"/>
            <w:vAlign w:val="bottom"/>
          </w:tcPr>
          <w:p>
            <w:pPr>
              <w:jc w:val="right"/>
              <w:ind w:right="174"/>
              <w:spacing w:after="0"/>
              <w:rPr>
                <w:sz w:val="20"/>
                <w:szCs w:val="20"/>
                <w:color w:val="auto"/>
              </w:rPr>
            </w:pPr>
            <w:r>
              <w:rPr>
                <w:rFonts w:ascii="Arial" w:cs="Arial" w:eastAsia="Arial" w:hAnsi="Arial"/>
                <w:sz w:val="14"/>
                <w:szCs w:val="14"/>
                <w:b w:val="1"/>
                <w:bCs w:val="1"/>
                <w:color w:val="auto"/>
              </w:rPr>
              <w:t>Q2 2019 to Q2 2018</w:t>
            </w:r>
          </w:p>
        </w:tc>
      </w:tr>
      <w:tr>
        <w:trPr>
          <w:trHeight w:val="250"/>
        </w:trPr>
        <w:tc>
          <w:tcPr>
            <w:tcW w:w="6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advertising revenue per attendee</w:t>
            </w:r>
          </w:p>
        </w:tc>
        <w:tc>
          <w:tcPr>
            <w:tcW w:w="1040" w:type="dxa"/>
            <w:vAlign w:val="bottom"/>
            <w:tcBorders>
              <w:top w:val="single" w:sz="8" w:color="auto"/>
              <w:bottom w:val="single" w:sz="8" w:color="CCEEFF"/>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0.419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Local advertising revenue per attendee</w:t>
            </w:r>
          </w:p>
        </w:tc>
        <w:tc>
          <w:tcPr>
            <w:tcW w:w="1040" w:type="dxa"/>
            <w:vAlign w:val="bottom"/>
          </w:tcPr>
          <w:p>
            <w:pPr>
              <w:jc w:val="right"/>
              <w:ind w:right="83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0.096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0.093</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7"/>
        </w:trPr>
        <w:tc>
          <w:tcPr>
            <w:tcW w:w="6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Regional advertising revenue per attendee</w:t>
            </w:r>
          </w:p>
        </w:tc>
        <w:tc>
          <w:tcPr>
            <w:tcW w:w="1040" w:type="dxa"/>
            <w:vAlign w:val="bottom"/>
            <w:tcBorders>
              <w:bottom w:val="single" w:sz="8" w:color="CCEEFF"/>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0.036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0.042</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6200" w:type="dxa"/>
            <w:vAlign w:val="bottom"/>
          </w:tcPr>
          <w:p>
            <w:pPr>
              <w:ind w:left="40"/>
              <w:spacing w:after="0"/>
              <w:rPr>
                <w:sz w:val="20"/>
                <w:szCs w:val="20"/>
                <w:color w:val="auto"/>
              </w:rPr>
            </w:pPr>
            <w:r>
              <w:rPr>
                <w:rFonts w:ascii="Arial" w:cs="Arial" w:eastAsia="Arial" w:hAnsi="Arial"/>
                <w:sz w:val="18"/>
                <w:szCs w:val="18"/>
                <w:color w:val="auto"/>
              </w:rPr>
              <w:t>Total advertising revenue (excluding founding</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6200" w:type="dxa"/>
            <w:vAlign w:val="bottom"/>
          </w:tcPr>
          <w:p>
            <w:pPr>
              <w:ind w:left="180"/>
              <w:spacing w:after="0"/>
              <w:rPr>
                <w:sz w:val="20"/>
                <w:szCs w:val="20"/>
                <w:color w:val="auto"/>
              </w:rPr>
            </w:pPr>
            <w:r>
              <w:rPr>
                <w:rFonts w:ascii="Arial" w:cs="Arial" w:eastAsia="Arial" w:hAnsi="Arial"/>
                <w:sz w:val="18"/>
                <w:szCs w:val="18"/>
                <w:color w:val="auto"/>
              </w:rPr>
              <w:t>member beverage revenue) per attendee</w:t>
            </w:r>
          </w:p>
        </w:tc>
        <w:tc>
          <w:tcPr>
            <w:tcW w:w="1040" w:type="dxa"/>
            <w:vAlign w:val="bottom"/>
          </w:tcPr>
          <w:p>
            <w:pPr>
              <w:jc w:val="right"/>
              <w:ind w:right="83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0.550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0.541</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7"/>
        </w:trPr>
        <w:tc>
          <w:tcPr>
            <w:tcW w:w="6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advertising revenue per attendee</w:t>
            </w:r>
          </w:p>
        </w:tc>
        <w:tc>
          <w:tcPr>
            <w:tcW w:w="1040" w:type="dxa"/>
            <w:vAlign w:val="bottom"/>
            <w:tcBorders>
              <w:bottom w:val="single" w:sz="8" w:color="CCEEFF"/>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0.595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0.586</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10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185.3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194"/>
        </w:trPr>
        <w:tc>
          <w:tcPr>
            <w:tcW w:w="6200" w:type="dxa"/>
            <w:vAlign w:val="bottom"/>
          </w:tcPr>
          <w:p>
            <w:pPr>
              <w:ind w:left="40"/>
              <w:spacing w:after="0"/>
              <w:rPr>
                <w:sz w:val="20"/>
                <w:szCs w:val="20"/>
                <w:color w:val="auto"/>
              </w:rPr>
            </w:pPr>
            <w:r>
              <w:rPr>
                <w:rFonts w:ascii="Arial" w:cs="Arial" w:eastAsia="Arial" w:hAnsi="Arial"/>
                <w:sz w:val="11"/>
                <w:szCs w:val="11"/>
                <w:color w:val="auto"/>
              </w:rPr>
              <w:t>________________________________________________________</w:t>
            </w: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bl>
    <w:p>
      <w:pPr>
        <w:spacing w:after="0" w:line="197" w:lineRule="exact"/>
        <w:rPr>
          <w:sz w:val="20"/>
          <w:szCs w:val="20"/>
          <w:color w:val="auto"/>
        </w:rPr>
      </w:pPr>
    </w:p>
    <w:p>
      <w:pPr>
        <w:ind w:left="460" w:right="220" w:hanging="330"/>
        <w:spacing w:after="0" w:line="308" w:lineRule="auto"/>
        <w:tabs>
          <w:tab w:leader="none" w:pos="460" w:val="left"/>
        </w:tabs>
        <w:numPr>
          <w:ilvl w:val="0"/>
          <w:numId w:val="15"/>
        </w:numPr>
        <w:rPr>
          <w:rFonts w:ascii="Arial" w:cs="Arial" w:eastAsia="Arial" w:hAnsi="Arial"/>
          <w:sz w:val="17"/>
          <w:szCs w:val="17"/>
          <w:i w:val="1"/>
          <w:iCs w:val="1"/>
          <w:color w:val="auto"/>
        </w:rPr>
      </w:pPr>
      <w:r>
        <w:rPr>
          <w:rFonts w:ascii="Arial" w:cs="Arial" w:eastAsia="Arial" w:hAnsi="Arial"/>
          <w:sz w:val="17"/>
          <w:szCs w:val="17"/>
          <w:color w:val="auto"/>
        </w:rPr>
        <w:t>Represents the total attendance within our advertising network, excluding screens and attendance associated with certain AMC Carmike, AMC Rave and Cinemark Rave theaters that are currently part of another cinema advertising network for all periods presented.</w:t>
      </w:r>
    </w:p>
    <w:p>
      <w:pPr>
        <w:spacing w:after="0" w:line="93" w:lineRule="exact"/>
        <w:rPr>
          <w:sz w:val="20"/>
          <w:szCs w:val="20"/>
          <w:color w:val="auto"/>
        </w:rPr>
      </w:pPr>
    </w:p>
    <w:p>
      <w:pPr>
        <w:ind w:left="580"/>
        <w:spacing w:after="0" w:line="270" w:lineRule="auto"/>
        <w:rPr>
          <w:sz w:val="20"/>
          <w:szCs w:val="20"/>
          <w:color w:val="auto"/>
        </w:rPr>
      </w:pPr>
      <w:r>
        <w:rPr>
          <w:rFonts w:ascii="Arial" w:cs="Arial" w:eastAsia="Arial" w:hAnsi="Arial"/>
          <w:sz w:val="17"/>
          <w:szCs w:val="17"/>
          <w:u w:val="single" w:color="auto"/>
          <w:color w:val="auto"/>
        </w:rPr>
        <w:t>National advertising revenue.</w:t>
      </w:r>
      <w:r>
        <w:rPr>
          <w:rFonts w:ascii="Arial" w:cs="Arial" w:eastAsia="Arial" w:hAnsi="Arial"/>
          <w:sz w:val="17"/>
          <w:szCs w:val="17"/>
          <w:color w:val="auto"/>
        </w:rPr>
        <w:t xml:space="preserve"> The $1.2 million, or 1.5%, decrease in national advertising revenue (excluding beverage revenue from founding members) was primarily due to a 10.4% decrease in national advertising CPMs (excluding beverage), partially offset by a 4.3% increase in impressions sold. The decrease in national advertising CPMs (excluding beverage) was primarily due to a decrease in scatter market demand, which is inventory not included within an upfront or content partner commitment sold closer to the advertisement air date typically at higher CPMs, in the second quarter of 2019, compared to the second quarter of 2018. The increase in impressions sold was primarily due to an increase in national advertising utilization from 101.5% in the second quarter of 2018 to 110.8% in the second quarter of 2019, partially offset by a 4.5% decrease in network attendance due to a weaker movie slate during the second quarter of 2019. Inventory utilization is calculated as utilized impressions divided by total advertising impressions, which is based on eleven 30-second salable national advertising units in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which can be expanded, should market demand dictate.</w:t>
      </w:r>
    </w:p>
    <w:p>
      <w:pPr>
        <w:spacing w:after="0" w:line="128" w:lineRule="exact"/>
        <w:rPr>
          <w:sz w:val="20"/>
          <w:szCs w:val="20"/>
          <w:color w:val="auto"/>
        </w:rPr>
      </w:pPr>
    </w:p>
    <w:p>
      <w:pPr>
        <w:ind w:left="580" w:right="80"/>
        <w:spacing w:after="0" w:line="302" w:lineRule="auto"/>
        <w:rPr>
          <w:sz w:val="20"/>
          <w:szCs w:val="20"/>
          <w:color w:val="auto"/>
        </w:rPr>
      </w:pPr>
      <w:r>
        <w:rPr>
          <w:rFonts w:ascii="Arial" w:cs="Arial" w:eastAsia="Arial" w:hAnsi="Arial"/>
          <w:sz w:val="16"/>
          <w:szCs w:val="16"/>
          <w:u w:val="single" w:color="auto"/>
          <w:color w:val="auto"/>
        </w:rPr>
        <w:t>Local advertising revenue.</w:t>
      </w:r>
      <w:r>
        <w:rPr>
          <w:rFonts w:ascii="Arial" w:cs="Arial" w:eastAsia="Arial" w:hAnsi="Arial"/>
          <w:sz w:val="16"/>
          <w:szCs w:val="16"/>
          <w:color w:val="auto"/>
        </w:rPr>
        <w:t xml:space="preserve"> The $0.4 million, or 2.2%, decrease in local advertising revenue was primarily due to a 7.7% decrease in the volume of local contracts and a 2.1% decrease in the average contract value for the second quarter of 2019, compared to the second quarter of 2018, driven by a reduction in the local sales force following a realignment of sales territories in late 2018. These decreases in local advertising revenue were partially offset by an increase in local digital sales revenue in the second quarter of 2019, compared to the second quarter of 2018.</w:t>
      </w:r>
    </w:p>
    <w:p>
      <w:pPr>
        <w:spacing w:after="0" w:line="100" w:lineRule="exact"/>
        <w:rPr>
          <w:sz w:val="20"/>
          <w:szCs w:val="20"/>
          <w:color w:val="auto"/>
        </w:rPr>
      </w:pPr>
    </w:p>
    <w:p>
      <w:pPr>
        <w:ind w:left="580" w:right="80"/>
        <w:spacing w:after="0" w:line="264" w:lineRule="auto"/>
        <w:rPr>
          <w:sz w:val="20"/>
          <w:szCs w:val="20"/>
          <w:color w:val="auto"/>
        </w:rPr>
      </w:pPr>
      <w:r>
        <w:rPr>
          <w:rFonts w:ascii="Arial" w:cs="Arial" w:eastAsia="Arial" w:hAnsi="Arial"/>
          <w:sz w:val="18"/>
          <w:szCs w:val="18"/>
          <w:u w:val="single" w:color="auto"/>
          <w:color w:val="auto"/>
        </w:rPr>
        <w:t>Regional advertising revenue.</w:t>
      </w:r>
      <w:r>
        <w:rPr>
          <w:rFonts w:ascii="Arial" w:cs="Arial" w:eastAsia="Arial" w:hAnsi="Arial"/>
          <w:sz w:val="18"/>
          <w:szCs w:val="18"/>
          <w:color w:val="auto"/>
        </w:rPr>
        <w:t xml:space="preserve"> The $1.5 million, or 18.3%, decrease in regional advertising revenue was primarily due to a $1.0 million shift in spend within the automotive category from regional advertising in the second quarter of 2018, to national advertising in the second quarter of 2019 and a decrease in regional digital sales revenue.</w:t>
      </w:r>
    </w:p>
    <w:p>
      <w:pPr>
        <w:spacing w:after="0" w:line="127" w:lineRule="exact"/>
        <w:rPr>
          <w:sz w:val="20"/>
          <w:szCs w:val="20"/>
          <w:color w:val="auto"/>
        </w:rPr>
      </w:pPr>
    </w:p>
    <w:p>
      <w:pPr>
        <w:ind w:left="580" w:right="260"/>
        <w:spacing w:after="0" w:line="279" w:lineRule="auto"/>
        <w:rPr>
          <w:sz w:val="20"/>
          <w:szCs w:val="20"/>
          <w:color w:val="auto"/>
        </w:rPr>
      </w:pPr>
      <w:r>
        <w:rPr>
          <w:rFonts w:ascii="Arial" w:cs="Arial" w:eastAsia="Arial" w:hAnsi="Arial"/>
          <w:sz w:val="17"/>
          <w:szCs w:val="17"/>
          <w:u w:val="single" w:color="auto"/>
          <w:color w:val="auto"/>
        </w:rPr>
        <w:t>Founding member beverage revenue.</w:t>
      </w:r>
      <w:r>
        <w:rPr>
          <w:rFonts w:ascii="Arial" w:cs="Arial" w:eastAsia="Arial" w:hAnsi="Arial"/>
          <w:sz w:val="17"/>
          <w:szCs w:val="17"/>
          <w:color w:val="auto"/>
        </w:rPr>
        <w:t xml:space="preserve"> The $0.4 million, or 4.7%, decrease in national advertising revenue from the founding members’ beverage concessionaire agreements was primarily due to a 3.8% decrease in founding member attendance, partially offset by a 0.7% increase in beverage revenue CPMs, in the second quarter of 2019, compared to the second quarter of 2018. The 2019 beverage revenue CPM is based on the change in CPM during segment one of our pre-show from 2017 to 2018, which increased 0.7%.</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368" w:right="259" w:bottom="1440" w:gutter="0" w:footer="0" w:header="0"/>
        </w:sectPr>
      </w:pPr>
    </w:p>
    <w:bookmarkStart w:id="27" w:name="page28"/>
    <w:bookmarkEnd w:id="27"/>
    <w:p>
      <w:pPr>
        <w:ind w:right="80" w:firstLine="540"/>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decreased $1.0 million, or 1.4%, from $73.5 million for the second quarter of 2018 to $72.5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 quarter of 2019. The following table shows the changes in operating expense for the second quarter of 2019 and the second quarter of 2018 (in millions):</w:t>
      </w:r>
    </w:p>
    <w:p>
      <w:pPr>
        <w:sectPr>
          <w:pgSz w:w="11900" w:h="16838" w:orient="portrait"/>
          <w:cols w:equalWidth="0" w:num="1">
            <w:col w:w="11400"/>
          </w:cols>
          <w:pgMar w:left="240" w:top="36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Advertising operating costs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Network costs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Theater access fees—founding members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Selling and marketing costs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Administrative and other costs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Depreciation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Amortization expense</w:t>
      </w:r>
    </w:p>
    <w:p>
      <w:pPr>
        <w:spacing w:after="0" w:line="63" w:lineRule="exact"/>
        <w:rPr>
          <w:sz w:val="20"/>
          <w:szCs w:val="20"/>
          <w:color w:val="auto"/>
        </w:rPr>
      </w:pPr>
    </w:p>
    <w:p>
      <w:pPr>
        <w:ind w:left="180" w:right="640" w:hanging="134"/>
        <w:spacing w:after="0" w:line="277" w:lineRule="auto"/>
        <w:rPr>
          <w:sz w:val="20"/>
          <w:szCs w:val="20"/>
          <w:color w:val="auto"/>
        </w:rPr>
      </w:pPr>
      <w:r>
        <w:rPr>
          <w:rFonts w:ascii="Arial" w:cs="Arial" w:eastAsia="Arial" w:hAnsi="Arial"/>
          <w:sz w:val="18"/>
          <w:szCs w:val="18"/>
          <w:color w:val="auto"/>
        </w:rPr>
        <w:t>Amortization of intangibles recorded for network theater screen leases</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6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Q2 2019</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Q2 2018</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4"/>
              </w:rPr>
              <w:t>Q2 2019 to Q2 2018</w:t>
            </w:r>
          </w:p>
        </w:tc>
        <w:tc>
          <w:tcPr>
            <w:tcW w:w="100" w:type="dxa"/>
            <w:vAlign w:val="bottom"/>
          </w:tcPr>
          <w:p>
            <w:pPr>
              <w:spacing w:after="0"/>
              <w:rPr>
                <w:sz w:val="21"/>
                <w:szCs w:val="21"/>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Q2 2019 to Q2 2018</w:t>
            </w:r>
          </w:p>
        </w:tc>
      </w:tr>
      <w:tr>
        <w:trPr>
          <w:trHeight w:val="243"/>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7.6 %</w:t>
            </w:r>
          </w:p>
        </w:tc>
      </w:tr>
      <w:tr>
        <w:trPr>
          <w:trHeight w:val="270"/>
        </w:trPr>
        <w:tc>
          <w:tcPr>
            <w:tcW w:w="32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3.0 %</w:t>
            </w:r>
          </w:p>
        </w:tc>
      </w:tr>
      <w:tr>
        <w:trPr>
          <w:trHeight w:val="270"/>
        </w:trPr>
        <w:tc>
          <w:tcPr>
            <w:tcW w:w="32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0.5 %</w:t>
            </w:r>
          </w:p>
        </w:tc>
      </w:tr>
      <w:tr>
        <w:trPr>
          <w:trHeight w:val="270"/>
        </w:trPr>
        <w:tc>
          <w:tcPr>
            <w:tcW w:w="32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32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(13.3)%</w:t>
            </w:r>
          </w:p>
        </w:tc>
      </w:tr>
      <w:tr>
        <w:trPr>
          <w:trHeight w:val="270"/>
        </w:trPr>
        <w:tc>
          <w:tcPr>
            <w:tcW w:w="32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0"/>
        </w:trPr>
        <w:tc>
          <w:tcPr>
            <w:tcW w:w="32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486"/>
        </w:trPr>
        <w:tc>
          <w:tcPr>
            <w:tcW w:w="320" w:type="dxa"/>
            <w:vAlign w:val="bottom"/>
          </w:tcPr>
          <w:p>
            <w:pPr>
              <w:spacing w:after="0"/>
              <w:rPr>
                <w:sz w:val="24"/>
                <w:szCs w:val="24"/>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7.0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338"/>
        </w:trPr>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-1774825</wp:posOffset>
            </wp:positionV>
            <wp:extent cx="6817995"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17995" cy="18034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-1423035</wp:posOffset>
            </wp:positionV>
            <wp:extent cx="681799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7995" cy="17145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-1080135</wp:posOffset>
            </wp:positionV>
            <wp:extent cx="681799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17995" cy="17145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-736600</wp:posOffset>
            </wp:positionV>
            <wp:extent cx="681799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7995" cy="17145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-256540</wp:posOffset>
            </wp:positionV>
            <wp:extent cx="6817995" cy="24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17995"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0" w:space="720"/>
            <w:col w:w="7080"/>
          </w:cols>
          <w:pgMar w:left="240" w:top="368" w:right="259" w:bottom="1440" w:gutter="0" w:footer="0" w:header="0"/>
          <w:type w:val="continuous"/>
        </w:sectPr>
      </w:pPr>
    </w:p>
    <w:p>
      <w:pPr>
        <w:spacing w:after="0" w:line="56" w:lineRule="exact"/>
        <w:rPr>
          <w:sz w:val="20"/>
          <w:szCs w:val="20"/>
          <w:color w:val="auto"/>
        </w:rPr>
      </w:pPr>
    </w:p>
    <w:p>
      <w:pPr>
        <w:ind w:left="580" w:right="340"/>
        <w:spacing w:after="0" w:line="291"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operating costs increased $0.7 million, or 7.6%, from $9.2 million for the second quarter of 2018 to $9.9 million for the second quarter of 2019. The increase was primarily related to a $0.4 million increase in affiliate advertising payments driven by a</w:t>
      </w:r>
    </w:p>
    <w:p>
      <w:pPr>
        <w:ind w:left="580" w:right="40"/>
        <w:spacing w:after="0" w:line="302" w:lineRule="auto"/>
        <w:rPr>
          <w:sz w:val="20"/>
          <w:szCs w:val="20"/>
          <w:color w:val="auto"/>
        </w:rPr>
      </w:pPr>
      <w:r>
        <w:rPr>
          <w:rFonts w:ascii="Arial" w:cs="Arial" w:eastAsia="Arial" w:hAnsi="Arial"/>
          <w:sz w:val="16"/>
          <w:szCs w:val="16"/>
          <w:color w:val="auto"/>
        </w:rPr>
        <w:t xml:space="preserve">1.0%, or 42 screen, increase in the number of average affiliate screens as of the second quarter of 2019, compared to the second quarter of 2018, and an increase in the guaranteed minimums owed to affiliates of $0.3 million during the second quarter of 2019, compared to the second quarter of 2018. Advertising operating costs also increased due to a $0.2 million increase in production costs associated with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w:t>
      </w:r>
    </w:p>
    <w:p>
      <w:pPr>
        <w:spacing w:after="0" w:line="101" w:lineRule="exact"/>
        <w:rPr>
          <w:sz w:val="20"/>
          <w:szCs w:val="20"/>
          <w:color w:val="auto"/>
        </w:rPr>
      </w:pPr>
    </w:p>
    <w:p>
      <w:pPr>
        <w:ind w:left="580" w:right="40"/>
        <w:spacing w:after="0" w:line="277"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increased $0.1 million, or 3.0%, from $3.3 million for the second quarter of 2018 to $3.4 million for the second quarter of 2019.</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6"/>
          <w:szCs w:val="16"/>
          <w:u w:val="single" w:color="auto"/>
          <w:color w:val="auto"/>
        </w:rPr>
        <w:t>Theater access fees—founding members.</w:t>
      </w:r>
      <w:r>
        <w:rPr>
          <w:rFonts w:ascii="Arial" w:cs="Arial" w:eastAsia="Arial" w:hAnsi="Arial"/>
          <w:sz w:val="16"/>
          <w:szCs w:val="16"/>
          <w:color w:val="auto"/>
        </w:rPr>
        <w:t xml:space="preserve"> Theater access fees increased $0.1 million, or 0.5%, from $21.5 million in the second quarter of 2018 to</w:t>
      </w:r>
    </w:p>
    <w:p>
      <w:pPr>
        <w:spacing w:after="0" w:line="46" w:lineRule="exact"/>
        <w:rPr>
          <w:sz w:val="20"/>
          <w:szCs w:val="20"/>
          <w:color w:val="auto"/>
        </w:rPr>
      </w:pPr>
    </w:p>
    <w:p>
      <w:pPr>
        <w:ind w:left="580" w:right="20"/>
        <w:spacing w:after="0" w:line="254" w:lineRule="auto"/>
        <w:rPr>
          <w:sz w:val="20"/>
          <w:szCs w:val="20"/>
          <w:color w:val="auto"/>
        </w:rPr>
      </w:pPr>
      <w:r>
        <w:rPr>
          <w:rFonts w:ascii="Arial" w:cs="Arial" w:eastAsia="Arial" w:hAnsi="Arial"/>
          <w:sz w:val="18"/>
          <w:szCs w:val="18"/>
          <w:color w:val="auto"/>
        </w:rPr>
        <w:t>$21.6 million in the second quarter of 2019. The expense associated with founding member attendance decreased $0.5 million due a 3.8% decrease in attendance at founding members’ theaters, which was partially offset by a $0.4 million increase in the expense associated with the founding member digital screens that are connected to the DCN (nearly 100% of our screens as of June 27, 2019), including higher quality digital cinema projectors and related equipment, due to the annual 5% rate increase specified in the ESAs.</w:t>
      </w:r>
    </w:p>
    <w:p>
      <w:pPr>
        <w:spacing w:after="0" w:line="136" w:lineRule="exact"/>
        <w:rPr>
          <w:sz w:val="20"/>
          <w:szCs w:val="20"/>
          <w:color w:val="auto"/>
        </w:rPr>
      </w:pPr>
    </w:p>
    <w:p>
      <w:pPr>
        <w:ind w:left="580" w:right="100"/>
        <w:spacing w:after="0" w:line="291"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decreased $0.5 million, or 3.0%, from $16.7 million for the second quarter of 2018 to $16.2 million for the second quarter of 2019. This decrease was primarily related to a $1.1 million decrease in personnel related expenses primarily due to</w:t>
      </w:r>
    </w:p>
    <w:p>
      <w:pPr>
        <w:ind w:left="780" w:hanging="205"/>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decrease in commissions related to lower revenue and a reduction in sales force associated with a realignment of sales territories in late 2018 and</w:t>
      </w:r>
    </w:p>
    <w:p>
      <w:pPr>
        <w:spacing w:after="0" w:line="32" w:lineRule="exact"/>
        <w:rPr>
          <w:rFonts w:ascii="Arial" w:cs="Arial" w:eastAsia="Arial" w:hAnsi="Arial"/>
          <w:sz w:val="16"/>
          <w:szCs w:val="16"/>
          <w:color w:val="auto"/>
        </w:rPr>
      </w:pPr>
    </w:p>
    <w:p>
      <w:pPr>
        <w:ind w:left="580" w:right="380" w:hanging="5"/>
        <w:spacing w:after="0" w:line="302" w:lineRule="auto"/>
        <w:tabs>
          <w:tab w:leader="none" w:pos="775" w:val="left"/>
        </w:tabs>
        <w:numPr>
          <w:ilvl w:val="0"/>
          <w:numId w:val="16"/>
        </w:numPr>
        <w:rPr>
          <w:rFonts w:ascii="Arial" w:cs="Arial" w:eastAsia="Arial" w:hAnsi="Arial"/>
          <w:sz w:val="16"/>
          <w:szCs w:val="16"/>
          <w:color w:val="auto"/>
        </w:rPr>
      </w:pPr>
      <w:r>
        <w:rPr>
          <w:rFonts w:ascii="Arial" w:cs="Arial" w:eastAsia="Arial" w:hAnsi="Arial"/>
          <w:sz w:val="16"/>
          <w:szCs w:val="16"/>
          <w:color w:val="auto"/>
        </w:rPr>
        <w:t>lower non-cash share-based compensation expense related to a decrease in the volume of awards granted in 2019 compared to 2018. These decreases were partially offset by a $0.2 million increase in company advertising expense related to online and social media platforms and a $0.2 million increase in online publisher expense due to higher digital revenue in the second quarter of 2019, compared to the second quarter of 2018.</w:t>
      </w:r>
    </w:p>
    <w:p>
      <w:pPr>
        <w:spacing w:after="0" w:line="101" w:lineRule="exact"/>
        <w:rPr>
          <w:sz w:val="20"/>
          <w:szCs w:val="20"/>
          <w:color w:val="auto"/>
        </w:rPr>
      </w:pPr>
    </w:p>
    <w:p>
      <w:pPr>
        <w:ind w:left="580"/>
        <w:spacing w:after="0" w:line="254"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decreased $1.7 million, or 13.3%, from $12.8 million in the second quarter of 2018 to $11.1 million in the second quarter of 2019. Administrative and other costs decreased primarily due to a decrease in legal and professional expense of $1.0 million related to the negotiation of the settlement agreement with a large shareholder during the second quarter of 2018 and a $0.5 million decrease in personnel related expenses primarily due to an increase in capitalized personnel costs driven by the nature of the work being performed by our information technology department and a decrease in salary and bonus expense at NCM, Inc. due to the absence of CEO personnel related expenses in the second quarter of 2019, compared to the second quarter of 2018. These administrative and other costs were partially offset by a $0.3 million increase in consulting expenses and a $0.1 million increase in CEO transition fees incurred in the second quarter of 2019, compared to the second quarter of 2018.</w:t>
      </w:r>
    </w:p>
    <w:p>
      <w:pPr>
        <w:spacing w:after="0" w:line="138" w:lineRule="exact"/>
        <w:rPr>
          <w:sz w:val="20"/>
          <w:szCs w:val="20"/>
          <w:color w:val="auto"/>
        </w:rPr>
      </w:pPr>
    </w:p>
    <w:p>
      <w:pPr>
        <w:ind w:left="580" w:right="20"/>
        <w:spacing w:after="0" w:line="277" w:lineRule="auto"/>
        <w:rPr>
          <w:sz w:val="20"/>
          <w:szCs w:val="20"/>
          <w:color w:val="auto"/>
        </w:rPr>
      </w:pPr>
      <w:r>
        <w:rPr>
          <w:rFonts w:ascii="Arial" w:cs="Arial" w:eastAsia="Arial" w:hAnsi="Arial"/>
          <w:sz w:val="18"/>
          <w:szCs w:val="18"/>
          <w:u w:val="single" w:color="auto"/>
          <w:color w:val="auto"/>
        </w:rPr>
        <w:t>Depreciation expense.</w:t>
      </w:r>
      <w:r>
        <w:rPr>
          <w:rFonts w:ascii="Arial" w:cs="Arial" w:eastAsia="Arial" w:hAnsi="Arial"/>
          <w:sz w:val="18"/>
          <w:szCs w:val="18"/>
          <w:color w:val="auto"/>
        </w:rPr>
        <w:t xml:space="preserve"> Depreciation expense increased $0.3 million, or 10.0%, from $3.0 million for the second quarter of 2018 to $3.3 million for the second quarter of 2019, primarily due to new fixed assets being placed into service in 2019, compared to 2018.</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368" w:right="259" w:bottom="1440" w:gutter="0" w:footer="0" w:header="0"/>
          <w:type w:val="continuous"/>
        </w:sectPr>
      </w:pPr>
    </w:p>
    <w:bookmarkStart w:id="28" w:name="page29"/>
    <w:bookmarkEnd w:id="28"/>
    <w:p>
      <w:pPr>
        <w:ind w:left="580" w:right="100"/>
        <w:spacing w:after="0" w:line="255" w:lineRule="auto"/>
        <w:rPr>
          <w:sz w:val="20"/>
          <w:szCs w:val="20"/>
          <w:color w:val="auto"/>
        </w:rPr>
      </w:pPr>
      <w:r>
        <w:rPr>
          <w:rFonts w:ascii="Arial" w:cs="Arial" w:eastAsia="Arial" w:hAnsi="Arial"/>
          <w:sz w:val="18"/>
          <w:szCs w:val="18"/>
          <w:u w:val="single" w:color="auto"/>
          <w:color w:val="auto"/>
        </w:rPr>
        <w:t>Amortization expense and Amortization of intangibles recorded for network theater screen leases.</w:t>
      </w:r>
      <w:r>
        <w:rPr>
          <w:rFonts w:ascii="Arial" w:cs="Arial" w:eastAsia="Arial" w:hAnsi="Arial"/>
          <w:sz w:val="18"/>
          <w:szCs w:val="18"/>
          <w:color w:val="auto"/>
        </w:rPr>
        <w:t xml:space="preserve"> Amortization of our ESA and affiliate intangibles was at $7.0 million for the second quarter of 2018, consistent with the $7.0 million of amortization of intangibles recorded for network theater screen leases for the second quarter of 2019. Following the adoption of ASC 842, as discussed within Note 1 to the unaudited Condensed Consolidated Financial Statements included elsewhere in this document, amortization of the ESA and affiliate intangible balances is considered a form of lease expense and has been reclassified from amortization expense to amortization of intangibles recorded for network theater screen leases as of the adoption date, December 28, 2018. The Company adopted ASC 842 prospectively and thus, prior period balances remain within amortization expense.</w:t>
      </w:r>
    </w:p>
    <w:p>
      <w:pPr>
        <w:spacing w:after="0" w:line="135" w:lineRule="exact"/>
        <w:rPr>
          <w:sz w:val="20"/>
          <w:szCs w:val="20"/>
          <w:color w:val="auto"/>
        </w:rPr>
      </w:pPr>
    </w:p>
    <w:p>
      <w:pPr>
        <w:ind w:right="20" w:firstLine="540"/>
        <w:spacing w:after="0" w:line="264" w:lineRule="auto"/>
        <w:rPr>
          <w:sz w:val="20"/>
          <w:szCs w:val="20"/>
          <w:color w:val="auto"/>
        </w:rPr>
      </w:pPr>
      <w:r>
        <w:rPr>
          <w:rFonts w:ascii="Arial" w:cs="Arial" w:eastAsia="Arial" w:hAnsi="Arial"/>
          <w:sz w:val="18"/>
          <w:szCs w:val="18"/>
          <w:i w:val="1"/>
          <w:iCs w:val="1"/>
          <w:color w:val="auto"/>
        </w:rPr>
        <w:t xml:space="preserve">Non-operating expenses. </w:t>
      </w:r>
      <w:r>
        <w:rPr>
          <w:rFonts w:ascii="Arial" w:cs="Arial" w:eastAsia="Arial" w:hAnsi="Arial"/>
          <w:sz w:val="18"/>
          <w:szCs w:val="18"/>
          <w:color w:val="auto"/>
        </w:rPr>
        <w:t>Total non-operating expenses increased $7.2 million, or 100.0%, from $7.2 million for the second quarter of 2018 to $14.4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second quarter of 2019. The following table shows the changes in non-operating expense for the second quarter of 2019 and the second quarter of 2018 (in millions):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56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Q2 2019</w:t>
            </w:r>
          </w:p>
        </w:tc>
        <w:tc>
          <w:tcPr>
            <w:tcW w:w="4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Q2 2018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Q2 2019 to Q2 2018</w:t>
            </w:r>
          </w:p>
        </w:tc>
        <w:tc>
          <w:tcPr>
            <w:tcW w:w="12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Q2 2019 to Q2 2018</w:t>
            </w: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borrowings</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0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25.0 %</w:t>
            </w:r>
          </w:p>
        </w:tc>
      </w:tr>
      <w:tr>
        <w:trPr>
          <w:trHeight w:val="27"/>
        </w:trPr>
        <w:tc>
          <w:tcPr>
            <w:tcW w:w="4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4560" w:type="dxa"/>
            <w:vAlign w:val="bottom"/>
          </w:tcPr>
          <w:p>
            <w:pPr>
              <w:ind w:left="40"/>
              <w:spacing w:after="0"/>
              <w:rPr>
                <w:sz w:val="20"/>
                <w:szCs w:val="20"/>
                <w:color w:val="auto"/>
              </w:rPr>
            </w:pPr>
            <w:r>
              <w:rPr>
                <w:rFonts w:ascii="Arial" w:cs="Arial" w:eastAsia="Arial" w:hAnsi="Arial"/>
                <w:sz w:val="18"/>
                <w:szCs w:val="18"/>
                <w:color w:val="auto"/>
              </w:rPr>
              <w:t>Loss (gain) on the re-measurement of the payable</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to founding members under the tax receivable</w:t>
            </w: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4560" w:type="dxa"/>
            <w:vAlign w:val="bottom"/>
          </w:tcPr>
          <w:p>
            <w:pPr>
              <w:ind w:left="180"/>
              <w:spacing w:after="0"/>
              <w:rPr>
                <w:sz w:val="20"/>
                <w:szCs w:val="20"/>
                <w:color w:val="auto"/>
              </w:rPr>
            </w:pPr>
            <w:r>
              <w:rPr>
                <w:rFonts w:ascii="Arial" w:cs="Arial" w:eastAsia="Arial" w:hAnsi="Arial"/>
                <w:sz w:val="18"/>
                <w:szCs w:val="18"/>
                <w:color w:val="auto"/>
              </w:rPr>
              <w:t>agreement</w:t>
            </w:r>
          </w:p>
        </w:tc>
        <w:tc>
          <w:tcPr>
            <w:tcW w:w="1080" w:type="dxa"/>
            <w:vAlign w:val="bottom"/>
          </w:tcPr>
          <w:p>
            <w:pPr>
              <w:spacing w:after="0"/>
              <w:rPr>
                <w:sz w:val="20"/>
                <w:szCs w:val="20"/>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8.5</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(110.4)%</w:t>
            </w:r>
          </w:p>
        </w:tc>
      </w:tr>
      <w:tr>
        <w:trPr>
          <w:trHeight w:val="27"/>
        </w:trPr>
        <w:tc>
          <w:tcPr>
            <w:tcW w:w="4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10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57"/>
        </w:trPr>
        <w:tc>
          <w:tcPr>
            <w:tcW w:w="4560" w:type="dxa"/>
            <w:vAlign w:val="bottom"/>
          </w:tcPr>
          <w:p>
            <w:pPr>
              <w:ind w:left="280"/>
              <w:spacing w:after="0"/>
              <w:rPr>
                <w:sz w:val="20"/>
                <w:szCs w:val="20"/>
                <w:color w:val="auto"/>
              </w:rPr>
            </w:pPr>
            <w:r>
              <w:rPr>
                <w:rFonts w:ascii="Arial" w:cs="Arial" w:eastAsia="Arial" w:hAnsi="Arial"/>
                <w:sz w:val="18"/>
                <w:szCs w:val="18"/>
                <w:color w:val="auto"/>
              </w:rPr>
              <w:t>Total non-operating expenses</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4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increase in non-operating expense was due primarily to a $8.5 million increase in the loss on the re-measurement of the payable to founding members under the tax receivable agreement primarily due to a change in the deferred tax rate related to the Colorado sales sourcing change, partially offset by the absence of a $1.2 million loss on the extinguishment of debt related to the refinancing of the senior secured credit facility in the second quarter of 2018.</w:t>
      </w:r>
    </w:p>
    <w:p>
      <w:pPr>
        <w:spacing w:after="0" w:line="7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decreased $13.7 million from $16.0 million for the second quarter of 2018, to $2.3 million for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2019. The decrease in income tax expense was primarily due to a decrease in deferred tax expense in the second quarter of 2019, compared to the second quarter of 2018 related to the Company's remeasurement of its deferred tax assets as a result of a 2018 state tax law change. The remaining decrease was primarily due to lower income before income taxes for the second quarter of 2019, compared to the second quarter of 2018.</w:t>
      </w:r>
    </w:p>
    <w:p>
      <w:pPr>
        <w:spacing w:after="0" w:line="10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Net income increased $4.7 million from $4.2 million for the second quarter of 2018 to $8.9 million for the second quarter of 2019.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net income was due to a $13.7 million decrease in income tax expense, as described above, and a $0.7 million decrease in net income attributable to noncontrolling interests. These increases to net income were partially offset by a $7.2 million increase in non-operating expenses, as described above, and a $2.5 million decrease in operating income related as described above for the second quarter of 2019, compared to the second quarter of 2018.</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27, 2019 and June 28, 2018</w:t>
      </w:r>
    </w:p>
    <w:p>
      <w:pPr>
        <w:spacing w:after="0" w:line="171"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decreased 3.5%, from $193.9 million for the six months ended June 28, 2018 to $187.1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27, 2019. The following is a summary of revenue by category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8"/>
              </w:rPr>
              <w:t>June 27, 2019</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w w:val="98"/>
              </w:rPr>
              <w:t>June 28, 2018</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rPr>
              <w:t>YTD 2019 to YTD</w:t>
            </w:r>
          </w:p>
        </w:tc>
        <w:tc>
          <w:tcPr>
            <w:tcW w:w="120" w:type="dxa"/>
            <w:vAlign w:val="bottom"/>
          </w:tcPr>
          <w:p>
            <w:pPr>
              <w:spacing w:after="0"/>
              <w:rPr>
                <w:sz w:val="13"/>
                <w:szCs w:val="13"/>
                <w:color w:val="auto"/>
              </w:rPr>
            </w:pPr>
          </w:p>
        </w:tc>
        <w:tc>
          <w:tcPr>
            <w:tcW w:w="16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YTD 2019 to YTD 2018</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advertising 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Local advertising revenue</w:t>
            </w:r>
          </w:p>
        </w:tc>
        <w:tc>
          <w:tcPr>
            <w:tcW w:w="2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Regional advertising revenue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9"/>
        </w:trPr>
        <w:tc>
          <w:tcPr>
            <w:tcW w:w="5080" w:type="dxa"/>
            <w:vAlign w:val="bottom"/>
          </w:tcPr>
          <w:p>
            <w:pPr>
              <w:ind w:left="40"/>
              <w:spacing w:after="0"/>
              <w:rPr>
                <w:sz w:val="20"/>
                <w:szCs w:val="20"/>
                <w:color w:val="auto"/>
              </w:rPr>
            </w:pPr>
            <w:r>
              <w:rPr>
                <w:rFonts w:ascii="Arial" w:cs="Arial" w:eastAsia="Arial" w:hAnsi="Arial"/>
                <w:sz w:val="18"/>
                <w:szCs w:val="18"/>
                <w:color w:val="auto"/>
              </w:rPr>
              <w:t>Founding member advertising revenue from</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beverage concessionaire agreements</w:t>
            </w:r>
          </w:p>
        </w:tc>
        <w:tc>
          <w:tcPr>
            <w:tcW w:w="22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187.1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193.9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65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17"/>
          <w:szCs w:val="17"/>
          <w:color w:val="auto"/>
        </w:rPr>
        <w:t>The following table shows data on theater attendance and revenue per attendee for the six months ended June 27, 2019 and June 28, 2018:</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2"/>
              </w:rPr>
              <w:t>Six Months Ended</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ind w:left="420"/>
              <w:spacing w:after="0"/>
              <w:rPr>
                <w:sz w:val="20"/>
                <w:szCs w:val="20"/>
                <w:color w:val="auto"/>
              </w:rPr>
            </w:pPr>
            <w:r>
              <w:rPr>
                <w:rFonts w:ascii="Arial" w:cs="Arial" w:eastAsia="Arial" w:hAnsi="Arial"/>
                <w:sz w:val="14"/>
                <w:szCs w:val="14"/>
                <w:b w:val="1"/>
                <w:bCs w:val="1"/>
                <w:color w:val="auto"/>
                <w:w w:val="92"/>
              </w:rPr>
              <w:t>June 27, 2019</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June 28, 2018</w:t>
            </w:r>
          </w:p>
        </w:tc>
        <w:tc>
          <w:tcPr>
            <w:tcW w:w="2060" w:type="dxa"/>
            <w:vAlign w:val="bottom"/>
          </w:tcPr>
          <w:p>
            <w:pPr>
              <w:jc w:val="right"/>
              <w:ind w:right="214"/>
              <w:spacing w:after="0"/>
              <w:rPr>
                <w:sz w:val="20"/>
                <w:szCs w:val="20"/>
                <w:color w:val="auto"/>
              </w:rPr>
            </w:pPr>
            <w:r>
              <w:rPr>
                <w:rFonts w:ascii="Arial" w:cs="Arial" w:eastAsia="Arial" w:hAnsi="Arial"/>
                <w:sz w:val="14"/>
                <w:szCs w:val="14"/>
                <w:b w:val="1"/>
                <w:bCs w:val="1"/>
                <w:color w:val="auto"/>
              </w:rPr>
              <w:t>YTD 2019 to YTD 2018</w:t>
            </w:r>
          </w:p>
        </w:tc>
      </w:tr>
      <w:tr>
        <w:trPr>
          <w:trHeight w:val="250"/>
        </w:trPr>
        <w:tc>
          <w:tcPr>
            <w:tcW w:w="5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advertising revenue per attendee</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0.394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9.4 %</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Local advertising revenue per attendee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0.091</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0.085</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7.1 %</w:t>
            </w:r>
          </w:p>
        </w:tc>
      </w:tr>
      <w:tr>
        <w:trPr>
          <w:trHeight w:val="27"/>
        </w:trPr>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Regional advertising revenue per attendee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0.030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0.033</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5320" w:type="dxa"/>
            <w:vAlign w:val="bottom"/>
          </w:tcPr>
          <w:p>
            <w:pPr>
              <w:ind w:left="40"/>
              <w:spacing w:after="0"/>
              <w:rPr>
                <w:sz w:val="20"/>
                <w:szCs w:val="20"/>
                <w:color w:val="auto"/>
              </w:rPr>
            </w:pPr>
            <w:r>
              <w:rPr>
                <w:rFonts w:ascii="Arial" w:cs="Arial" w:eastAsia="Arial" w:hAnsi="Arial"/>
                <w:sz w:val="18"/>
                <w:szCs w:val="18"/>
                <w:color w:val="auto"/>
              </w:rPr>
              <w:t>Total advertising revenue (excluding founding</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member beverage revenue) per attendee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0.516</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0.478</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7.9 %</w:t>
            </w:r>
          </w:p>
        </w:tc>
      </w:tr>
      <w:tr>
        <w:trPr>
          <w:trHeight w:val="27"/>
        </w:trPr>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advertising revenue per attendee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0.560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0.523</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154"/>
        </w:trPr>
        <w:tc>
          <w:tcPr>
            <w:tcW w:w="532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r>
    </w:tbl>
    <w:p>
      <w:pPr>
        <w:spacing w:after="0" w:line="143" w:lineRule="exact"/>
        <w:rPr>
          <w:sz w:val="20"/>
          <w:szCs w:val="20"/>
          <w:color w:val="auto"/>
        </w:rPr>
      </w:pPr>
    </w:p>
    <w:p>
      <w:pPr>
        <w:ind w:left="460" w:right="240" w:hanging="330"/>
        <w:spacing w:after="0" w:line="308" w:lineRule="auto"/>
        <w:tabs>
          <w:tab w:leader="none" w:pos="460" w:val="left"/>
        </w:tabs>
        <w:numPr>
          <w:ilvl w:val="0"/>
          <w:numId w:val="17"/>
        </w:numPr>
        <w:rPr>
          <w:rFonts w:ascii="Arial" w:cs="Arial" w:eastAsia="Arial" w:hAnsi="Arial"/>
          <w:sz w:val="17"/>
          <w:szCs w:val="17"/>
          <w:i w:val="1"/>
          <w:iCs w:val="1"/>
          <w:color w:val="auto"/>
        </w:rPr>
      </w:pPr>
      <w:r>
        <w:rPr>
          <w:rFonts w:ascii="Arial" w:cs="Arial" w:eastAsia="Arial" w:hAnsi="Arial"/>
          <w:sz w:val="17"/>
          <w:szCs w:val="17"/>
          <w:color w:val="auto"/>
        </w:rPr>
        <w:t>Represents the total attendance within our advertising network, excluding screens and attendance associated with certain AMC Carmike, AMC Rave and Cinemark Rave theaters that are currently part of another cinema advertising network for all periods presented.</w:t>
      </w:r>
    </w:p>
    <w:p>
      <w:pPr>
        <w:spacing w:after="0" w:line="93" w:lineRule="exact"/>
        <w:rPr>
          <w:sz w:val="20"/>
          <w:szCs w:val="20"/>
          <w:color w:val="auto"/>
        </w:rPr>
      </w:pPr>
    </w:p>
    <w:p>
      <w:pPr>
        <w:ind w:left="580" w:right="40"/>
        <w:spacing w:after="0" w:line="290" w:lineRule="auto"/>
        <w:rPr>
          <w:sz w:val="20"/>
          <w:szCs w:val="20"/>
          <w:color w:val="auto"/>
        </w:rPr>
      </w:pPr>
      <w:r>
        <w:rPr>
          <w:rFonts w:ascii="Arial" w:cs="Arial" w:eastAsia="Arial" w:hAnsi="Arial"/>
          <w:sz w:val="16"/>
          <w:szCs w:val="16"/>
          <w:u w:val="single" w:color="auto"/>
          <w:color w:val="auto"/>
        </w:rPr>
        <w:t>National advertising revenue.</w:t>
      </w:r>
      <w:r>
        <w:rPr>
          <w:rFonts w:ascii="Arial" w:cs="Arial" w:eastAsia="Arial" w:hAnsi="Arial"/>
          <w:sz w:val="16"/>
          <w:szCs w:val="16"/>
          <w:color w:val="auto"/>
        </w:rPr>
        <w:t xml:space="preserve"> The $2.0 million, or 1.5%, decrease in national advertising revenue (excluding beverage revenue from the founding members) was due primarily to a 2.2% decrease in national advertising CPMs (excluding beverage) and a 1.4% decrease in impressions sold. The decrease in national advertising CPMs (excluding beverage) in the six months ended June 27, 2019, compared to the six months ended June 28, 2018, was due to lower demand in the scatter market, which is inventory not included within an upfront or content partner commitment sold closer to the advertisement air date typically at higher CPMs. The decrease in impressions was primarily related to a 10.0% decrease in network attendance, partially offset by an increase in national advertising utilization from 98.5% in the six months ended June 28, 2018 to 107.8% in the six months ended June 27, 2019. Inventory utilization is calculated as utilized impressions divided by total advertising impressions, which is based on eleven 30-second salable national advertising units in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which can be expanded, should market demand dictate.</w:t>
      </w:r>
    </w:p>
    <w:p>
      <w:pPr>
        <w:spacing w:after="0" w:line="112" w:lineRule="exact"/>
        <w:rPr>
          <w:sz w:val="20"/>
          <w:szCs w:val="20"/>
          <w:color w:val="auto"/>
        </w:rPr>
      </w:pPr>
    </w:p>
    <w:p>
      <w:pPr>
        <w:ind w:left="580" w:right="20"/>
        <w:spacing w:after="0" w:line="257" w:lineRule="auto"/>
        <w:rPr>
          <w:sz w:val="20"/>
          <w:szCs w:val="20"/>
          <w:color w:val="auto"/>
        </w:rPr>
      </w:pPr>
      <w:r>
        <w:rPr>
          <w:rFonts w:ascii="Arial" w:cs="Arial" w:eastAsia="Arial" w:hAnsi="Arial"/>
          <w:sz w:val="18"/>
          <w:szCs w:val="18"/>
          <w:u w:val="single" w:color="auto"/>
          <w:color w:val="auto"/>
        </w:rPr>
        <w:t>Local advertising revenue.</w:t>
      </w:r>
      <w:r>
        <w:rPr>
          <w:rFonts w:ascii="Arial" w:cs="Arial" w:eastAsia="Arial" w:hAnsi="Arial"/>
          <w:sz w:val="18"/>
          <w:szCs w:val="18"/>
          <w:color w:val="auto"/>
        </w:rPr>
        <w:t xml:space="preserve"> The $1.1 million, or 3.5%, decrease in local advertising revenue was primarily due to a 10.2% decrease in the volume of local contracts driven by a reduction in headcount following a realignment of sales territories in late 2018 and due to the timing of several large contracts shifting into the second half of 2019 from the second quarter of 2019, partially offset by an increase in local digital sales revenue and a 2.3% increase in the average contract value driven by contracts under $100,000 in the six months ended June 27, 2019, compared to the six months ended June 28, 2018.</w:t>
      </w:r>
    </w:p>
    <w:p>
      <w:pPr>
        <w:spacing w:after="0" w:line="134" w:lineRule="exact"/>
        <w:rPr>
          <w:sz w:val="20"/>
          <w:szCs w:val="20"/>
          <w:color w:val="auto"/>
        </w:rPr>
      </w:pPr>
    </w:p>
    <w:p>
      <w:pPr>
        <w:ind w:left="580"/>
        <w:spacing w:after="0" w:line="264" w:lineRule="auto"/>
        <w:rPr>
          <w:sz w:val="20"/>
          <w:szCs w:val="20"/>
          <w:color w:val="auto"/>
        </w:rPr>
      </w:pPr>
      <w:r>
        <w:rPr>
          <w:rFonts w:ascii="Arial" w:cs="Arial" w:eastAsia="Arial" w:hAnsi="Arial"/>
          <w:sz w:val="18"/>
          <w:szCs w:val="18"/>
          <w:u w:val="single" w:color="auto"/>
          <w:color w:val="auto"/>
        </w:rPr>
        <w:t>Regional advertising revenue.</w:t>
      </w:r>
      <w:r>
        <w:rPr>
          <w:rFonts w:ascii="Arial" w:cs="Arial" w:eastAsia="Arial" w:hAnsi="Arial"/>
          <w:sz w:val="18"/>
          <w:szCs w:val="18"/>
          <w:color w:val="auto"/>
        </w:rPr>
        <w:t xml:space="preserve"> The $2.0 million, or 16.5%, decrease in regional advertising revenue was primarily due to both a reduction in spend and a $1.0 million shift from regional advertising to national advertising within our automotive category during the first six months of 2018, compared to the first six months of 2019.</w:t>
      </w:r>
    </w:p>
    <w:p>
      <w:pPr>
        <w:spacing w:after="0" w:line="127" w:lineRule="exact"/>
        <w:rPr>
          <w:sz w:val="20"/>
          <w:szCs w:val="20"/>
          <w:color w:val="auto"/>
        </w:rPr>
      </w:pPr>
    </w:p>
    <w:p>
      <w:pPr>
        <w:ind w:left="580" w:right="200"/>
        <w:spacing w:after="0" w:line="279" w:lineRule="auto"/>
        <w:rPr>
          <w:sz w:val="20"/>
          <w:szCs w:val="20"/>
          <w:color w:val="auto"/>
        </w:rPr>
      </w:pPr>
      <w:r>
        <w:rPr>
          <w:rFonts w:ascii="Arial" w:cs="Arial" w:eastAsia="Arial" w:hAnsi="Arial"/>
          <w:sz w:val="17"/>
          <w:szCs w:val="17"/>
          <w:u w:val="single" w:color="auto"/>
          <w:color w:val="auto"/>
        </w:rPr>
        <w:t>Founding member beverage revenue.</w:t>
      </w:r>
      <w:r>
        <w:rPr>
          <w:rFonts w:ascii="Arial" w:cs="Arial" w:eastAsia="Arial" w:hAnsi="Arial"/>
          <w:sz w:val="17"/>
          <w:szCs w:val="17"/>
          <w:color w:val="auto"/>
        </w:rPr>
        <w:t xml:space="preserve"> The $1.7 million, or 10.2%, decrease in national advertising revenue from the founding members’ beverage concessionaire agreements was primarily due to a 9.6% decrease in founding member attendance, partially offset by a 0.7% increase in beverage revenue CPMs, in the six months ended June 27, 2019, compared to the six months ended June 28, 2018. The 2019 beverage revenue CPM is based on the change in CPM during segment one of our pre-show from 2017 to 2018, which increased 0.7%.</w:t>
      </w:r>
    </w:p>
    <w:p>
      <w:pPr>
        <w:spacing w:after="0" w:line="117" w:lineRule="exact"/>
        <w:rPr>
          <w:sz w:val="20"/>
          <w:szCs w:val="20"/>
          <w:color w:val="auto"/>
        </w:rPr>
      </w:pPr>
    </w:p>
    <w:p>
      <w:pPr>
        <w:ind w:right="80" w:firstLine="540"/>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decreased $4.2 million, or 2.9%, from $142.7 million for the six months ended June 28, 2018 to $138.5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27, 2019. The following table shows the changes in operating expense for the six months ended June 27, 2019 and June 28, 2018 (in millions):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76"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w w:val="98"/>
              </w:rPr>
              <w:t>June 27, 2019</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w w:val="98"/>
              </w:rPr>
              <w:t>June 28, 2018</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right="54"/>
              <w:spacing w:after="0" w:line="153" w:lineRule="exact"/>
              <w:rPr>
                <w:sz w:val="20"/>
                <w:szCs w:val="20"/>
                <w:color w:val="auto"/>
              </w:rPr>
            </w:pPr>
            <w:r>
              <w:rPr>
                <w:rFonts w:ascii="Arial" w:cs="Arial" w:eastAsia="Arial" w:hAnsi="Arial"/>
                <w:sz w:val="14"/>
                <w:szCs w:val="14"/>
                <w:b w:val="1"/>
                <w:bCs w:val="1"/>
                <w:color w:val="auto"/>
              </w:rPr>
              <w:t>YTD 2019 to YTD</w:t>
            </w:r>
          </w:p>
        </w:tc>
        <w:tc>
          <w:tcPr>
            <w:tcW w:w="120" w:type="dxa"/>
            <w:vAlign w:val="bottom"/>
          </w:tcPr>
          <w:p>
            <w:pPr>
              <w:spacing w:after="0"/>
              <w:rPr>
                <w:sz w:val="13"/>
                <w:szCs w:val="13"/>
                <w:color w:val="auto"/>
              </w:rPr>
            </w:pPr>
          </w:p>
        </w:tc>
        <w:tc>
          <w:tcPr>
            <w:tcW w:w="16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YTD 2019 to YTD 2018</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operating costs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Network costs</w:t>
            </w:r>
          </w:p>
        </w:tc>
        <w:tc>
          <w:tcPr>
            <w:tcW w:w="2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Theater access fees—founding members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Selling and marketing costs</w:t>
            </w:r>
          </w:p>
        </w:tc>
        <w:tc>
          <w:tcPr>
            <w:tcW w:w="2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and other costs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2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0.7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5080" w:type="dxa"/>
            <w:vAlign w:val="bottom"/>
          </w:tcPr>
          <w:p>
            <w:pPr>
              <w:ind w:left="40"/>
              <w:spacing w:after="0"/>
              <w:rPr>
                <w:sz w:val="20"/>
                <w:szCs w:val="20"/>
                <w:color w:val="auto"/>
              </w:rPr>
            </w:pPr>
            <w:r>
              <w:rPr>
                <w:rFonts w:ascii="Arial" w:cs="Arial" w:eastAsia="Arial" w:hAnsi="Arial"/>
                <w:sz w:val="18"/>
                <w:szCs w:val="18"/>
                <w:color w:val="auto"/>
              </w:rPr>
              <w:t>Amortization of intangibles recorded for</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40"/>
              <w:spacing w:after="0"/>
              <w:rPr>
                <w:sz w:val="20"/>
                <w:szCs w:val="20"/>
                <w:color w:val="auto"/>
              </w:rPr>
            </w:pPr>
            <w:r>
              <w:rPr>
                <w:rFonts w:ascii="Arial" w:cs="Arial" w:eastAsia="Arial" w:hAnsi="Arial"/>
                <w:sz w:val="18"/>
                <w:szCs w:val="18"/>
                <w:color w:val="auto"/>
              </w:rPr>
              <w:t>network theater screen leases</w:t>
            </w:r>
          </w:p>
        </w:tc>
        <w:tc>
          <w:tcPr>
            <w:tcW w:w="22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13.9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138.5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142.7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80"/>
        <w:spacing w:after="0" w:line="293"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operating costs increased $1.0 million, or 6.2%, from $16.2 million for the six months ended June 28, 2018 to $17.2 million for the six months ended June 27, 2019. The increase was primarily related to a $0.6 million increase in affiliate advertising payments driven by a 3.6%, or 148 screen, increase in the number of average affiliate screen count as of the six months ended June 27, 2019, compared to the six months ended June 28, 2018, and an increase in the guaranteed minimums owed to affiliates of $0.6 million during the first six months of 2019, compared to the first six months of 2018. Advertising operating costs also increased due to a $0.2 million increase in personnel related expenses due to higher salaries from certain personnel moving from sales and marketing roles to advertising operations roles.</w:t>
      </w:r>
    </w:p>
    <w:p>
      <w:pPr>
        <w:spacing w:after="0" w:line="111" w:lineRule="exact"/>
        <w:rPr>
          <w:sz w:val="20"/>
          <w:szCs w:val="20"/>
          <w:color w:val="auto"/>
        </w:rPr>
      </w:pPr>
    </w:p>
    <w:p>
      <w:pPr>
        <w:ind w:left="580" w:right="260"/>
        <w:spacing w:after="0" w:line="277"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increased $0.1 million, or 1.5%, from $6.8 million for the six months ended June 28, 2018 to $6.9 million for the six months ended June 27, 2019.</w:t>
      </w:r>
    </w:p>
    <w:p>
      <w:pPr>
        <w:spacing w:after="0" w:line="116" w:lineRule="exact"/>
        <w:rPr>
          <w:sz w:val="20"/>
          <w:szCs w:val="20"/>
          <w:color w:val="auto"/>
        </w:rPr>
      </w:pPr>
    </w:p>
    <w:p>
      <w:pPr>
        <w:ind w:left="580" w:right="20"/>
        <w:spacing w:after="0" w:line="276" w:lineRule="auto"/>
        <w:rPr>
          <w:sz w:val="20"/>
          <w:szCs w:val="20"/>
          <w:color w:val="auto"/>
        </w:rPr>
      </w:pPr>
      <w:r>
        <w:rPr>
          <w:rFonts w:ascii="Arial" w:cs="Arial" w:eastAsia="Arial" w:hAnsi="Arial"/>
          <w:sz w:val="17"/>
          <w:szCs w:val="17"/>
          <w:u w:val="single" w:color="auto"/>
          <w:color w:val="auto"/>
        </w:rPr>
        <w:t>Theater access fees—founding members.</w:t>
      </w:r>
      <w:r>
        <w:rPr>
          <w:rFonts w:ascii="Arial" w:cs="Arial" w:eastAsia="Arial" w:hAnsi="Arial"/>
          <w:sz w:val="17"/>
          <w:szCs w:val="17"/>
          <w:color w:val="auto"/>
        </w:rPr>
        <w:t xml:space="preserve"> Theater access fees decreased $1.4 million, or 3.3%, from $42.1 million in the six months ended June 28, 2018 to $40.7 million for the six months ended June 27, 2019. The expense associated with founding member attendance decreased $2.4 million due a 9.6% decrease in attendance at founding members’ theaters, which was partially offset by a $0.9 million increase in the expense associated with the founding member digital screens that are connected to the DCN (nearly 100% of our screens as of June 27, 2019), including higher quality digital cinema projectors and related equipment, due to the annual 5% rate increase specified in the ESAs.</w:t>
      </w:r>
    </w:p>
    <w:p>
      <w:pPr>
        <w:spacing w:after="0" w:line="119" w:lineRule="exact"/>
        <w:rPr>
          <w:sz w:val="20"/>
          <w:szCs w:val="20"/>
          <w:color w:val="auto"/>
        </w:rPr>
      </w:pPr>
    </w:p>
    <w:p>
      <w:pPr>
        <w:ind w:left="580"/>
        <w:spacing w:after="0" w:line="270" w:lineRule="auto"/>
        <w:rPr>
          <w:sz w:val="20"/>
          <w:szCs w:val="20"/>
          <w:color w:val="auto"/>
        </w:rPr>
      </w:pPr>
      <w:r>
        <w:rPr>
          <w:rFonts w:ascii="Arial" w:cs="Arial" w:eastAsia="Arial" w:hAnsi="Arial"/>
          <w:sz w:val="17"/>
          <w:szCs w:val="17"/>
          <w:u w:val="single" w:color="auto"/>
          <w:color w:val="auto"/>
        </w:rPr>
        <w:t>Selling and marketing costs.</w:t>
      </w:r>
      <w:r>
        <w:rPr>
          <w:rFonts w:ascii="Arial" w:cs="Arial" w:eastAsia="Arial" w:hAnsi="Arial"/>
          <w:sz w:val="17"/>
          <w:szCs w:val="17"/>
          <w:color w:val="auto"/>
        </w:rPr>
        <w:t xml:space="preserve"> Selling and marketing costs decreased $1.3 million, or 4.0%, from $32.7 million for the six months ended June 28, 2018 to $31.4 million for the six months ended June 27, 2019. This decrease was primarily due to a $2.3 million decrease in personnel related expenses which was the result of lower salaries and commissions due to a reduction in sales force in late 2018 and lower non-cash share-based compensation expense due to a decrease in the volume of awards granted in 2019, compared to 2018. The decrease was also due to a $0.4 million non-cash impairment charge realized in the six months ended June 28, 2018, related to investments obtained in prior years in exchange for advertising services, and no such expense in the six months ended June 27, 2019. These decreases were partially offset by an increase in expenses related to sales meetings, including related travel expenses, due to the timing of meetings, an increase in company advertising expense associated with online and social media platforms, and an increase in online publisher expense related to higher digital revenue in the six months ended June 27, 2019, compared to the six months ended June 28, 2018.</w:t>
      </w:r>
    </w:p>
    <w:p>
      <w:pPr>
        <w:spacing w:after="0" w:line="128" w:lineRule="exact"/>
        <w:rPr>
          <w:sz w:val="20"/>
          <w:szCs w:val="20"/>
          <w:color w:val="auto"/>
        </w:rPr>
      </w:pPr>
    </w:p>
    <w:p>
      <w:pPr>
        <w:ind w:left="580" w:right="160"/>
        <w:spacing w:after="0" w:line="270" w:lineRule="auto"/>
        <w:rPr>
          <w:sz w:val="20"/>
          <w:szCs w:val="20"/>
          <w:color w:val="auto"/>
        </w:rPr>
      </w:pPr>
      <w:r>
        <w:rPr>
          <w:rFonts w:ascii="Arial" w:cs="Arial" w:eastAsia="Arial" w:hAnsi="Arial"/>
          <w:sz w:val="17"/>
          <w:szCs w:val="17"/>
          <w:u w:val="single" w:color="auto"/>
          <w:color w:val="auto"/>
        </w:rPr>
        <w:t>Administrative and other costs.</w:t>
      </w:r>
      <w:r>
        <w:rPr>
          <w:rFonts w:ascii="Arial" w:cs="Arial" w:eastAsia="Arial" w:hAnsi="Arial"/>
          <w:sz w:val="17"/>
          <w:szCs w:val="17"/>
          <w:color w:val="auto"/>
        </w:rPr>
        <w:t xml:space="preserve"> Administrative and other costs decreased $3.6 million, or 14.2%, from $25.4 million for the six months ended June 28, 2018 to $21.8 million for the six months ended June 27, 2019. This decrease was primarily related to a $3.0 million decrease in personnel related expenses driven by 1) a $1.3 million increase in capitalized personnel costs driven by the nature of the work being performed by our information technology department 2) a $1.1 million decrease in non-cash share-based compensation expense related to a decrease in the volume of awards granted in 2019, compared to 2018, and 3) a $0.9 million decrease in salary and bonus expense at NCM, Inc. due to the absence of a CEO during the six months ended June 27, 2019, compared to the six months ended June 28, 2018. Administrative and other costs also decreased due to a $2.0 million decrease in legal and professional services primarily related to a $1.2 million decrease in legal and professional fees related to the negotiation of the settlement agreement with a large shareholder that occurred in the second quarter of 2018. These decreases in administrative and other costs were partially offset by a $0.6 million increase in consulting services and a $0.3 million increase in CEO transition fees related to costs incurred in the six months ended June 27, 2019.</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9" w:right="239" w:bottom="1440" w:gutter="0" w:footer="0" w:header="0"/>
        </w:sectPr>
      </w:pPr>
    </w:p>
    <w:bookmarkStart w:id="31" w:name="page32"/>
    <w:bookmarkEnd w:id="31"/>
    <w:p>
      <w:pPr>
        <w:ind w:left="580" w:right="460"/>
        <w:spacing w:after="0" w:line="342" w:lineRule="auto"/>
        <w:rPr>
          <w:sz w:val="20"/>
          <w:szCs w:val="20"/>
          <w:color w:val="auto"/>
        </w:rPr>
      </w:pPr>
      <w:r>
        <w:rPr>
          <w:rFonts w:ascii="Arial" w:cs="Arial" w:eastAsia="Arial" w:hAnsi="Arial"/>
          <w:sz w:val="16"/>
          <w:szCs w:val="16"/>
          <w:u w:val="single" w:color="auto"/>
          <w:color w:val="auto"/>
        </w:rPr>
        <w:t>Depreciation expense.</w:t>
      </w:r>
      <w:r>
        <w:rPr>
          <w:rFonts w:ascii="Arial" w:cs="Arial" w:eastAsia="Arial" w:hAnsi="Arial"/>
          <w:sz w:val="16"/>
          <w:szCs w:val="16"/>
          <w:color w:val="auto"/>
        </w:rPr>
        <w:t xml:space="preserve"> Depreciation expense increased $0.7 million, or 11.9%, from $5.9 million for the six months ended June 28, 2018 to $6.6 million for the six months ended June 27, 2019, primarily due to new fixed assets being placed into service in 2019, compared to 2018.</w:t>
      </w:r>
    </w:p>
    <w:p>
      <w:pPr>
        <w:spacing w:after="0" w:line="70" w:lineRule="exact"/>
        <w:rPr>
          <w:sz w:val="20"/>
          <w:szCs w:val="20"/>
          <w:color w:val="auto"/>
        </w:rPr>
      </w:pPr>
    </w:p>
    <w:p>
      <w:pPr>
        <w:ind w:left="580" w:right="40"/>
        <w:spacing w:after="0" w:line="291" w:lineRule="auto"/>
        <w:rPr>
          <w:sz w:val="20"/>
          <w:szCs w:val="20"/>
          <w:color w:val="auto"/>
        </w:rPr>
      </w:pPr>
      <w:r>
        <w:rPr>
          <w:rFonts w:ascii="Arial" w:cs="Arial" w:eastAsia="Arial" w:hAnsi="Arial"/>
          <w:sz w:val="16"/>
          <w:szCs w:val="16"/>
          <w:u w:val="single" w:color="auto"/>
          <w:color w:val="auto"/>
        </w:rPr>
        <w:t>Amortization expense and Amortization of intangibles recorded for network theater screen leases.</w:t>
      </w:r>
      <w:r>
        <w:rPr>
          <w:rFonts w:ascii="Arial" w:cs="Arial" w:eastAsia="Arial" w:hAnsi="Arial"/>
          <w:sz w:val="16"/>
          <w:szCs w:val="16"/>
          <w:color w:val="auto"/>
        </w:rPr>
        <w:t xml:space="preserve"> Amortization of the ESA and affiliate intangibles was $13.9 million for the six months ended June 27, 2019 up from the $13.6 million of amortization expense for the six months ended June 28, 2018. Following the adoption of ASC 842, as discussed within Note 1 to the unaudited Condensed Consolidated Financial Statements included elsewhere in this document, amortization of the ESA and affiliate intangible balances is considered a form of lease expense and has been reclassified from amortization expense to amortization of intangibles recorded for network theater screen leases as of the adoption date, December 28, 2018. The Company adopted ASC 842 prospectively and thus, prior period balances remain within amortization expense. The $0.3 million increase was due to an increase in the underlying intangible asset balances following our annual common unit adjustment.</w:t>
      </w:r>
    </w:p>
    <w:p>
      <w:pPr>
        <w:spacing w:after="0" w:line="113" w:lineRule="exact"/>
        <w:rPr>
          <w:sz w:val="20"/>
          <w:szCs w:val="20"/>
          <w:color w:val="auto"/>
        </w:rPr>
      </w:pPr>
    </w:p>
    <w:p>
      <w:pPr>
        <w:ind w:firstLine="540"/>
        <w:spacing w:after="0" w:line="264" w:lineRule="auto"/>
        <w:rPr>
          <w:sz w:val="20"/>
          <w:szCs w:val="20"/>
          <w:color w:val="auto"/>
        </w:rPr>
      </w:pPr>
      <w:r>
        <w:rPr>
          <w:rFonts w:ascii="Arial" w:cs="Arial" w:eastAsia="Arial" w:hAnsi="Arial"/>
          <w:sz w:val="18"/>
          <w:szCs w:val="18"/>
          <w:i w:val="1"/>
          <w:iCs w:val="1"/>
          <w:color w:val="auto"/>
        </w:rPr>
        <w:t xml:space="preserve">Non-operating expenses. </w:t>
      </w:r>
      <w:r>
        <w:rPr>
          <w:rFonts w:ascii="Arial" w:cs="Arial" w:eastAsia="Arial" w:hAnsi="Arial"/>
          <w:sz w:val="18"/>
          <w:szCs w:val="18"/>
          <w:color w:val="auto"/>
        </w:rPr>
        <w:t>Total non-operating expenses increased $7.9 million, or 38.3%, from $20.6 million for the six months ended June 28, 2018 to</w:t>
      </w:r>
      <w:r>
        <w:rPr>
          <w:rFonts w:ascii="Arial" w:cs="Arial" w:eastAsia="Arial" w:hAnsi="Arial"/>
          <w:sz w:val="18"/>
          <w:szCs w:val="18"/>
          <w:i w:val="1"/>
          <w:iCs w:val="1"/>
          <w:color w:val="auto"/>
        </w:rPr>
        <w:t xml:space="preserve"> </w:t>
      </w:r>
      <w:r>
        <w:rPr>
          <w:rFonts w:ascii="Arial" w:cs="Arial" w:eastAsia="Arial" w:hAnsi="Arial"/>
          <w:sz w:val="18"/>
          <w:szCs w:val="18"/>
          <w:color w:val="auto"/>
        </w:rPr>
        <w:t>$28.5 million for the six months ended June 27, 2019. The following table shows the changes in non-operating expense for the six months ended June 27, 2019 and June 28, 2018 (in millions):</w:t>
      </w:r>
    </w:p>
    <w:p>
      <w:pPr>
        <w:spacing w:after="0" w:line="348"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6"/>
                <w:szCs w:val="16"/>
                <w:color w:val="auto"/>
              </w:rPr>
            </w:pPr>
          </w:p>
        </w:tc>
        <w:tc>
          <w:tcPr>
            <w:tcW w:w="1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2"/>
        </w:trPr>
        <w:tc>
          <w:tcPr>
            <w:tcW w:w="4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8"/>
              </w:rPr>
              <w:t>June 27, 2019</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6"/>
              </w:rPr>
              <w:t>June 28, 2018</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center"/>
              <w:ind w:right="16"/>
              <w:spacing w:after="0" w:line="153" w:lineRule="exact"/>
              <w:rPr>
                <w:sz w:val="20"/>
                <w:szCs w:val="20"/>
                <w:color w:val="auto"/>
              </w:rPr>
            </w:pPr>
            <w:r>
              <w:rPr>
                <w:rFonts w:ascii="Arial" w:cs="Arial" w:eastAsia="Arial" w:hAnsi="Arial"/>
                <w:sz w:val="14"/>
                <w:szCs w:val="14"/>
                <w:b w:val="1"/>
                <w:bCs w:val="1"/>
                <w:color w:val="auto"/>
                <w:w w:val="99"/>
              </w:rPr>
              <w:t>YTD 2019 to YTD</w:t>
            </w:r>
          </w:p>
        </w:tc>
        <w:tc>
          <w:tcPr>
            <w:tcW w:w="12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YTD 2019 to YTD 2018</w:t>
            </w:r>
          </w:p>
        </w:tc>
        <w:tc>
          <w:tcPr>
            <w:tcW w:w="0" w:type="dxa"/>
            <w:vAlign w:val="bottom"/>
          </w:tcPr>
          <w:p>
            <w:pPr>
              <w:spacing w:after="0"/>
              <w:rPr>
                <w:sz w:val="1"/>
                <w:szCs w:val="1"/>
                <w:color w:val="auto"/>
              </w:rPr>
            </w:pPr>
          </w:p>
        </w:tc>
      </w:tr>
      <w:tr>
        <w:trPr>
          <w:trHeight w:val="192"/>
        </w:trPr>
        <w:tc>
          <w:tcPr>
            <w:tcW w:w="47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borrowings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0.7</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42.9 %</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loss on early retirement of debt,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Loss (gain) on re-measurement of the</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40"/>
              <w:spacing w:after="0"/>
              <w:rPr>
                <w:sz w:val="20"/>
                <w:szCs w:val="20"/>
                <w:color w:val="auto"/>
              </w:rPr>
            </w:pPr>
            <w:r>
              <w:rPr>
                <w:rFonts w:ascii="Arial" w:cs="Arial" w:eastAsia="Arial" w:hAnsi="Arial"/>
                <w:sz w:val="18"/>
                <w:szCs w:val="18"/>
                <w:color w:val="auto"/>
              </w:rPr>
              <w:t>payable to founding members under the</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tax receivable agreement</w:t>
            </w:r>
          </w:p>
        </w:tc>
        <w:tc>
          <w:tcPr>
            <w:tcW w:w="18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9.3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non-operating income</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4720" w:type="dxa"/>
            <w:vAlign w:val="bottom"/>
          </w:tcPr>
          <w:p>
            <w:pPr>
              <w:ind w:left="20"/>
              <w:spacing w:after="0"/>
              <w:rPr>
                <w:sz w:val="20"/>
                <w:szCs w:val="20"/>
                <w:color w:val="auto"/>
              </w:rPr>
            </w:pPr>
            <w:r>
              <w:rPr>
                <w:rFonts w:ascii="Arial" w:cs="Arial" w:eastAsia="Arial" w:hAnsi="Arial"/>
                <w:sz w:val="18"/>
                <w:szCs w:val="18"/>
                <w:color w:val="auto"/>
              </w:rPr>
              <w:t>Total non-operating expenses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38.3 %</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increase in non-operating expense was due primarily to a $9.3 million increase in the loss on the re-measurement of the payable to founding members under the tax receivable agreement in 2018 primarily due to a change in the deferred tax rate related to a change in Colorado tax law regarding sales sourcing and a $0.7 million increase in interest on borrowings due to a 0.26% increase in the weighted average interest on borrowings driven by an increase in the LIBOR rate on our term loan for the six months ended June 27, 2019, compared to the six months ended June 28, 2018. These increases were partially offset by a $1.5 million increase related to the gain (loss) on early retirement of our debt, due primarily to the absence of a $1.2 million loss on the extinguishment of debt related to the refinancing of the senior secured credit facility in the second quarter of 2018.</w:t>
      </w:r>
    </w:p>
    <w:p>
      <w:pPr>
        <w:spacing w:after="0" w:line="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decreased $15.3 million from $17.0 million for the six months ended June 28, 2018 to $1.7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27, 2019. The decrease in income tax expense was primarily due to a decrease in deferred tax expense for the six months ended June 27, 2019, compared to the six months ended June 28, 2018 related to the Company's remeasurement of its deferred taxes as a result of a 2018 state tax law change. The remaining decrease was primarily due to a lower income before income taxes for the six months ended June 27, 2019, compared to the six months ended June 28, 2018.</w:t>
      </w:r>
    </w:p>
    <w:p>
      <w:pPr>
        <w:spacing w:after="0" w:line="13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increased $5.5 million from $2.3 million for the six months ended June 28, 2018 to $7.8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27, 2019. The increase in net income was due to a $15.3 million decrease in income tax expense, as described above, and a $0.7 million decrease in net income attributable to noncontrolling interests. These increases to net income were partially offset by an $7.9 million increase in non-operating expenses, as described above, and a $2.6 million decrease in operating income, as described above, for the six months ended June 27, 2019, compared to the six months ended June 28,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175" w:lineRule="exact"/>
        <w:rPr>
          <w:sz w:val="20"/>
          <w:szCs w:val="20"/>
          <w:color w:val="auto"/>
        </w:rPr>
      </w:pPr>
    </w:p>
    <w:p>
      <w:pPr>
        <w:ind w:right="280" w:firstLine="540"/>
        <w:spacing w:after="0" w:line="259" w:lineRule="auto"/>
        <w:rPr>
          <w:sz w:val="20"/>
          <w:szCs w:val="20"/>
          <w:color w:val="auto"/>
        </w:rPr>
      </w:pPr>
      <w:r>
        <w:rPr>
          <w:rFonts w:ascii="Arial" w:cs="Arial" w:eastAsia="Arial" w:hAnsi="Arial"/>
          <w:sz w:val="18"/>
          <w:szCs w:val="18"/>
          <w:b w:val="1"/>
          <w:bCs w:val="1"/>
          <w:i w:val="1"/>
          <w:iCs w:val="1"/>
          <w:color w:val="auto"/>
        </w:rPr>
        <w:t>Beverage Revenue</w:t>
      </w:r>
      <w:r>
        <w:rPr>
          <w:rFonts w:ascii="Arial" w:cs="Arial" w:eastAsia="Arial" w:hAnsi="Arial"/>
          <w:sz w:val="18"/>
          <w:szCs w:val="18"/>
          <w:color w:val="auto"/>
        </w:rPr>
        <w:t>—Under the ESAs, up to 90 seconds of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Noovie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pre-show program can be sold to the founding members to satisfy their on-screen advertising commitments under their beverage concessionaire agreements. For the first three and six months of 2019 and 2018, two of the founding members purchased 60 seconds of on-screen advertising time and one founding member purchased 30 seconds to satisfy their obligations under their beverage concessionaire agreements. The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8" w:right="239" w:bottom="1440" w:gutter="0" w:footer="0" w:header="0"/>
        </w:sectPr>
      </w:pPr>
    </w:p>
    <w:bookmarkStart w:id="32" w:name="page33"/>
    <w:bookmarkEnd w:id="32"/>
    <w:p>
      <w:pPr>
        <w:ind w:right="20"/>
        <w:spacing w:after="0" w:line="293" w:lineRule="auto"/>
        <w:rPr>
          <w:sz w:val="20"/>
          <w:szCs w:val="20"/>
          <w:color w:val="auto"/>
        </w:rPr>
      </w:pPr>
      <w:r>
        <w:rPr>
          <w:rFonts w:ascii="Arial" w:cs="Arial" w:eastAsia="Arial" w:hAnsi="Arial"/>
          <w:sz w:val="16"/>
          <w:szCs w:val="16"/>
          <w:color w:val="auto"/>
        </w:rPr>
        <w:t xml:space="preserve">founding members’ current long-term contracts with their beverage suppliers require the 30 or 60 seconds of beverage advertising, although such commitments could change in the future. Should the amount of time required as part of these beverage concessionaire agreements decline, this premium time will be available for sale to other clients. Per the ESAs, the time sold to the founding member beverage supplier is priced equal to the advertising CPM for the previous year charged by NCM LLC to unaffiliated third parties during segment one (closest to showtime) of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limited to the highest advertising CPM being then-charged by NCM LLC. Due to a 0.7% increase in segment one CPMs in 2018, the CPM on our beverage concessionaire revenue increased during the first three and six months of 2019 by 0.7% and the remainder of 2019 will increase by an equivalent percentage.</w:t>
      </w:r>
    </w:p>
    <w:p>
      <w:pPr>
        <w:spacing w:after="0" w:line="111" w:lineRule="exact"/>
        <w:rPr>
          <w:sz w:val="20"/>
          <w:szCs w:val="20"/>
          <w:color w:val="auto"/>
        </w:rPr>
      </w:pPr>
    </w:p>
    <w:p>
      <w:pPr>
        <w:ind w:firstLine="540"/>
        <w:spacing w:after="0" w:line="257" w:lineRule="auto"/>
        <w:rPr>
          <w:sz w:val="20"/>
          <w:szCs w:val="20"/>
          <w:color w:val="auto"/>
        </w:rPr>
      </w:pPr>
      <w:r>
        <w:rPr>
          <w:rFonts w:ascii="Arial" w:cs="Arial" w:eastAsia="Arial" w:hAnsi="Arial"/>
          <w:sz w:val="18"/>
          <w:szCs w:val="18"/>
          <w:b w:val="1"/>
          <w:bCs w:val="1"/>
          <w:i w:val="1"/>
          <w:iCs w:val="1"/>
          <w:color w:val="auto"/>
        </w:rPr>
        <w:t>Theater Access Fees</w:t>
      </w:r>
      <w:r>
        <w:rPr>
          <w:rFonts w:ascii="Arial" w:cs="Arial" w:eastAsia="Arial" w:hAnsi="Arial"/>
          <w:sz w:val="18"/>
          <w:szCs w:val="18"/>
          <w:color w:val="auto"/>
        </w:rPr>
        <w:t>—In consideration for NCM LLC’s access to the founding members’ theater attendees for on-screen advertising and use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lobbies and other space within the founding members’ theaters for the LEN and lobby promotions, the founding members receive a monthly theater access fee under the ESAs. The theater access fee is composed of a fixed payment per patron and a fixed payment per digital screen (connected to the DCN). The payment per theater patron increases by 8% every five years, with the next increase occurring in fiscal year 2022. Pursuant to the ESAs, the payment per digital screen increases annually by 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ind w:right="80" w:firstLine="540"/>
        <w:spacing w:after="0" w:line="259" w:lineRule="auto"/>
        <w:rPr>
          <w:sz w:val="20"/>
          <w:szCs w:val="20"/>
          <w:color w:val="auto"/>
        </w:rPr>
      </w:pPr>
      <w:r>
        <w:rPr>
          <w:rFonts w:ascii="Arial" w:cs="Arial" w:eastAsia="Arial" w:hAnsi="Arial"/>
          <w:sz w:val="18"/>
          <w:szCs w:val="18"/>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NCM LLC’s founding members, interest or principal payments on our term loan and the Notes due 2022 and Notes due 2026, income tax payments, TRA payments to NCM LLC’s founding members and amount of quarterly dividends to NCM, Inc.’s common stockholders.</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27, 2019</w:t>
            </w:r>
          </w:p>
        </w:tc>
        <w:tc>
          <w:tcPr>
            <w:tcW w:w="12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27,</w:t>
            </w:r>
          </w:p>
        </w:tc>
        <w:tc>
          <w:tcPr>
            <w:tcW w:w="12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28, 2018</w:t>
            </w:r>
          </w:p>
        </w:tc>
        <w:tc>
          <w:tcPr>
            <w:tcW w:w="12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Q2 2019 to YE</w:t>
            </w:r>
          </w:p>
        </w:tc>
        <w:tc>
          <w:tcPr>
            <w:tcW w:w="120" w:type="dxa"/>
            <w:vAlign w:val="bottom"/>
          </w:tcPr>
          <w:p>
            <w:pPr>
              <w:spacing w:after="0"/>
              <w:rPr>
                <w:sz w:val="13"/>
                <w:szCs w:val="13"/>
                <w:color w:val="auto"/>
              </w:rPr>
            </w:pPr>
          </w:p>
        </w:tc>
        <w:tc>
          <w:tcPr>
            <w:tcW w:w="1000" w:type="dxa"/>
            <w:vAlign w:val="bottom"/>
          </w:tcPr>
          <w:p>
            <w:pPr>
              <w:jc w:val="center"/>
              <w:ind w:right="39"/>
              <w:spacing w:after="0" w:line="153" w:lineRule="exact"/>
              <w:rPr>
                <w:sz w:val="20"/>
                <w:szCs w:val="20"/>
                <w:color w:val="auto"/>
              </w:rPr>
            </w:pPr>
            <w:r>
              <w:rPr>
                <w:rFonts w:ascii="Arial" w:cs="Arial" w:eastAsia="Arial" w:hAnsi="Arial"/>
                <w:sz w:val="14"/>
                <w:szCs w:val="14"/>
                <w:b w:val="1"/>
                <w:bCs w:val="1"/>
                <w:color w:val="auto"/>
                <w:w w:val="94"/>
              </w:rPr>
              <w:t>Q2 2019 to Q2</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Cash, cash equivalents and marketable securities </w:t>
            </w:r>
            <w:r>
              <w:rPr>
                <w:rFonts w:ascii="Arial" w:cs="Arial" w:eastAsia="Arial" w:hAnsi="Arial"/>
                <w:sz w:val="18"/>
                <w:szCs w:val="18"/>
                <w:i w:val="1"/>
                <w:iCs w:val="1"/>
                <w:color w:val="auto"/>
              </w:rPr>
              <w:t>(1)</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 xml:space="preserve">NCM LLC revolver availability </w:t>
            </w:r>
            <w:r>
              <w:rPr>
                <w:rFonts w:ascii="Arial" w:cs="Arial" w:eastAsia="Arial" w:hAnsi="Arial"/>
                <w:sz w:val="18"/>
                <w:szCs w:val="18"/>
                <w:i w:val="1"/>
                <w:iCs w:val="1"/>
                <w:color w:val="auto"/>
              </w:rPr>
              <w:t>(2)</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143.2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liquidity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204.9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218.8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5080" w:type="dxa"/>
            <w:vAlign w:val="bottom"/>
            <w:vMerge w:val="restart"/>
          </w:tcPr>
          <w:p>
            <w:pPr>
              <w:jc w:val="right"/>
              <w:ind w:right="2730"/>
              <w:spacing w:after="0"/>
              <w:rPr>
                <w:sz w:val="20"/>
                <w:szCs w:val="20"/>
                <w:color w:val="auto"/>
              </w:rPr>
            </w:pPr>
            <w:r>
              <w:rPr>
                <w:rFonts w:ascii="Arial" w:cs="Arial" w:eastAsia="Arial" w:hAnsi="Arial"/>
                <w:sz w:val="18"/>
                <w:szCs w:val="18"/>
                <w:color w:val="auto"/>
                <w:w w:val="89"/>
              </w:rPr>
              <w:t>_________________________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right="100" w:hanging="332"/>
        <w:spacing w:after="0" w:line="256" w:lineRule="auto"/>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Included in cash, cash equivalents and marketable securities as of June 27, 2019, December 27, 2018 and June 28, 2018, was $4.6 million, $7.2 million and $8.3 million, respectively, of cash and marketable securities held by NCM LLC that is not available to satisfy NCM, Inc.’s dividend, income tax, tax receivable payments to NCM LLC’s founding members and other obligations.</w:t>
      </w:r>
    </w:p>
    <w:p>
      <w:pPr>
        <w:ind w:left="340" w:right="40" w:hanging="332"/>
        <w:spacing w:after="0" w:line="252" w:lineRule="auto"/>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The revolving credit facility portion of NCM LLC’s total borrowings is available, subject to certain conditions, for general corporate purposes of NCM LLC in the ordinary course of business and for other transactions permitted under the senior secured credit facility, and a portion is available for letters of credit. NCM LLC’s total capacity under the revolving credit facility was $175.0 million as of June 27, 2019, December 27, 2018 and June 28, 2018. As of June 27, 2019, December 27, 2018 and June 28, 2018, the amount available under the NCM LLC revolving credit facility in the table above, was net of amount outstanding under the revolving credit facility of $27.0 million, $27.0 million and $30.2 million, respectively, and net letters of credit of $4.8 million in each respective period.</w:t>
      </w:r>
    </w:p>
    <w:p>
      <w:pPr>
        <w:spacing w:after="0" w:line="140" w:lineRule="exact"/>
        <w:rPr>
          <w:sz w:val="20"/>
          <w:szCs w:val="20"/>
          <w:color w:val="auto"/>
        </w:rPr>
      </w:pPr>
    </w:p>
    <w:p>
      <w:pPr>
        <w:ind w:right="380" w:firstLine="540"/>
        <w:spacing w:after="0" w:line="286" w:lineRule="auto"/>
        <w:rPr>
          <w:sz w:val="20"/>
          <w:szCs w:val="20"/>
          <w:color w:val="auto"/>
        </w:rPr>
      </w:pPr>
      <w:r>
        <w:rPr>
          <w:rFonts w:ascii="Arial" w:cs="Arial" w:eastAsia="Arial" w:hAnsi="Arial"/>
          <w:sz w:val="17"/>
          <w:szCs w:val="17"/>
          <w:color w:val="auto"/>
        </w:rPr>
        <w:t>As of June 27, 2019, the weighted average remaining maturity of our debt was 4.8 years. As of June 27, 2019, approximately 68% of our total borrowings bear interest at fixed rates. The remaining 32% of our borrowings bear interest at variable rates and as such, our net income and earnings per share could fluctuate with market interest rate fluctuations that could increase or decrease the interest paid on our borrowings.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8" w:right="239" w:bottom="1440" w:gutter="0" w:footer="0" w:header="0"/>
        </w:sectPr>
      </w:pPr>
    </w:p>
    <w:bookmarkStart w:id="33" w:name="page34"/>
    <w:bookmarkEnd w:id="33"/>
    <w:p>
      <w:pPr>
        <w:ind w:left="620"/>
        <w:spacing w:after="0"/>
        <w:rPr>
          <w:sz w:val="20"/>
          <w:szCs w:val="20"/>
          <w:color w:val="auto"/>
        </w:rPr>
      </w:pPr>
      <w:r>
        <w:rPr>
          <w:rFonts w:ascii="Arial" w:cs="Arial" w:eastAsia="Arial" w:hAnsi="Arial"/>
          <w:sz w:val="18"/>
          <w:szCs w:val="18"/>
          <w:color w:val="auto"/>
        </w:rPr>
        <w:t>We have generated and used cash as follows (in millions):</w:t>
      </w:r>
    </w:p>
    <w:p>
      <w:pPr>
        <w:spacing w:after="0" w:line="230"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6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27, 2019</w:t>
            </w:r>
          </w:p>
        </w:tc>
        <w:tc>
          <w:tcPr>
            <w:tcW w:w="200" w:type="dxa"/>
            <w:vAlign w:val="bottom"/>
          </w:tcPr>
          <w:p>
            <w:pPr>
              <w:spacing w:after="0"/>
              <w:rPr>
                <w:sz w:val="22"/>
                <w:szCs w:val="22"/>
                <w:color w:val="auto"/>
              </w:rPr>
            </w:pPr>
          </w:p>
        </w:tc>
        <w:tc>
          <w:tcPr>
            <w:tcW w:w="1180" w:type="dxa"/>
            <w:vAlign w:val="bottom"/>
          </w:tcPr>
          <w:p>
            <w:pPr>
              <w:jc w:val="right"/>
              <w:ind w:right="174"/>
              <w:spacing w:after="0"/>
              <w:rPr>
                <w:sz w:val="20"/>
                <w:szCs w:val="20"/>
                <w:color w:val="auto"/>
              </w:rPr>
            </w:pPr>
            <w:r>
              <w:rPr>
                <w:rFonts w:ascii="Arial" w:cs="Arial" w:eastAsia="Arial" w:hAnsi="Arial"/>
                <w:sz w:val="14"/>
                <w:szCs w:val="14"/>
                <w:b w:val="1"/>
                <w:bCs w:val="1"/>
                <w:color w:val="auto"/>
                <w:w w:val="98"/>
              </w:rPr>
              <w:t>June 28, 2018</w:t>
            </w:r>
          </w:p>
        </w:tc>
      </w:tr>
      <w:tr>
        <w:trPr>
          <w:trHeight w:val="250"/>
        </w:trPr>
        <w:tc>
          <w:tcPr>
            <w:tcW w:w="6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color w:val="auto"/>
              </w:rPr>
              <w:t>Investing cash flow</w:t>
            </w:r>
          </w:p>
        </w:tc>
        <w:tc>
          <w:tcPr>
            <w:tcW w:w="2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6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cash flow</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7"/>
        </w:trPr>
        <w:tc>
          <w:tcPr>
            <w:tcW w:w="6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1060" w:right="60" w:hanging="404"/>
        <w:spacing w:after="0" w:line="270"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The $6.9 million decrease in cash provided by operating activities for the six months ended June 27, 2019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six months ended June 28, 2018 was due primarily to 1) a decrease in the change in accounts receivable of $9.8 million related to timing of collections in the first six months of 2019, compared to the first six months of 2018, 2) a $5.6 million decrease in deferred income tax expense net of the decrease in the re-measurement of the payable to founding members under the TRA driven by a change in the Company's deferred rate due to a change in Colorado tax law regarding sales sourcing and 3) a $2.1 million decrease in non-cash share-based compensation expense related to the lower volume of awards for the six months ended June 27, 2019, compared to the six month ended June 28, 2018. These decreases were partially offset by an $10.6 million increase in cash provided by operating activities due to the reclassification in the current period of founding member integration and other encumbered theater payments from cash flows from financing activities upon adoption of ASC 842, as further discussed within Note 1 to the unaudited Condensed Consolidated Financial Statements included elsewhere in this document.</w:t>
      </w:r>
    </w:p>
    <w:p>
      <w:pPr>
        <w:spacing w:after="0" w:line="123" w:lineRule="exact"/>
        <w:rPr>
          <w:rFonts w:ascii="Arial" w:cs="Arial" w:eastAsia="Arial" w:hAnsi="Arial"/>
          <w:sz w:val="17"/>
          <w:szCs w:val="17"/>
          <w:color w:val="auto"/>
        </w:rPr>
      </w:pPr>
    </w:p>
    <w:p>
      <w:pPr>
        <w:ind w:left="1080" w:right="20" w:hanging="410"/>
        <w:spacing w:after="0" w:line="259" w:lineRule="auto"/>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The $19.7 million increase in cash provided by investing activities for the six months ended June 27, 2019,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six months ended June 28, 2018 was due primarily to higher proceeds from the sale and maturity of marketable securities, net of purchases, of $17.9 million, and a $1.4 million increase in the proceeds from the notes receivable from the founding members for the six months of June 27, 2019, compared to the six months ended June 28, 2018.</w:t>
      </w:r>
    </w:p>
    <w:p>
      <w:pPr>
        <w:spacing w:after="0" w:line="132" w:lineRule="exact"/>
        <w:rPr>
          <w:rFonts w:ascii="Arial" w:cs="Arial" w:eastAsia="Arial" w:hAnsi="Arial"/>
          <w:sz w:val="18"/>
          <w:szCs w:val="18"/>
          <w:color w:val="auto"/>
        </w:rPr>
      </w:pPr>
    </w:p>
    <w:p>
      <w:pPr>
        <w:ind w:left="1080" w:hanging="410"/>
        <w:spacing w:after="0" w:line="291" w:lineRule="auto"/>
        <w:tabs>
          <w:tab w:leader="none" w:pos="1080" w:val="left"/>
        </w:tabs>
        <w:numPr>
          <w:ilvl w:val="1"/>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The $15.6 million increase in cash used in financing activities during the six months ended June 27, 2019,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six months ended June 28, 2018 was due primarily to a $24.2 million decrease in proceeds from borrowings, net of repayments, and an $11.5 million decrease in cash inflows from financing activities due to the reclassification in the current period of founding member integration and other encumbered theater payments from cash flows from financing activities upon adoption of ASC 842, as further discussed within Note 1 to the unaudited Condensed Consolidated Financial Statements included elsewhere in this document. These increases were partially offset by a $12.1 million decrease in distributions to founding members, period over period, and a decrease of $6.3 million in the payment of debt issuance costs related to the refinancing of the senior secured credit facility in the second quarter of 2018.</w:t>
      </w:r>
    </w:p>
    <w:p>
      <w:pPr>
        <w:spacing w:after="0" w:line="11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71" w:lineRule="exact"/>
        <w:rPr>
          <w:sz w:val="20"/>
          <w:szCs w:val="20"/>
          <w:color w:val="auto"/>
        </w:rPr>
      </w:pPr>
    </w:p>
    <w:p>
      <w:pPr>
        <w:ind w:right="120" w:firstLine="540"/>
        <w:spacing w:after="0" w:line="286" w:lineRule="auto"/>
        <w:rPr>
          <w:sz w:val="20"/>
          <w:szCs w:val="20"/>
          <w:color w:val="auto"/>
        </w:rPr>
      </w:pPr>
      <w:r>
        <w:rPr>
          <w:rFonts w:ascii="Arial" w:cs="Arial" w:eastAsia="Arial" w:hAnsi="Arial"/>
          <w:sz w:val="17"/>
          <w:szCs w:val="17"/>
          <w:color w:val="auto"/>
        </w:rPr>
        <w:t>NCM, Inc.’s primary source of liquidity and capital resources is the quarterly available cash distributions from NCM LLC as well as its existing cash balances and marketable securities, which as of June 27, 2019 were $57.1 million (excluding NCM LLC). NCM LLC’s primary sources of liquidity and capital resources are its cash provided by operating activities, availability under its revolving credit facility and cash on hand.</w:t>
      </w:r>
    </w:p>
    <w:p>
      <w:pPr>
        <w:spacing w:after="0" w:line="111" w:lineRule="exact"/>
        <w:rPr>
          <w:sz w:val="20"/>
          <w:szCs w:val="20"/>
          <w:color w:val="auto"/>
        </w:rPr>
      </w:pPr>
    </w:p>
    <w:p>
      <w:pPr>
        <w:ind w:firstLine="540"/>
        <w:spacing w:after="0" w:line="286" w:lineRule="auto"/>
        <w:rPr>
          <w:sz w:val="20"/>
          <w:szCs w:val="20"/>
          <w:color w:val="auto"/>
        </w:rPr>
      </w:pPr>
      <w:r>
        <w:rPr>
          <w:rFonts w:ascii="Arial" w:cs="Arial" w:eastAsia="Arial" w:hAnsi="Arial"/>
          <w:sz w:val="16"/>
          <w:szCs w:val="16"/>
          <w:color w:val="auto"/>
        </w:rPr>
        <w:t>Management believes that future funds generated from NCM LLC’s operations and cash on hand should be sufficient to fund working capital requirements, NCM LLC’s debt service requirements, opportunistic debt repurchases, and capital expenditures, through the next twelve months. Cash flows generated by NCM LLC’s distributions to NCM, Inc. and the founding members can be impacted by the seasonality of advertising sales, interest and repayments on borrowings under our credit agreements and to a lesser extent theater attendance. NCM LLC is required pursuant to the terms of the NCM LLC Operating Agreement to distribute its available cash, as defined in the operating agreement, quarterly to its members (Regal, Cinemark, AMC and NCM, Inc.). The available cash distribution to the members of NCM LLC for the three months ended June 27, 2019 was approximately $30.0 million, of which approximately $14.6 million was distributed to NCM, Inc. NCM, Inc. expects to use cash received from future available cash distributions and its cash balances to fund income taxes, payments associated with the TRA with the founding members, and current and future dividends as declared by the Board of Directors, including a dividend declared on August 5, 2019 of $0.17 per share (approximately $13.1 million) on each share of the Company’s common stock (not including outstanding restricted stock) to stockholders of record on August 15, 2019 to be paid on August 30, 2019. NCM LLC will also continue to evaluate discretionary use of cash based on future expected leverage levels, NCM LLC investment opportunities and NCM, Inc. dividend policy. Distributions from NCM LLC and NCM, Inc. cash balances should be sufficient to fund payments associated with the TRA with NCM LLC’s founding members, income taxes and regular dividends for the foreseeable future at the discretion of the Board of Directors. The declaration, payment, timing and a</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368" w:right="259" w:bottom="1440" w:gutter="0" w:footer="0" w:header="0"/>
        </w:sectPr>
      </w:pPr>
    </w:p>
    <w:bookmarkStart w:id="34" w:name="page35"/>
    <w:bookmarkEnd w:id="34"/>
    <w:p>
      <w:pPr>
        <w:ind w:right="260"/>
        <w:spacing w:after="0" w:line="279" w:lineRule="auto"/>
        <w:rPr>
          <w:sz w:val="20"/>
          <w:szCs w:val="20"/>
          <w:color w:val="auto"/>
        </w:rPr>
      </w:pPr>
      <w:r>
        <w:rPr>
          <w:rFonts w:ascii="Arial" w:cs="Arial" w:eastAsia="Arial" w:hAnsi="Arial"/>
          <w:sz w:val="17"/>
          <w:szCs w:val="17"/>
          <w:color w:val="auto"/>
        </w:rPr>
        <w:t>mount of any future dividends payable will be at the sole discretion of the Board of Directors who will take into account general economic and advertising market business conditions, NCM, Inc.’s financial condition, available cash, current and anticipated cash needs, and any other factors that the Board of Directors considers relevant. The Company intends to pay a regular quarterly dividend for the foreseeable future at the discretion of the Board of Directors consistent with the Company’s intention to distribute over time a substantial portion of its free cash flow.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firstLine="540"/>
        <w:spacing w:after="0" w:line="285" w:lineRule="auto"/>
        <w:rPr>
          <w:sz w:val="20"/>
          <w:szCs w:val="20"/>
          <w:color w:val="auto"/>
        </w:rPr>
      </w:pPr>
      <w:r>
        <w:rPr>
          <w:rFonts w:ascii="Arial" w:cs="Arial" w:eastAsia="Arial" w:hAnsi="Arial"/>
          <w:sz w:val="16"/>
          <w:szCs w:val="16"/>
          <w:color w:val="auto"/>
        </w:rPr>
        <w:t>For a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 – Critical Accounting Policies” contained in our annual report on Form 10-K filed for the fiscal year ended December 27, 2018 and incorporated by reference herein. As of June 27, 2019, there were no significant changes in those critical accounting policies except for the change in leases upon the adoption of ASC 842 in the first quarter of 2019 and discussed further within Note 8</w:t>
      </w:r>
    </w:p>
    <w:p>
      <w:pPr>
        <w:spacing w:after="0" w:line="2" w:lineRule="exact"/>
        <w:rPr>
          <w:sz w:val="20"/>
          <w:szCs w:val="20"/>
          <w:color w:val="auto"/>
        </w:rPr>
      </w:pPr>
    </w:p>
    <w:p>
      <w:pPr>
        <w:ind w:right="1640"/>
        <w:spacing w:after="0" w:line="43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unaudited Condensed Consolidated Financial Statements in Part I, Item 1 of this Form 10-Q. </w:t>
      </w:r>
      <w:r>
        <w:rPr>
          <w:rFonts w:ascii="Arial" w:cs="Arial" w:eastAsia="Arial" w:hAnsi="Arial"/>
          <w:sz w:val="18"/>
          <w:szCs w:val="18"/>
          <w:b w:val="1"/>
          <w:bCs w:val="1"/>
          <w:color w:val="auto"/>
        </w:rPr>
        <w:t>Recent Accounting Pronouncements</w:t>
      </w:r>
    </w:p>
    <w:p>
      <w:pPr>
        <w:ind w:right="560" w:firstLine="540"/>
        <w:spacing w:after="0" w:line="277" w:lineRule="auto"/>
        <w:rPr>
          <w:sz w:val="20"/>
          <w:szCs w:val="20"/>
          <w:color w:val="auto"/>
        </w:rPr>
      </w:pPr>
      <w:r>
        <w:rPr>
          <w:rFonts w:ascii="Arial" w:cs="Arial" w:eastAsia="Arial" w:hAnsi="Arial"/>
          <w:sz w:val="18"/>
          <w:szCs w:val="18"/>
          <w:color w:val="auto"/>
        </w:rPr>
        <w:t>For a discussion of recent accounting pronouncements, see the information provided under Note 1—</w:t>
      </w:r>
      <w:r>
        <w:rPr>
          <w:rFonts w:ascii="Arial" w:cs="Arial" w:eastAsia="Arial" w:hAnsi="Arial"/>
          <w:sz w:val="18"/>
          <w:szCs w:val="18"/>
          <w:i w:val="1"/>
          <w:iCs w:val="1"/>
          <w:color w:val="auto"/>
        </w:rPr>
        <w:t>The Company</w:t>
      </w:r>
      <w:r>
        <w:rPr>
          <w:rFonts w:ascii="Arial" w:cs="Arial" w:eastAsia="Arial" w:hAnsi="Arial"/>
          <w:sz w:val="18"/>
          <w:szCs w:val="18"/>
          <w:color w:val="auto"/>
        </w:rPr>
        <w:t xml:space="preserve"> to the unaudited Condensed Consolidated Financial Statements in Part I, Item 1 of this Form 10-Q.</w:t>
      </w:r>
    </w:p>
    <w:p>
      <w:pPr>
        <w:spacing w:after="0" w:line="116" w:lineRule="exact"/>
        <w:rPr>
          <w:sz w:val="20"/>
          <w:szCs w:val="20"/>
          <w:color w:val="auto"/>
        </w:rPr>
      </w:pPr>
    </w:p>
    <w:p>
      <w:pPr>
        <w:ind w:right="320" w:firstLine="540"/>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ind w:right="300" w:firstLine="540"/>
        <w:spacing w:after="0" w:line="277" w:lineRule="auto"/>
        <w:rPr>
          <w:sz w:val="20"/>
          <w:szCs w:val="20"/>
          <w:color w:val="auto"/>
        </w:rPr>
      </w:pPr>
      <w:r>
        <w:rPr>
          <w:rFonts w:ascii="Arial" w:cs="Arial" w:eastAsia="Arial" w:hAnsi="Arial"/>
          <w:sz w:val="18"/>
          <w:szCs w:val="18"/>
          <w:color w:val="auto"/>
        </w:rPr>
        <w:t>For a discussion of related party transactions, see the information provided under Note 5—</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to the unaudited Condensed Consolidated Financial Statements in Part I, Item 1 of this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620" w:firstLine="540"/>
        <w:spacing w:after="0" w:line="277" w:lineRule="auto"/>
        <w:rPr>
          <w:sz w:val="20"/>
          <w:szCs w:val="20"/>
          <w:color w:val="auto"/>
        </w:rPr>
      </w:pPr>
      <w:r>
        <w:rPr>
          <w:rFonts w:ascii="Arial" w:cs="Arial" w:eastAsia="Arial" w:hAnsi="Arial"/>
          <w:sz w:val="18"/>
          <w:szCs w:val="18"/>
          <w:color w:val="auto"/>
        </w:rPr>
        <w:t>We do not believe the Company has any off-balance sheet arrangements that are material to our current or future financial condition, results of operations, liquidity, capital resources or capital expenditures.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256"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See Item 7. “Management’s Discussion and Analysis of Financial Condition and Results of Operations – Contractual and Other Obligations” contained in our annual report on Form 10-K for the fiscal year ended December 27, 2018 and incorporated by reference herein. There were no material changes to our contractual obligations during the six months ended June 27, 2019.</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right="260" w:firstLine="540"/>
        <w:spacing w:after="0" w:line="270" w:lineRule="auto"/>
        <w:rPr>
          <w:sz w:val="20"/>
          <w:szCs w:val="20"/>
          <w:color w:val="auto"/>
        </w:rPr>
      </w:pPr>
      <w:r>
        <w:rPr>
          <w:rFonts w:ascii="Arial" w:cs="Arial" w:eastAsia="Arial" w:hAnsi="Arial"/>
          <w:sz w:val="17"/>
          <w:szCs w:val="17"/>
          <w:color w:val="auto"/>
        </w:rPr>
        <w:t>Our revenue and operating results are seasonal in nature, coinciding with the timing of marketing expenditures by our advertising clients and to a lesser extent the attendance patterns within the film exhibition industry. Both advertising expenditures and theater attendance tend to be higher during the second, third, and fourth fiscal quarters. Advertising revenue is primarily correlated with advertising clients' new product releases, advertising client marketing priorities and economic cycles and to a lesser extent theater attendance levels. Seasonal demand during the summer is driven by the absence of alternative attractive advertising mediums and during the winter holiday season due to high client demand across all advertising mediums.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increased inventory availability in competitive advertising mediums. Accordingly, there can be no assurances that seasonal variations will not materially affect our results of operations in the future.</w:t>
      </w:r>
    </w:p>
    <w:p>
      <w:pPr>
        <w:spacing w:after="0" w:line="12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reflects the quarterly percentage of total revenue for the fiscal years ended 2016, 2017 and 2018.</w:t>
      </w:r>
    </w:p>
    <w:p>
      <w:pPr>
        <w:spacing w:after="0" w:line="31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First</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Second</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Third</w:t>
            </w:r>
          </w:p>
        </w:tc>
        <w:tc>
          <w:tcPr>
            <w:tcW w:w="1400" w:type="dxa"/>
            <w:vAlign w:val="bottom"/>
          </w:tcPr>
          <w:p>
            <w:pPr>
              <w:jc w:val="right"/>
              <w:ind w:right="397"/>
              <w:spacing w:after="0"/>
              <w:rPr>
                <w:sz w:val="20"/>
                <w:szCs w:val="20"/>
                <w:color w:val="auto"/>
              </w:rPr>
            </w:pPr>
            <w:r>
              <w:rPr>
                <w:rFonts w:ascii="Arial" w:cs="Arial" w:eastAsia="Arial" w:hAnsi="Arial"/>
                <w:sz w:val="14"/>
                <w:szCs w:val="14"/>
                <w:b w:val="1"/>
                <w:bCs w:val="1"/>
                <w:color w:val="auto"/>
              </w:rPr>
              <w:t>Fourth</w:t>
            </w:r>
          </w:p>
        </w:tc>
      </w:tr>
      <w:tr>
        <w:trPr>
          <w:trHeight w:val="192"/>
        </w:trPr>
        <w:tc>
          <w:tcPr>
            <w:tcW w:w="446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Quarter</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Quarter</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Quarter</w:t>
            </w:r>
          </w:p>
        </w:tc>
        <w:tc>
          <w:tcPr>
            <w:tcW w:w="1400" w:type="dxa"/>
            <w:vAlign w:val="bottom"/>
          </w:tcPr>
          <w:p>
            <w:pPr>
              <w:jc w:val="right"/>
              <w:ind w:right="357"/>
              <w:spacing w:after="0"/>
              <w:rPr>
                <w:sz w:val="20"/>
                <w:szCs w:val="20"/>
                <w:color w:val="auto"/>
              </w:rPr>
            </w:pPr>
            <w:r>
              <w:rPr>
                <w:rFonts w:ascii="Arial" w:cs="Arial" w:eastAsia="Arial" w:hAnsi="Arial"/>
                <w:sz w:val="14"/>
                <w:szCs w:val="14"/>
                <w:b w:val="1"/>
                <w:bCs w:val="1"/>
                <w:color w:val="auto"/>
              </w:rPr>
              <w:t>Quarter</w:t>
            </w:r>
          </w:p>
        </w:tc>
      </w:tr>
      <w:tr>
        <w:trPr>
          <w:trHeight w:val="250"/>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FY 2016</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FY 2017</w:t>
            </w:r>
          </w:p>
        </w:tc>
        <w:tc>
          <w:tcPr>
            <w:tcW w:w="138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7"/>
        </w:trPr>
        <w:tc>
          <w:tcPr>
            <w:tcW w:w="4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 2018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7"/>
        </w:trPr>
        <w:tc>
          <w:tcPr>
            <w:tcW w:w="44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121" w:lineRule="exact"/>
        <w:rPr>
          <w:sz w:val="20"/>
          <w:szCs w:val="20"/>
          <w:color w:val="auto"/>
        </w:rPr>
      </w:pPr>
    </w:p>
    <w:p>
      <w:pPr>
        <w:ind w:right="40" w:firstLine="540"/>
        <w:spacing w:after="0" w:line="293" w:lineRule="auto"/>
        <w:rPr>
          <w:sz w:val="20"/>
          <w:szCs w:val="20"/>
          <w:color w:val="auto"/>
        </w:rPr>
      </w:pPr>
      <w:r>
        <w:rPr>
          <w:rFonts w:ascii="Arial" w:cs="Arial" w:eastAsia="Arial" w:hAnsi="Arial"/>
          <w:sz w:val="16"/>
          <w:szCs w:val="16"/>
          <w:color w:val="auto"/>
        </w:rPr>
        <w:t>The primary market risk to which we are exposed is interest rate risk. The Notes due 2022 and the Notes due 2026 are at fixed rates, and therefore are not subject to market risk. As of June 27, 2019, the only interest rate risk that we are exposed to is related to our $175.0 million revolving credit facility and our term loan. A 100-basis point fluctuation in market interest rates underlying our term loan and revolving credit facility would have the effect of increasing or decreasing our cash interest expense by approximately $3.0 million for an annual period on the $27.0 million revolving credit balance and $268.0 million term loan outstanding as of June 27, 2019. For a discussion of market risks, see Item 7A. “Quantitative and Qualitative Disclosures About Market Risk” contained in our annual report on Form 10-K for the fiscal year ended December 27, 2018 and incorporated by reference herein.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02" w:lineRule="exact"/>
        <w:rPr>
          <w:sz w:val="20"/>
          <w:szCs w:val="20"/>
          <w:color w:val="auto"/>
        </w:rPr>
      </w:pPr>
    </w:p>
    <w:p>
      <w:pPr>
        <w:ind w:right="160" w:firstLine="567"/>
        <w:spacing w:after="0" w:line="276" w:lineRule="auto"/>
        <w:rPr>
          <w:sz w:val="20"/>
          <w:szCs w:val="20"/>
          <w:color w:val="auto"/>
        </w:rPr>
      </w:pPr>
      <w:r>
        <w:rPr>
          <w:rFonts w:ascii="Arial" w:cs="Arial" w:eastAsia="Arial" w:hAnsi="Arial"/>
          <w:sz w:val="17"/>
          <w:szCs w:val="17"/>
          <w:color w:val="auto"/>
        </w:rPr>
        <w:t>The Company maintains disclosure controls and procedures as defined in Rules 13a-15(e) and 15d-15(e) of the Securities Exchange Act of 1934, as amended (the "Exchange Act"), that are designed to ensure that information required to be disclosed in the Company's reports filed under the Exchange Act, is recorded, processed, summarized and reported within the time periods specified by the SEC’s rules and forms, and that such information is accumulated and communicated to management, including the Chief Executive Officer (principal executive officer) and Chief Financial Officer (principal financial and accounting officer), as appropriate, to allow timely decisions regarding required disclosure.</w:t>
      </w:r>
    </w:p>
    <w:p>
      <w:pPr>
        <w:spacing w:after="0" w:line="119" w:lineRule="exact"/>
        <w:rPr>
          <w:sz w:val="20"/>
          <w:szCs w:val="20"/>
          <w:color w:val="auto"/>
        </w:rPr>
      </w:pPr>
    </w:p>
    <w:p>
      <w:pPr>
        <w:ind w:right="280" w:firstLine="567"/>
        <w:spacing w:after="0" w:line="342" w:lineRule="auto"/>
        <w:rPr>
          <w:sz w:val="20"/>
          <w:szCs w:val="20"/>
          <w:color w:val="auto"/>
        </w:rPr>
      </w:pPr>
      <w:r>
        <w:rPr>
          <w:rFonts w:ascii="Arial" w:cs="Arial" w:eastAsia="Arial" w:hAnsi="Arial"/>
          <w:sz w:val="16"/>
          <w:szCs w:val="16"/>
          <w:color w:val="auto"/>
        </w:rPr>
        <w:t>Management, with the participation of the Chief Executive Officer and Chief Financial Officer, performed an evaluation of the effectiveness of the Company’s disclosure controls and procedures pursuant to Rules 13a-15(e) and 15d-15(e) of the Exchange Act as of June 27, 2019, the end of the period</w:t>
      </w:r>
    </w:p>
    <w:p>
      <w:pPr>
        <w:sectPr>
          <w:pgSz w:w="11900" w:h="16838" w:orient="portrait"/>
          <w:cols w:equalWidth="0" w:num="1">
            <w:col w:w="11420"/>
          </w:cols>
          <w:pgMar w:left="240" w:top="368" w:right="239" w:bottom="0" w:gutter="0" w:footer="0" w:header="0"/>
        </w:sectPr>
      </w:pPr>
    </w:p>
    <w:bookmarkStart w:id="35" w:name="page36"/>
    <w:bookmarkEnd w:id="35"/>
    <w:p>
      <w:pPr>
        <w:ind w:right="280"/>
        <w:spacing w:after="0" w:line="277" w:lineRule="auto"/>
        <w:rPr>
          <w:sz w:val="20"/>
          <w:szCs w:val="20"/>
          <w:color w:val="auto"/>
        </w:rPr>
      </w:pPr>
      <w:r>
        <w:rPr>
          <w:rFonts w:ascii="Arial" w:cs="Arial" w:eastAsia="Arial" w:hAnsi="Arial"/>
          <w:sz w:val="18"/>
          <w:szCs w:val="18"/>
          <w:color w:val="auto"/>
        </w:rPr>
        <w:t>covered by this Quarterly Report on Form 10-Q. Based on such evaluation, the Company’s Chief Executive Officer and Chief Financial Officer concluded that the Company’s disclosure controls and procedures as of June 27, 2019 were effective.</w:t>
      </w:r>
    </w:p>
    <w:p>
      <w:pPr>
        <w:spacing w:after="0" w:line="89" w:lineRule="exact"/>
        <w:rPr>
          <w:sz w:val="20"/>
          <w:szCs w:val="20"/>
          <w:color w:val="auto"/>
        </w:rPr>
      </w:pPr>
    </w:p>
    <w:p>
      <w:pPr>
        <w:ind w:right="580" w:firstLine="540"/>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500" w:firstLine="567"/>
        <w:spacing w:after="0" w:line="27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June 27, 2019 that have materially affected, or are reasonably likely to materially affect, our internal control over financial reporting.</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175" w:lineRule="exact"/>
        <w:rPr>
          <w:sz w:val="20"/>
          <w:szCs w:val="20"/>
          <w:color w:val="auto"/>
        </w:rPr>
      </w:pPr>
    </w:p>
    <w:p>
      <w:pPr>
        <w:ind w:right="120" w:firstLine="540"/>
        <w:spacing w:after="0" w:line="277"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175" w:lineRule="exact"/>
        <w:rPr>
          <w:sz w:val="20"/>
          <w:szCs w:val="20"/>
          <w:color w:val="auto"/>
        </w:rPr>
      </w:pPr>
    </w:p>
    <w:p>
      <w:pPr>
        <w:ind w:right="120" w:firstLine="540"/>
        <w:spacing w:after="0" w:line="277"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with the SEC on February 22, 2019 for the fiscal year ended December 27,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175" w:lineRule="exact"/>
        <w:rPr>
          <w:sz w:val="20"/>
          <w:szCs w:val="20"/>
          <w:color w:val="auto"/>
        </w:rPr>
      </w:pPr>
    </w:p>
    <w:p>
      <w:pPr>
        <w:ind w:right="400" w:firstLine="540"/>
        <w:spacing w:after="0" w:line="277" w:lineRule="auto"/>
        <w:rPr>
          <w:sz w:val="20"/>
          <w:szCs w:val="20"/>
          <w:color w:val="auto"/>
        </w:rPr>
      </w:pPr>
      <w:r>
        <w:rPr>
          <w:rFonts w:ascii="Arial" w:cs="Arial" w:eastAsia="Arial" w:hAnsi="Arial"/>
          <w:sz w:val="18"/>
          <w:szCs w:val="18"/>
          <w:color w:val="auto"/>
        </w:rPr>
        <w:t>The table below provides information about shares delivered to the Company from restricted stock held by Company employees upon vesting for purpose of funding the recipient’s tax withholding obligations.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Total Number of</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5"/>
              </w:rPr>
              <w:t>Shares Purchased as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 Shares that</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660" w:type="dxa"/>
            <w:vAlign w:val="bottom"/>
            <w:gridSpan w:val="2"/>
            <w:vMerge w:val="restart"/>
          </w:tcPr>
          <w:p>
            <w:pPr>
              <w:ind w:left="1280"/>
              <w:spacing w:after="0"/>
              <w:rPr>
                <w:sz w:val="20"/>
                <w:szCs w:val="20"/>
                <w:color w:val="auto"/>
              </w:rPr>
            </w:pPr>
            <w:r>
              <w:rPr>
                <w:rFonts w:ascii="Arial" w:cs="Arial" w:eastAsia="Arial" w:hAnsi="Arial"/>
                <w:sz w:val="14"/>
                <w:szCs w:val="14"/>
                <w:b w:val="1"/>
                <w:bCs w:val="1"/>
                <w:color w:val="auto"/>
              </w:rPr>
              <w:t>Total Number of</w:t>
            </w:r>
          </w:p>
        </w:tc>
        <w:tc>
          <w:tcPr>
            <w:tcW w:w="1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Price Paid Per</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may yet be Purchased</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2380"/>
              <w:spacing w:after="0"/>
              <w:rPr>
                <w:sz w:val="20"/>
                <w:szCs w:val="20"/>
                <w:color w:val="auto"/>
              </w:rPr>
            </w:pPr>
            <w:r>
              <w:rPr>
                <w:rFonts w:ascii="Arial" w:cs="Arial" w:eastAsia="Arial" w:hAnsi="Arial"/>
                <w:sz w:val="14"/>
                <w:szCs w:val="14"/>
                <w:b w:val="1"/>
                <w:bCs w:val="1"/>
                <w:color w:val="auto"/>
              </w:rPr>
              <w:t>Period</w:t>
            </w:r>
          </w:p>
        </w:tc>
        <w:tc>
          <w:tcPr>
            <w:tcW w:w="2660" w:type="dxa"/>
            <w:vAlign w:val="bottom"/>
            <w:gridSpan w:val="2"/>
            <w:vMerge w:val="continue"/>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5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8"/>
              </w:rPr>
              <w:t>Announced Plans or</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the Plans or</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25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29, 2019 through April 25, 2019</w:t>
            </w:r>
          </w:p>
        </w:tc>
        <w:tc>
          <w:tcPr>
            <w:tcW w:w="2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April 26, 2019 through May 23, 2019</w:t>
            </w:r>
          </w:p>
        </w:tc>
        <w:tc>
          <w:tcPr>
            <w:tcW w:w="2540" w:type="dxa"/>
            <w:vAlign w:val="bottom"/>
          </w:tcPr>
          <w:p>
            <w:pPr>
              <w:jc w:val="right"/>
              <w:ind w:right="37"/>
              <w:spacing w:after="0"/>
              <w:rPr>
                <w:sz w:val="20"/>
                <w:szCs w:val="20"/>
                <w:color w:val="auto"/>
              </w:rPr>
            </w:pPr>
            <w:r>
              <w:rPr>
                <w:rFonts w:ascii="Arial" w:cs="Arial" w:eastAsia="Arial" w:hAnsi="Arial"/>
                <w:sz w:val="18"/>
                <w:szCs w:val="18"/>
                <w:color w:val="auto"/>
              </w:rPr>
              <w:t>1,134</w:t>
            </w:r>
          </w:p>
        </w:tc>
        <w:tc>
          <w:tcPr>
            <w:tcW w:w="12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ind w:left="1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24, 2019 through June 27, 2019</w:t>
            </w:r>
          </w:p>
        </w:tc>
        <w:tc>
          <w:tcPr>
            <w:tcW w:w="2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12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p>
    <w:p>
      <w:pPr>
        <w:spacing w:after="0" w:line="175" w:lineRule="exact"/>
        <w:rPr>
          <w:sz w:val="20"/>
          <w:szCs w:val="20"/>
          <w:color w:val="auto"/>
        </w:rPr>
      </w:pPr>
    </w:p>
    <w:p>
      <w:pPr>
        <w:ind w:right="200" w:firstLine="446"/>
        <w:spacing w:after="0" w:line="277" w:lineRule="auto"/>
        <w:rPr>
          <w:sz w:val="20"/>
          <w:szCs w:val="20"/>
          <w:color w:val="auto"/>
        </w:rPr>
      </w:pPr>
      <w:r>
        <w:rPr>
          <w:rFonts w:ascii="Arial" w:cs="Arial" w:eastAsia="Arial" w:hAnsi="Arial"/>
          <w:sz w:val="18"/>
          <w:szCs w:val="18"/>
          <w:color w:val="auto"/>
        </w:rPr>
        <w:t>As previously disclosed, the Board of Directors (the “Board”) of the Company appointed Thomas F. Lesinski as CEO of the Company, effective as of August 2, 2019. In connection with his appointment as CEO of the Company, Mr. Lesinski</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6" w:name="page37"/>
    <w:bookmarkEnd w:id="36"/>
    <w:p>
      <w:pPr>
        <w:ind w:right="80"/>
        <w:spacing w:after="0" w:line="279" w:lineRule="auto"/>
        <w:rPr>
          <w:sz w:val="20"/>
          <w:szCs w:val="20"/>
          <w:color w:val="auto"/>
        </w:rPr>
      </w:pPr>
      <w:r>
        <w:rPr>
          <w:rFonts w:ascii="Arial" w:cs="Arial" w:eastAsia="Arial" w:hAnsi="Arial"/>
          <w:sz w:val="17"/>
          <w:szCs w:val="17"/>
          <w:color w:val="auto"/>
        </w:rPr>
        <w:t>resigned from the Board as the independent director designated by Cinemark pursuant to the Director Designation Agreement, dated as of February 13, 2007, among the Company and AMC, Cinemark and Regal (the “Director Designation Agreement”) and as a member of the Audit Committee. The Board subsequently appointed Mr. Lesinski as a member of the Board in his role as CEO. Following Mr. Lesinski’s resignation from the Board as an independent director and a member of the Audit Committee, the Audit Committee consists of only two independent directors.</w:t>
      </w:r>
    </w:p>
    <w:p>
      <w:pPr>
        <w:spacing w:after="0" w:line="63" w:lineRule="exact"/>
        <w:rPr>
          <w:sz w:val="20"/>
          <w:szCs w:val="20"/>
          <w:color w:val="auto"/>
        </w:rPr>
      </w:pPr>
    </w:p>
    <w:p>
      <w:pPr>
        <w:ind w:firstLine="446"/>
        <w:spacing w:after="0" w:line="285" w:lineRule="auto"/>
        <w:rPr>
          <w:sz w:val="20"/>
          <w:szCs w:val="20"/>
          <w:color w:val="auto"/>
        </w:rPr>
      </w:pPr>
      <w:r>
        <w:rPr>
          <w:rFonts w:ascii="Arial" w:cs="Arial" w:eastAsia="Arial" w:hAnsi="Arial"/>
          <w:sz w:val="16"/>
          <w:szCs w:val="16"/>
          <w:color w:val="auto"/>
        </w:rPr>
        <w:t>On August 1, 2019, the Company notified the Nasdaq Stock Market that, as a result of Mr. Lesinski’s appointment as CEO of the Company and resignation from the Audit Committee, (i) the Company is no longer in compliance with Nasdaq Listing Rule 5605(b)(1), which requires that a majority of the Board be comprised of independent directors, and (ii) the Company is no longer in compliance with Nasdaq Listing Rule 5605(c)(2), which requires that the Company have an audit committee comprised of at least three independent directors. On August 2, 2019, in response to the Company’s notice, Nasdaq issued a letter to the Company acknowledging the Company’s noncompliance and confirming that, consistent with Nasdaq Listing Rules 5605(b)(1)(A) and 5605(c)</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(4)(B), the Company can rely on a cure period allowing the Company to regain compliance with each of the requirements by the earlier of the Company’s next annual meeting of stockholders or August 2, 2020, or, if the Company’s next annual meeting of stockholders is held before January 29, 2020, by January 29, 2020.</w:t>
      </w:r>
    </w:p>
    <w:p>
      <w:pPr>
        <w:spacing w:after="0" w:line="82" w:lineRule="exact"/>
        <w:rPr>
          <w:sz w:val="20"/>
          <w:szCs w:val="20"/>
          <w:color w:val="auto"/>
        </w:rPr>
      </w:pPr>
    </w:p>
    <w:p>
      <w:pPr>
        <w:ind w:right="20" w:firstLine="446"/>
        <w:spacing w:after="0" w:line="293" w:lineRule="auto"/>
        <w:rPr>
          <w:sz w:val="20"/>
          <w:szCs w:val="20"/>
          <w:color w:val="auto"/>
        </w:rPr>
      </w:pPr>
      <w:r>
        <w:rPr>
          <w:rFonts w:ascii="Arial" w:cs="Arial" w:eastAsia="Arial" w:hAnsi="Arial"/>
          <w:sz w:val="16"/>
          <w:szCs w:val="16"/>
          <w:color w:val="auto"/>
        </w:rPr>
        <w:t>Pursuant to its rights under the Director Designation Agreement, Cinemark has notified the Company that it will designate a replacement director that is an independent director under the rules of the Nasdaq Stock Market. Pursuant to the Director Designation Agreement, the Board is required to elect such director, subject to the Board’s determination in good faith, after consultation with outside legal counsel, that such action would not constitute a breach of its fiduciary duties or applicable law, is required to elect such director. The Company anticipates that it will regain compliance with Nasdaq Listing Rules 5605(b)(1) and 5605(c)(2) following (i) the election to the Board of an independent director designated by Cinemark and (ii) the appointment to the Audit Committee of a third independent director, which may be the Cinemark designee or may be another independent member of the Board.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0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14"/>
                <w:szCs w:val="14"/>
                <w:color w:val="auto"/>
              </w:rPr>
            </w:pPr>
          </w:p>
        </w:tc>
        <w:tc>
          <w:tcPr>
            <w:tcW w:w="1440" w:type="dxa"/>
            <w:vAlign w:val="bottom"/>
            <w:gridSpan w:val="3"/>
          </w:tcPr>
          <w:p>
            <w:pPr>
              <w:ind w:left="340"/>
              <w:spacing w:after="0"/>
              <w:rPr>
                <w:sz w:val="20"/>
                <w:szCs w:val="20"/>
                <w:color w:val="auto"/>
              </w:rPr>
            </w:pPr>
            <w:r>
              <w:rPr>
                <w:rFonts w:ascii="Arial" w:cs="Arial" w:eastAsia="Arial" w:hAnsi="Arial"/>
                <w:sz w:val="14"/>
                <w:szCs w:val="14"/>
                <w:b w:val="1"/>
                <w:bCs w:val="1"/>
                <w:color w:val="auto"/>
              </w:rPr>
              <w:t>Reference</w:t>
            </w:r>
          </w:p>
        </w:tc>
        <w:tc>
          <w:tcPr>
            <w:tcW w:w="5520" w:type="dxa"/>
            <w:vAlign w:val="bottom"/>
            <w:gridSpan w:val="5"/>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9"/>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4"/>
                <w:szCs w:val="24"/>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404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40">
              <w:r>
                <w:rPr>
                  <w:rFonts w:ascii="Arial" w:cs="Arial" w:eastAsia="Arial" w:hAnsi="Arial"/>
                  <w:sz w:val="18"/>
                  <w:szCs w:val="18"/>
                  <w:color w:val="0000FF"/>
                  <w:w w:val="92"/>
                </w:rPr>
                <w:t>Rule 13a-14(a) Certification of Chief Executive Officer.</w:t>
              </w:r>
            </w:hyperlink>
          </w:p>
        </w:tc>
        <w:tc>
          <w:tcPr>
            <w:tcW w:w="1480" w:type="dxa"/>
            <w:vAlign w:val="bottom"/>
            <w:gridSpan w:val="2"/>
          </w:tcPr>
          <w:p>
            <w:pPr>
              <w:spacing w:after="0"/>
              <w:rPr>
                <w:sz w:val="24"/>
                <w:szCs w:val="24"/>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1"/>
                <w:szCs w:val="21"/>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5520" w:type="dxa"/>
            <w:vAlign w:val="bottom"/>
            <w:gridSpan w:val="5"/>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Rule 13a-14(a) Certification of Chief Financial Officer.</w:t>
              </w:r>
            </w:hyperlink>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540" w:type="dxa"/>
            <w:vAlign w:val="bottom"/>
          </w:tcPr>
          <w:p>
            <w:pPr>
              <w:spacing w:after="0"/>
              <w:rPr>
                <w:sz w:val="21"/>
                <w:szCs w:val="21"/>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552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Certification of Chief Executive Officer Pursuant to 18 U.S.C. Section 1350.</w:t>
              </w:r>
            </w:hyperlink>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32.2</w:t>
            </w:r>
          </w:p>
        </w:tc>
        <w:tc>
          <w:tcPr>
            <w:tcW w:w="540" w:type="dxa"/>
            <w:vAlign w:val="bottom"/>
          </w:tcPr>
          <w:p>
            <w:pPr>
              <w:spacing w:after="0"/>
              <w:rPr>
                <w:sz w:val="21"/>
                <w:szCs w:val="21"/>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548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43">
              <w:r>
                <w:rPr>
                  <w:rFonts w:ascii="Arial" w:cs="Arial" w:eastAsia="Arial" w:hAnsi="Arial"/>
                  <w:sz w:val="18"/>
                  <w:szCs w:val="18"/>
                  <w:color w:val="0000FF"/>
                  <w:w w:val="92"/>
                </w:rPr>
                <w:t>Certification of Chief Financial Officer Pursuant to 18 U.S.C. Section 1350.</w:t>
              </w:r>
            </w:hyperlink>
          </w:p>
        </w:tc>
        <w:tc>
          <w:tcPr>
            <w:tcW w:w="40" w:type="dxa"/>
            <w:vAlign w:val="bottom"/>
          </w:tcPr>
          <w:p>
            <w:pPr>
              <w:spacing w:after="0"/>
              <w:rPr>
                <w:sz w:val="21"/>
                <w:szCs w:val="21"/>
                <w:color w:val="auto"/>
              </w:rPr>
            </w:pPr>
          </w:p>
        </w:tc>
      </w:tr>
      <w:tr>
        <w:trPr>
          <w:trHeight w:val="291"/>
        </w:trPr>
        <w:tc>
          <w:tcPr>
            <w:tcW w:w="10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552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10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552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0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552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0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552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0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552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0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552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_____________________________________</w:t>
      </w:r>
    </w:p>
    <w:p>
      <w:pPr>
        <w:spacing w:after="0" w:line="198" w:lineRule="exact"/>
        <w:rPr>
          <w:sz w:val="20"/>
          <w:szCs w:val="20"/>
          <w:color w:val="auto"/>
        </w:rPr>
      </w:pPr>
    </w:p>
    <w:p>
      <w:pPr>
        <w:ind w:left="820" w:hanging="78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820" w:hanging="785"/>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219"/>
          </w:cols>
          <w:pgMar w:left="240" w:top="796" w:right="1440" w:bottom="1440" w:gutter="0" w:footer="0" w:header="0"/>
        </w:sectPr>
      </w:pPr>
    </w:p>
    <w:bookmarkStart w:id="38" w:name="page39"/>
    <w:bookmarkEnd w:id="38"/>
    <w:p>
      <w:pPr>
        <w:jc w:val="center"/>
        <w:ind w:right="-5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5"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NATIONAL CINEMEDIA, INC.</w:t>
      </w:r>
    </w:p>
    <w:p>
      <w:pPr>
        <w:spacing w:after="0" w:line="6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40"/>
        <w:spacing w:after="0"/>
        <w:tabs>
          <w:tab w:leader="none" w:pos="700" w:val="left"/>
          <w:tab w:leader="none" w:pos="6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2019</w:t>
      </w:r>
      <w:r>
        <w:rPr>
          <w:sz w:val="20"/>
          <w:szCs w:val="20"/>
          <w:color w:val="auto"/>
        </w:rPr>
        <w:tab/>
      </w:r>
      <w:r>
        <w:rPr>
          <w:rFonts w:ascii="Arial" w:cs="Arial" w:eastAsia="Arial" w:hAnsi="Arial"/>
          <w:sz w:val="16"/>
          <w:szCs w:val="16"/>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Thomas F. Lesinski</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(Principal Executive Officer)</w:t>
      </w:r>
    </w:p>
    <w:p>
      <w:pPr>
        <w:spacing w:after="0" w:line="360" w:lineRule="exact"/>
        <w:rPr>
          <w:sz w:val="20"/>
          <w:szCs w:val="20"/>
          <w:color w:val="auto"/>
        </w:rPr>
      </w:pPr>
    </w:p>
    <w:p>
      <w:pPr>
        <w:ind w:left="40"/>
        <w:spacing w:after="0"/>
        <w:tabs>
          <w:tab w:leader="none" w:pos="700" w:val="left"/>
          <w:tab w:leader="none" w:pos="6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2019</w:t>
      </w:r>
      <w:r>
        <w:rPr>
          <w:sz w:val="20"/>
          <w:szCs w:val="20"/>
          <w:color w:val="auto"/>
        </w:rPr>
        <w:tab/>
      </w:r>
      <w:r>
        <w:rPr>
          <w:rFonts w:ascii="Arial" w:cs="Arial" w:eastAsia="Arial" w:hAnsi="Arial"/>
          <w:sz w:val="16"/>
          <w:szCs w:val="16"/>
          <w:color w:val="auto"/>
        </w:rPr>
        <w:t>/s/ 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Katherine L. Scherping</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820"/>
          </w:cols>
          <w:pgMar w:left="240" w:top="796" w:right="8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Thomas F. Lesinski, certify that:</w:t>
      </w:r>
    </w:p>
    <w:p>
      <w:pPr>
        <w:spacing w:after="0" w:line="171" w:lineRule="exact"/>
        <w:rPr>
          <w:sz w:val="20"/>
          <w:szCs w:val="20"/>
          <w:color w:val="auto"/>
        </w:rPr>
      </w:pPr>
    </w:p>
    <w:p>
      <w:pPr>
        <w:ind w:left="680" w:hanging="172"/>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260" w:firstLine="508"/>
        <w:spacing w:after="0" w:line="342" w:lineRule="auto"/>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220" w:firstLine="508"/>
        <w:spacing w:after="0" w:line="277"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508"/>
        <w:spacing w:after="0" w:line="264"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120"/>
        <w:spacing w:after="0" w:line="264" w:lineRule="auto"/>
        <w:tabs>
          <w:tab w:leader="none" w:pos="122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360"/>
        <w:spacing w:after="0" w:line="264" w:lineRule="auto"/>
        <w:tabs>
          <w:tab w:leader="none" w:pos="123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500"/>
        <w:spacing w:after="0" w:line="342" w:lineRule="auto"/>
        <w:tabs>
          <w:tab w:leader="none" w:pos="1225"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20"/>
        <w:spacing w:after="0" w:line="264" w:lineRule="auto"/>
        <w:tabs>
          <w:tab w:leader="none" w:pos="123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20" w:firstLine="508"/>
        <w:spacing w:after="0" w:line="308" w:lineRule="auto"/>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700"/>
        <w:spacing w:after="0" w:line="308" w:lineRule="auto"/>
        <w:tabs>
          <w:tab w:leader="none" w:pos="1225"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380"/>
        <w:spacing w:after="0" w:line="277" w:lineRule="auto"/>
        <w:tabs>
          <w:tab w:leader="none" w:pos="123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40"/>
        <w:spacing w:after="0"/>
        <w:tabs>
          <w:tab w:leader="none" w:pos="5260" w:val="left"/>
        </w:tabs>
        <w:rPr>
          <w:sz w:val="20"/>
          <w:szCs w:val="20"/>
          <w:color w:val="auto"/>
        </w:rPr>
      </w:pPr>
      <w:r>
        <w:rPr>
          <w:rFonts w:ascii="Arial" w:cs="Arial" w:eastAsia="Arial" w:hAnsi="Arial"/>
          <w:sz w:val="18"/>
          <w:szCs w:val="18"/>
          <w:color w:val="auto"/>
        </w:rPr>
        <w:t>Date: August 5, 2019</w:t>
      </w:r>
      <w:r>
        <w:rPr>
          <w:sz w:val="20"/>
          <w:szCs w:val="20"/>
          <w:color w:val="auto"/>
        </w:rPr>
        <w:tab/>
      </w:r>
      <w:r>
        <w:rPr>
          <w:rFonts w:ascii="Arial" w:cs="Arial" w:eastAsia="Arial" w:hAnsi="Arial"/>
          <w:sz w:val="16"/>
          <w:szCs w:val="16"/>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40640</wp:posOffset>
            </wp:positionV>
            <wp:extent cx="3910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Thomas F. Lesinski</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Executive Officer and Director</w:t>
      </w:r>
    </w:p>
    <w:p>
      <w:pPr>
        <w:spacing w:after="0" w:line="77"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Katherine L. Scherping, certify that:</w:t>
      </w:r>
    </w:p>
    <w:p>
      <w:pPr>
        <w:spacing w:after="0" w:line="171" w:lineRule="exact"/>
        <w:rPr>
          <w:sz w:val="20"/>
          <w:szCs w:val="20"/>
          <w:color w:val="auto"/>
        </w:rPr>
      </w:pPr>
    </w:p>
    <w:p>
      <w:pPr>
        <w:ind w:left="680" w:hanging="172"/>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260" w:firstLine="508"/>
        <w:spacing w:after="0" w:line="342" w:lineRule="auto"/>
        <w:tabs>
          <w:tab w:leader="none" w:pos="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220" w:firstLine="508"/>
        <w:spacing w:after="0" w:line="277"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508"/>
        <w:spacing w:after="0" w:line="264"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120"/>
        <w:spacing w:after="0" w:line="264" w:lineRule="auto"/>
        <w:tabs>
          <w:tab w:leader="none" w:pos="122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360"/>
        <w:spacing w:after="0" w:line="264" w:lineRule="auto"/>
        <w:tabs>
          <w:tab w:leader="none" w:pos="12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500"/>
        <w:spacing w:after="0" w:line="342" w:lineRule="auto"/>
        <w:tabs>
          <w:tab w:leader="none" w:pos="1225"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20"/>
        <w:spacing w:after="0" w:line="264" w:lineRule="auto"/>
        <w:tabs>
          <w:tab w:leader="none" w:pos="12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20" w:firstLine="508"/>
        <w:spacing w:after="0" w:line="308" w:lineRule="auto"/>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700"/>
        <w:spacing w:after="0" w:line="308" w:lineRule="auto"/>
        <w:tabs>
          <w:tab w:leader="none" w:pos="1225"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380"/>
        <w:spacing w:after="0" w:line="277" w:lineRule="auto"/>
        <w:tabs>
          <w:tab w:leader="none" w:pos="12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40"/>
        <w:spacing w:after="0"/>
        <w:tabs>
          <w:tab w:leader="none" w:pos="5260" w:val="left"/>
        </w:tabs>
        <w:rPr>
          <w:sz w:val="20"/>
          <w:szCs w:val="20"/>
          <w:color w:val="auto"/>
        </w:rPr>
      </w:pPr>
      <w:r>
        <w:rPr>
          <w:rFonts w:ascii="Arial" w:cs="Arial" w:eastAsia="Arial" w:hAnsi="Arial"/>
          <w:sz w:val="18"/>
          <w:szCs w:val="18"/>
          <w:color w:val="auto"/>
        </w:rPr>
        <w:t>Date: August 5, 2019</w:t>
      </w:r>
      <w:r>
        <w:rPr>
          <w:sz w:val="20"/>
          <w:szCs w:val="20"/>
          <w:color w:val="auto"/>
        </w:rPr>
        <w:tab/>
      </w:r>
      <w:r>
        <w:rPr>
          <w:rFonts w:ascii="Arial" w:cs="Arial" w:eastAsia="Arial" w:hAnsi="Arial"/>
          <w:sz w:val="16"/>
          <w:szCs w:val="16"/>
          <w:color w:val="auto"/>
        </w:rPr>
        <w:t>/s/ 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40640</wp:posOffset>
            </wp:positionV>
            <wp:extent cx="3910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Katherine L. Scherping</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w:t>
      </w:r>
    </w:p>
    <w:p>
      <w:pPr>
        <w:spacing w:after="0" w:line="77"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firstLine="500"/>
        <w:spacing w:after="0" w:line="312" w:lineRule="auto"/>
        <w:rPr>
          <w:sz w:val="20"/>
          <w:szCs w:val="20"/>
          <w:color w:val="auto"/>
        </w:rPr>
      </w:pPr>
      <w:r>
        <w:rPr>
          <w:rFonts w:ascii="Arial" w:cs="Arial" w:eastAsia="Arial" w:hAnsi="Arial"/>
          <w:sz w:val="16"/>
          <w:szCs w:val="16"/>
          <w:color w:val="auto"/>
        </w:rPr>
        <w:t>In connection with the Quarterly Report on Form 10-Q for the period ending June 27, 2019 (the “Report”) of National CineMedia, Inc. (the “Registrant”) as filed with the Securities and Exchange Commission on the date hereof, I, Thomas F. Lesinski, the Chief Executive Officer and Director of the Registrant, certify, pursuant to 18 U.S.C. § 1350, as adopted pursuant to § 906 of the Sarbanes-Oxley Act of 2002, that to the best of my knowledge:</w:t>
      </w:r>
    </w:p>
    <w:p>
      <w:pPr>
        <w:spacing w:after="0" w:line="93" w:lineRule="exact"/>
        <w:rPr>
          <w:sz w:val="20"/>
          <w:szCs w:val="20"/>
          <w:color w:val="auto"/>
        </w:rPr>
      </w:pPr>
    </w:p>
    <w:p>
      <w:pPr>
        <w:ind w:left="680" w:hanging="186"/>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left="680" w:hanging="186"/>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356" w:lineRule="exact"/>
        <w:rPr>
          <w:sz w:val="20"/>
          <w:szCs w:val="20"/>
          <w:color w:val="auto"/>
        </w:rPr>
      </w:pPr>
    </w:p>
    <w:p>
      <w:pPr>
        <w:ind w:left="40"/>
        <w:spacing w:after="0"/>
        <w:tabs>
          <w:tab w:leader="none" w:pos="5260" w:val="left"/>
        </w:tabs>
        <w:rPr>
          <w:sz w:val="20"/>
          <w:szCs w:val="20"/>
          <w:color w:val="auto"/>
        </w:rPr>
      </w:pPr>
      <w:r>
        <w:rPr>
          <w:rFonts w:ascii="Arial" w:cs="Arial" w:eastAsia="Arial" w:hAnsi="Arial"/>
          <w:sz w:val="18"/>
          <w:szCs w:val="18"/>
          <w:color w:val="auto"/>
        </w:rPr>
        <w:t>Date: August 5, 2019</w:t>
      </w:r>
      <w:r>
        <w:rPr>
          <w:sz w:val="20"/>
          <w:szCs w:val="20"/>
          <w:color w:val="auto"/>
        </w:rPr>
        <w:tab/>
      </w:r>
      <w:r>
        <w:rPr>
          <w:rFonts w:ascii="Arial" w:cs="Arial" w:eastAsia="Arial" w:hAnsi="Arial"/>
          <w:sz w:val="16"/>
          <w:szCs w:val="16"/>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40640</wp:posOffset>
            </wp:positionV>
            <wp:extent cx="3910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Thomas F. Lesinski</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Executive Officer and Director</w:t>
      </w:r>
    </w:p>
    <w:p>
      <w:pPr>
        <w:spacing w:after="0" w:line="77"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(Principal Executive Officer)</w:t>
      </w:r>
    </w:p>
    <w:p>
      <w:pPr>
        <w:spacing w:after="0" w:line="2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720" w:firstLine="500"/>
        <w:spacing w:after="0" w:line="312" w:lineRule="auto"/>
        <w:rPr>
          <w:sz w:val="20"/>
          <w:szCs w:val="20"/>
          <w:color w:val="auto"/>
        </w:rPr>
      </w:pPr>
      <w:r>
        <w:rPr>
          <w:rFonts w:ascii="Arial" w:cs="Arial" w:eastAsia="Arial" w:hAnsi="Arial"/>
          <w:sz w:val="16"/>
          <w:szCs w:val="16"/>
          <w:color w:val="auto"/>
        </w:rPr>
        <w:t>In connection with the Quarterly Report on Form 10-Q for the period ending June 27, 2019 (the “Report”) of National CineMedia, Inc. (the “Registrant”) as filed with the Securities and Exchange Commission on the date hereof, I, Katherine L. Scherping, the Chief Financial Officer of the Registrant, certify, pursuant to 18 U.S.C. § 1350, as adopted pursuant to § 906 of the Sarbanes-Oxley Act of 2002, that to the best of my knowledge:</w:t>
      </w:r>
    </w:p>
    <w:p>
      <w:pPr>
        <w:spacing w:after="0" w:line="93" w:lineRule="exact"/>
        <w:rPr>
          <w:sz w:val="20"/>
          <w:szCs w:val="20"/>
          <w:color w:val="auto"/>
        </w:rPr>
      </w:pPr>
    </w:p>
    <w:p>
      <w:pPr>
        <w:ind w:left="680" w:hanging="186"/>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left="680" w:hanging="186"/>
        <w:spacing w:after="0"/>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356" w:lineRule="exact"/>
        <w:rPr>
          <w:sz w:val="20"/>
          <w:szCs w:val="20"/>
          <w:color w:val="auto"/>
        </w:rPr>
      </w:pPr>
    </w:p>
    <w:p>
      <w:pPr>
        <w:ind w:left="40"/>
        <w:spacing w:after="0"/>
        <w:tabs>
          <w:tab w:leader="none" w:pos="5260" w:val="left"/>
        </w:tabs>
        <w:rPr>
          <w:sz w:val="20"/>
          <w:szCs w:val="20"/>
          <w:color w:val="auto"/>
        </w:rPr>
      </w:pPr>
      <w:r>
        <w:rPr>
          <w:rFonts w:ascii="Arial" w:cs="Arial" w:eastAsia="Arial" w:hAnsi="Arial"/>
          <w:sz w:val="18"/>
          <w:szCs w:val="18"/>
          <w:color w:val="auto"/>
        </w:rPr>
        <w:t>Date: August 5, 2019</w:t>
      </w:r>
      <w:r>
        <w:rPr>
          <w:sz w:val="20"/>
          <w:szCs w:val="20"/>
          <w:color w:val="auto"/>
        </w:rPr>
        <w:tab/>
      </w:r>
      <w:r>
        <w:rPr>
          <w:rFonts w:ascii="Arial" w:cs="Arial" w:eastAsia="Arial" w:hAnsi="Arial"/>
          <w:sz w:val="16"/>
          <w:szCs w:val="16"/>
          <w:color w:val="auto"/>
        </w:rPr>
        <w:t>/s/ 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40640</wp:posOffset>
            </wp:positionV>
            <wp:extent cx="3910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Katherine L. Scherping</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w:t>
      </w:r>
    </w:p>
    <w:p>
      <w:pPr>
        <w:spacing w:after="0" w:line="77"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842"/>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4"/>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lvl w:ilvl="1">
      <w:lvlJc w:val="left"/>
      <w:lvlText w:val="(%2)"/>
      <w:numFmt w:val="decimal"/>
      <w:start w:val="1"/>
    </w:lvl>
  </w:abstractNum>
  <w:abstractNum w:abstractNumId="10">
    <w:nsid w:val="431BD7B7"/>
    <w:multiLevelType w:val="hybridMultilevel"/>
    <w:lvl w:ilvl="0">
      <w:lvlJc w:val="left"/>
      <w:lvlText w:val="%1."/>
      <w:numFmt w:val="decimal"/>
      <w:start w:val="10"/>
    </w:lvl>
    <w:lvl w:ilvl="1">
      <w:lvlJc w:val="left"/>
      <w:lvlText w:val="%2"/>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
      <w:numFmt w:val="bullet"/>
      <w:start w:val="1"/>
    </w:lvl>
    <w:lvl w:ilvl="1">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2019-12-28T08:58:25Z</dcterms:created>
  <dcterms:modified xsi:type="dcterms:W3CDTF">2019-12-28T08:58:25Z</dcterms:modified>
</cp:coreProperties>
</file>