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99060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135255</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30, 2017</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120650</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197485</wp:posOffset>
            </wp:positionV>
            <wp:extent cx="1732280" cy="420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107950</wp:posOffset>
            </wp:positionV>
            <wp:extent cx="1037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68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20-5665602</w:t>
            </w:r>
          </w:p>
        </w:tc>
      </w:tr>
      <w:tr>
        <w:trPr>
          <w:trHeight w:val="149"/>
        </w:trPr>
        <w:tc>
          <w:tcPr>
            <w:tcW w:w="468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80" w:type="dxa"/>
            <w:vAlign w:val="bottom"/>
          </w:tcPr>
          <w:p>
            <w:pPr>
              <w:jc w:val="center"/>
              <w:ind w:right="1859"/>
              <w:spacing w:after="0"/>
              <w:rPr>
                <w:sz w:val="20"/>
                <w:szCs w:val="20"/>
                <w:color w:val="auto"/>
              </w:rPr>
            </w:pPr>
            <w:r>
              <w:rPr>
                <w:rFonts w:ascii="Arial" w:cs="Arial" w:eastAsia="Arial" w:hAnsi="Arial"/>
                <w:sz w:val="14"/>
                <w:szCs w:val="14"/>
                <w:b w:val="1"/>
                <w:bCs w:val="1"/>
                <w:color w:val="auto"/>
                <w:w w:val="95"/>
              </w:rPr>
              <w:t>Incorporation or Organization)</w:t>
            </w:r>
          </w:p>
        </w:tc>
        <w:tc>
          <w:tcPr>
            <w:tcW w:w="3060" w:type="dxa"/>
            <w:vAlign w:val="bottom"/>
          </w:tcPr>
          <w:p>
            <w:pPr>
              <w:jc w:val="center"/>
              <w:ind w:left="1861"/>
              <w:spacing w:after="0"/>
              <w:rPr>
                <w:sz w:val="20"/>
                <w:szCs w:val="20"/>
                <w:color w:val="auto"/>
              </w:rPr>
            </w:pPr>
            <w:r>
              <w:rPr>
                <w:rFonts w:ascii="Arial" w:cs="Arial" w:eastAsia="Arial" w:hAnsi="Arial"/>
                <w:sz w:val="14"/>
                <w:szCs w:val="14"/>
                <w:b w:val="1"/>
                <w:bCs w:val="1"/>
                <w:color w:val="auto"/>
                <w:w w:val="94"/>
              </w:rPr>
              <w:t>Identification No.)</w:t>
            </w:r>
          </w:p>
        </w:tc>
      </w:tr>
      <w:tr>
        <w:trPr>
          <w:trHeight w:val="264"/>
        </w:trPr>
        <w:tc>
          <w:tcPr>
            <w:tcW w:w="4680" w:type="dxa"/>
            <w:vAlign w:val="bottom"/>
          </w:tcPr>
          <w:p>
            <w:pPr>
              <w:jc w:val="center"/>
              <w:ind w:right="1859"/>
              <w:spacing w:after="0"/>
              <w:rPr>
                <w:sz w:val="20"/>
                <w:szCs w:val="20"/>
                <w:color w:val="auto"/>
              </w:rPr>
            </w:pPr>
            <w:r>
              <w:rPr>
                <w:rFonts w:ascii="Arial" w:cs="Arial" w:eastAsia="Arial" w:hAnsi="Arial"/>
                <w:sz w:val="18"/>
                <w:szCs w:val="18"/>
                <w:b w:val="1"/>
                <w:bCs w:val="1"/>
                <w:color w:val="auto"/>
                <w:w w:val="87"/>
              </w:rPr>
              <w:t>9110 East Nichols Avenue, Suite 200</w:t>
            </w:r>
          </w:p>
        </w:tc>
        <w:tc>
          <w:tcPr>
            <w:tcW w:w="3060" w:type="dxa"/>
            <w:vAlign w:val="bottom"/>
          </w:tcPr>
          <w:p>
            <w:pPr>
              <w:spacing w:after="0"/>
              <w:rPr>
                <w:sz w:val="22"/>
                <w:szCs w:val="22"/>
                <w:color w:val="auto"/>
              </w:rPr>
            </w:pPr>
          </w:p>
        </w:tc>
      </w:tr>
      <w:tr>
        <w:trPr>
          <w:trHeight w:val="212"/>
        </w:trPr>
        <w:tc>
          <w:tcPr>
            <w:tcW w:w="46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Centennial, Colorado</w:t>
            </w:r>
          </w:p>
        </w:tc>
        <w:tc>
          <w:tcPr>
            <w:tcW w:w="3060" w:type="dxa"/>
            <w:vAlign w:val="bottom"/>
          </w:tcPr>
          <w:p>
            <w:pPr>
              <w:jc w:val="center"/>
              <w:ind w:left="1881"/>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4680" w:type="dxa"/>
            <w:vAlign w:val="bottom"/>
          </w:tcPr>
          <w:p>
            <w:pPr>
              <w:jc w:val="center"/>
              <w:ind w:right="18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128905</wp:posOffset>
            </wp:positionV>
            <wp:extent cx="1037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90"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spacing w:after="0"/>
              <w:rPr>
                <w:sz w:val="24"/>
                <w:szCs w:val="24"/>
                <w:color w:val="auto"/>
              </w:rPr>
            </w:pPr>
          </w:p>
        </w:tc>
        <w:tc>
          <w:tcPr>
            <w:tcW w:w="3220" w:type="dxa"/>
            <w:vAlign w:val="bottom"/>
          </w:tcPr>
          <w:p>
            <w:pPr>
              <w:ind w:left="62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3220" w:type="dxa"/>
            <w:vAlign w:val="bottom"/>
          </w:tcPr>
          <w:p>
            <w:pPr>
              <w:ind w:left="62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62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jc w:val="both"/>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As of May 2, 2017, 62,951,795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205740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40" w:type="dxa"/>
            <w:vAlign w:val="bottom"/>
            <w:gridSpan w:val="13"/>
          </w:tcPr>
          <w:p>
            <w:pPr>
              <w:ind w:left="126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Page</w:t>
            </w:r>
          </w:p>
        </w:tc>
      </w:tr>
      <w:tr>
        <w:trPr>
          <w:trHeight w:val="439"/>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200" w:type="dxa"/>
            <w:vAlign w:val="bottom"/>
            <w:gridSpan w:val="5"/>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460" w:type="dxa"/>
            <w:vAlign w:val="bottom"/>
            <w:gridSpan w:val="15"/>
          </w:tcPr>
          <w:p>
            <w:pPr>
              <w:spacing w:after="0"/>
              <w:rPr>
                <w:sz w:val="24"/>
                <w:szCs w:val="24"/>
                <w:color w:val="auto"/>
              </w:rPr>
            </w:pP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7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7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Loss</w:t>
              </w:r>
            </w:hyperlink>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72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Unaudited Condensed Consolidated Statements of Equity/(Deficit)</w:t>
              </w:r>
            </w:hyperlink>
          </w:p>
        </w:tc>
        <w:tc>
          <w:tcPr>
            <w:tcW w:w="2900" w:type="dxa"/>
            <w:vAlign w:val="bottom"/>
            <w:gridSpan w:val="2"/>
          </w:tcPr>
          <w:p>
            <w:pPr>
              <w:spacing w:after="0"/>
              <w:rPr>
                <w:sz w:val="18"/>
                <w:szCs w:val="18"/>
                <w:color w:val="auto"/>
              </w:rPr>
            </w:pP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72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98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7"/>
          </w:tcPr>
          <w:p>
            <w:pPr>
              <w:spacing w:after="0"/>
              <w:rPr>
                <w:sz w:val="18"/>
                <w:szCs w:val="18"/>
                <w:color w:val="auto"/>
              </w:rPr>
            </w:pPr>
          </w:p>
        </w:tc>
        <w:tc>
          <w:tcPr>
            <w:tcW w:w="1520" w:type="dxa"/>
            <w:vAlign w:val="bottom"/>
          </w:tcPr>
          <w:p>
            <w:pPr>
              <w:spacing w:after="0"/>
              <w:rPr>
                <w:sz w:val="18"/>
                <w:szCs w:val="18"/>
                <w:color w:val="auto"/>
              </w:rPr>
            </w:pP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798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r>
      <w:tr>
        <w:trPr>
          <w:trHeight w:val="34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3160" w:type="dxa"/>
            <w:vAlign w:val="bottom"/>
            <w:gridSpan w:val="4"/>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9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6640" w:type="dxa"/>
            <w:vAlign w:val="bottom"/>
            <w:gridSpan w:val="16"/>
          </w:tcPr>
          <w:p>
            <w:pPr>
              <w:spacing w:after="0"/>
              <w:rPr>
                <w:sz w:val="18"/>
                <w:szCs w:val="18"/>
                <w:color w:val="auto"/>
              </w:rPr>
            </w:pP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3620" w:type="dxa"/>
            <w:vAlign w:val="bottom"/>
            <w:gridSpan w:val="7"/>
          </w:tcPr>
          <w:p>
            <w:pPr>
              <w:spacing w:after="0"/>
              <w:rPr>
                <w:sz w:val="18"/>
                <w:szCs w:val="18"/>
                <w:color w:val="auto"/>
              </w:rPr>
            </w:pP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5640" w:type="dxa"/>
            <w:vAlign w:val="bottom"/>
            <w:gridSpan w:val="13"/>
          </w:tcPr>
          <w:p>
            <w:pPr>
              <w:spacing w:after="0"/>
              <w:rPr>
                <w:sz w:val="18"/>
                <w:szCs w:val="18"/>
                <w:color w:val="auto"/>
              </w:rPr>
            </w:pP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6200" w:type="dxa"/>
            <w:vAlign w:val="bottom"/>
            <w:gridSpan w:val="14"/>
          </w:tcPr>
          <w:p>
            <w:pPr>
              <w:spacing w:after="0"/>
              <w:rPr>
                <w:sz w:val="18"/>
                <w:szCs w:val="18"/>
                <w:color w:val="auto"/>
              </w:rPr>
            </w:pP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9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660" w:type="dxa"/>
            <w:vAlign w:val="bottom"/>
            <w:gridSpan w:val="17"/>
          </w:tcPr>
          <w:p>
            <w:pPr>
              <w:spacing w:after="0"/>
              <w:rPr>
                <w:sz w:val="18"/>
                <w:szCs w:val="18"/>
                <w:color w:val="auto"/>
              </w:rPr>
            </w:pP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r>
      <w:tr>
        <w:trPr>
          <w:trHeight w:val="345"/>
        </w:trPr>
        <w:tc>
          <w:tcPr>
            <w:tcW w:w="116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tcPr>
          <w:p>
            <w:pPr>
              <w:spacing w:after="0"/>
              <w:rPr>
                <w:sz w:val="20"/>
                <w:szCs w:val="20"/>
                <w:color w:val="auto"/>
              </w:rPr>
            </w:pPr>
            <w:r>
              <w:rPr>
                <w:rFonts w:ascii="Arial" w:cs="Arial" w:eastAsia="Arial" w:hAnsi="Arial"/>
                <w:sz w:val="14"/>
                <w:szCs w:val="14"/>
                <w:color w:val="auto"/>
              </w:rPr>
              <w:t>CURRENT ASSETS:</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1100" w:type="dxa"/>
            <w:vAlign w:val="bottom"/>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3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114"/>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Short-term marketable securities</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Receivables, net of allowance of $6.6 and $6.3, respectively</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Prepaid expenses</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Income tax receivable</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Current portion of notes receivable - founding members</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current assets</w:t>
            </w:r>
          </w:p>
        </w:tc>
        <w:tc>
          <w:tcPr>
            <w:tcW w:w="11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Pr>
          <w:p>
            <w:pPr>
              <w:ind w:left="1000"/>
              <w:spacing w:after="0" w:line="155" w:lineRule="exact"/>
              <w:rPr>
                <w:sz w:val="20"/>
                <w:szCs w:val="20"/>
                <w:color w:val="auto"/>
              </w:rPr>
            </w:pPr>
            <w:r>
              <w:rPr>
                <w:rFonts w:ascii="Arial" w:cs="Arial" w:eastAsia="Arial" w:hAnsi="Arial"/>
                <w:sz w:val="14"/>
                <w:szCs w:val="14"/>
                <w:color w:val="auto"/>
              </w:rPr>
              <w:t>Total current assets</w:t>
            </w:r>
          </w:p>
        </w:tc>
        <w:tc>
          <w:tcPr>
            <w:tcW w:w="1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163.3</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221.1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NON-CURRENT ASSETS:</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80" w:type="dxa"/>
            <w:vAlign w:val="bottom"/>
          </w:tcPr>
          <w:p>
            <w:pPr>
              <w:ind w:left="500"/>
              <w:spacing w:after="0" w:line="143" w:lineRule="exact"/>
              <w:rPr>
                <w:sz w:val="20"/>
                <w:szCs w:val="20"/>
                <w:color w:val="auto"/>
              </w:rPr>
            </w:pPr>
            <w:r>
              <w:rPr>
                <w:rFonts w:ascii="Arial" w:cs="Arial" w:eastAsia="Arial" w:hAnsi="Arial"/>
                <w:sz w:val="14"/>
                <w:szCs w:val="14"/>
                <w:color w:val="auto"/>
              </w:rPr>
              <w:t>Property and equipment, net of accumulated depreciation of $66.8 and $64.1,</w:t>
            </w: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tcPr>
          <w:p>
            <w:pPr>
              <w:ind w:left="600"/>
              <w:spacing w:after="0"/>
              <w:rPr>
                <w:sz w:val="20"/>
                <w:szCs w:val="20"/>
                <w:color w:val="auto"/>
              </w:rPr>
            </w:pPr>
            <w:r>
              <w:rPr>
                <w:rFonts w:ascii="Arial" w:cs="Arial" w:eastAsia="Arial" w:hAnsi="Arial"/>
                <w:sz w:val="14"/>
                <w:szCs w:val="14"/>
                <w:color w:val="auto"/>
              </w:rPr>
              <w:t>respectively</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29.8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Intangible assets, net of accumulated amortization of $125.8 and $118.9, respectively</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755.1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Deferred tax assets</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165.5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Long-term notes receivable, net of current portion - founding members</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Other investments</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Long-term marketable securities</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Debt issuance costs, net</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assets</w:t>
            </w:r>
          </w:p>
        </w:tc>
        <w:tc>
          <w:tcPr>
            <w:tcW w:w="11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color w:val="auto"/>
              </w:rPr>
              <w:t>Total non-current assets</w:t>
            </w: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988.6</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836.3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1100" w:type="dxa"/>
            <w:vAlign w:val="bottom"/>
            <w:tcBorders>
              <w:bottom w:val="single" w:sz="8" w:color="auto"/>
            </w:tcBorders>
            <w:shd w:val="clear" w:color="auto" w:fill="CFF0FC"/>
          </w:tcPr>
          <w:p>
            <w:pPr>
              <w:jc w:val="right"/>
              <w:ind w:right="94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1,151.9</w:t>
            </w:r>
          </w:p>
        </w:tc>
        <w:tc>
          <w:tcPr>
            <w:tcW w:w="30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5"/>
                <w:szCs w:val="5"/>
                <w:color w:val="auto"/>
                <w:w w:val="70"/>
              </w:rPr>
              <w:t>$</w:t>
            </w: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1,057.4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EQUITY/(DEFICIT)</w:t>
            </w: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Amounts due to founding members</w:t>
            </w: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7.9</w:t>
            </w:r>
          </w:p>
        </w:tc>
        <w:tc>
          <w:tcPr>
            <w:tcW w:w="300" w:type="dxa"/>
            <w:vAlign w:val="bottom"/>
          </w:tcPr>
          <w:p>
            <w:pPr>
              <w:spacing w:after="0"/>
              <w:rPr>
                <w:sz w:val="14"/>
                <w:szCs w:val="14"/>
                <w:color w:val="auto"/>
              </w:rPr>
            </w:pPr>
          </w:p>
        </w:tc>
        <w:tc>
          <w:tcPr>
            <w:tcW w:w="200" w:type="dxa"/>
            <w:vAlign w:val="bottom"/>
            <w:gridSpan w:val="2"/>
          </w:tcPr>
          <w:p>
            <w:pPr>
              <w:jc w:val="right"/>
              <w:ind w:right="114"/>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Payable to founding members under tax receivable agreement</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Accrued expenses</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payroll and related expenses</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11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Pr>
          <w:p>
            <w:pPr>
              <w:ind w:left="1000"/>
              <w:spacing w:after="0" w:line="155" w:lineRule="exact"/>
              <w:rPr>
                <w:sz w:val="20"/>
                <w:szCs w:val="20"/>
                <w:color w:val="auto"/>
              </w:rPr>
            </w:pPr>
            <w:r>
              <w:rPr>
                <w:rFonts w:ascii="Arial" w:cs="Arial" w:eastAsia="Arial" w:hAnsi="Arial"/>
                <w:sz w:val="14"/>
                <w:szCs w:val="14"/>
                <w:color w:val="auto"/>
              </w:rPr>
              <w:t>Total current liabilities</w:t>
            </w:r>
          </w:p>
        </w:tc>
        <w:tc>
          <w:tcPr>
            <w:tcW w:w="1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70.4</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120.6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NON-CURRENT LIABILITIES:</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Long-term debt, net of debt issuance costs of $10.2 and $10.7, respectively</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939.8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924.3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tax liability</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Income tax payable</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Payable to founding members under tax receivable agreement</w:t>
            </w:r>
          </w:p>
        </w:tc>
        <w:tc>
          <w:tcPr>
            <w:tcW w:w="11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color w:val="auto"/>
              </w:rPr>
              <w:t>Total non-current liabilities</w:t>
            </w: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1,135.6</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1,118.0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80" w:type="dxa"/>
            <w:vAlign w:val="bottom"/>
            <w:shd w:val="clear" w:color="auto" w:fill="CFF0FC"/>
          </w:tcPr>
          <w:p>
            <w:pPr>
              <w:ind w:left="1000"/>
              <w:spacing w:after="0" w:line="155" w:lineRule="exact"/>
              <w:rPr>
                <w:sz w:val="20"/>
                <w:szCs w:val="20"/>
                <w:color w:val="auto"/>
              </w:rPr>
            </w:pPr>
            <w:r>
              <w:rPr>
                <w:rFonts w:ascii="Arial" w:cs="Arial" w:eastAsia="Arial" w:hAnsi="Arial"/>
                <w:sz w:val="14"/>
                <w:szCs w:val="14"/>
                <w:color w:val="auto"/>
              </w:rPr>
              <w:t>Total liabilities</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1,206.0</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tcPr>
          <w:p>
            <w:pPr>
              <w:spacing w:after="0"/>
              <w:rPr>
                <w:sz w:val="20"/>
                <w:szCs w:val="20"/>
                <w:color w:val="auto"/>
              </w:rPr>
            </w:pPr>
            <w:r>
              <w:rPr>
                <w:rFonts w:ascii="Arial" w:cs="Arial" w:eastAsia="Arial" w:hAnsi="Arial"/>
                <w:sz w:val="14"/>
                <w:szCs w:val="14"/>
                <w:color w:val="auto"/>
              </w:rPr>
              <w:t>COMMITMENTS AND CONTINGENCIES (NOTE 7)</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spacing w:after="0"/>
              <w:rPr>
                <w:sz w:val="20"/>
                <w:szCs w:val="20"/>
                <w:color w:val="auto"/>
              </w:rPr>
            </w:pPr>
            <w:r>
              <w:rPr>
                <w:rFonts w:ascii="Arial" w:cs="Arial" w:eastAsia="Arial" w:hAnsi="Arial"/>
                <w:sz w:val="14"/>
                <w:szCs w:val="14"/>
                <w:color w:val="auto"/>
              </w:rPr>
              <w:t>EQUITY/(DEFICIT):</w:t>
            </w: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260"/>
              <w:spacing w:after="0"/>
              <w:rPr>
                <w:sz w:val="20"/>
                <w:szCs w:val="20"/>
                <w:color w:val="auto"/>
              </w:rPr>
            </w:pPr>
            <w:r>
              <w:rPr>
                <w:rFonts w:ascii="Arial" w:cs="Arial" w:eastAsia="Arial" w:hAnsi="Arial"/>
                <w:sz w:val="14"/>
                <w:szCs w:val="14"/>
                <w:color w:val="auto"/>
              </w:rPr>
              <w:t>NCM, Inc. Stockholders’ Equity/(Deficit):</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80" w:type="dxa"/>
            <w:vAlign w:val="bottom"/>
            <w:shd w:val="clear" w:color="auto" w:fill="CFF0FC"/>
          </w:tcPr>
          <w:p>
            <w:pPr>
              <w:ind w:left="500"/>
              <w:spacing w:after="0" w:line="143" w:lineRule="exact"/>
              <w:rPr>
                <w:sz w:val="20"/>
                <w:szCs w:val="20"/>
                <w:color w:val="auto"/>
              </w:rPr>
            </w:pPr>
            <w:r>
              <w:rPr>
                <w:rFonts w:ascii="Arial" w:cs="Arial" w:eastAsia="Arial" w:hAnsi="Arial"/>
                <w:sz w:val="14"/>
                <w:szCs w:val="14"/>
                <w:color w:val="auto"/>
              </w:rPr>
              <w:t>Preferred stock, $0.01 par value; 10,000,000 shares authorized, none issued and</w:t>
            </w: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outstanding, respectively</w:t>
            </w: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880" w:type="dxa"/>
            <w:vAlign w:val="bottom"/>
          </w:tcPr>
          <w:p>
            <w:pPr>
              <w:ind w:left="500"/>
              <w:spacing w:after="0" w:line="143" w:lineRule="exact"/>
              <w:rPr>
                <w:sz w:val="20"/>
                <w:szCs w:val="20"/>
                <w:color w:val="auto"/>
              </w:rPr>
            </w:pPr>
            <w:r>
              <w:rPr>
                <w:rFonts w:ascii="Arial" w:cs="Arial" w:eastAsia="Arial" w:hAnsi="Arial"/>
                <w:sz w:val="14"/>
                <w:szCs w:val="14"/>
                <w:color w:val="auto"/>
              </w:rPr>
              <w:t>Common stock, $0.01 par value; 175,000,000 shares authorized, 60,595,401 and</w:t>
            </w: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80" w:type="dxa"/>
            <w:vAlign w:val="bottom"/>
          </w:tcPr>
          <w:p>
            <w:pPr>
              <w:ind w:left="600"/>
              <w:spacing w:after="0"/>
              <w:rPr>
                <w:sz w:val="20"/>
                <w:szCs w:val="20"/>
                <w:color w:val="auto"/>
              </w:rPr>
            </w:pPr>
            <w:r>
              <w:rPr>
                <w:rFonts w:ascii="Arial" w:cs="Arial" w:eastAsia="Arial" w:hAnsi="Arial"/>
                <w:sz w:val="14"/>
                <w:szCs w:val="14"/>
                <w:color w:val="auto"/>
              </w:rPr>
              <w:t>59,874,412 issued and outstanding, respectively</w:t>
            </w: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Additional paid in capital/(deficit)</w:t>
            </w: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(195.0)</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(207.7)</w:t>
            </w:r>
          </w:p>
        </w:tc>
        <w:tc>
          <w:tcPr>
            <w:tcW w:w="0" w:type="dxa"/>
            <w:vAlign w:val="bottom"/>
          </w:tcPr>
          <w:p>
            <w:pPr>
              <w:spacing w:after="0"/>
              <w:rPr>
                <w:sz w:val="1"/>
                <w:szCs w:val="1"/>
                <w:color w:val="auto"/>
              </w:rPr>
            </w:pPr>
          </w:p>
        </w:tc>
      </w:tr>
      <w:tr>
        <w:trPr>
          <w:trHeight w:val="162"/>
        </w:trPr>
        <w:tc>
          <w:tcPr>
            <w:tcW w:w="7880" w:type="dxa"/>
            <w:vAlign w:val="bottom"/>
          </w:tcPr>
          <w:p>
            <w:pPr>
              <w:ind w:left="500"/>
              <w:spacing w:after="0"/>
              <w:rPr>
                <w:sz w:val="20"/>
                <w:szCs w:val="20"/>
                <w:color w:val="auto"/>
              </w:rPr>
            </w:pPr>
            <w:r>
              <w:rPr>
                <w:rFonts w:ascii="Arial" w:cs="Arial" w:eastAsia="Arial" w:hAnsi="Arial"/>
                <w:sz w:val="14"/>
                <w:szCs w:val="14"/>
                <w:color w:val="auto"/>
              </w:rPr>
              <w:t>Retained earnings (distributions in excess of earnings)</w:t>
            </w:r>
          </w:p>
        </w:tc>
        <w:tc>
          <w:tcPr>
            <w:tcW w:w="1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(234.0)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(215.6)</w:t>
            </w:r>
          </w:p>
        </w:tc>
        <w:tc>
          <w:tcPr>
            <w:tcW w:w="0" w:type="dxa"/>
            <w:vAlign w:val="bottom"/>
          </w:tcPr>
          <w:p>
            <w:pPr>
              <w:spacing w:after="0"/>
              <w:rPr>
                <w:sz w:val="1"/>
                <w:szCs w:val="1"/>
                <w:color w:val="auto"/>
              </w:rPr>
            </w:pPr>
          </w:p>
        </w:tc>
      </w:tr>
      <w:tr>
        <w:trPr>
          <w:trHeight w:val="156"/>
        </w:trPr>
        <w:tc>
          <w:tcPr>
            <w:tcW w:w="7880" w:type="dxa"/>
            <w:vAlign w:val="bottom"/>
            <w:tcBorders>
              <w:top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color w:val="auto"/>
              </w:rPr>
              <w:t>Total NCM, Inc. stockholders’ equity/(deficit)</w:t>
            </w:r>
          </w:p>
        </w:tc>
        <w:tc>
          <w:tcPr>
            <w:tcW w:w="1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(428.4)</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(422.7)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Noncontrolling interests</w:t>
            </w: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shd w:val="clear" w:color="auto" w:fill="CFF0FC"/>
          </w:tcPr>
          <w:p>
            <w:pPr>
              <w:ind w:left="1000"/>
              <w:spacing w:after="0" w:line="155" w:lineRule="exact"/>
              <w:rPr>
                <w:sz w:val="20"/>
                <w:szCs w:val="20"/>
                <w:color w:val="auto"/>
              </w:rPr>
            </w:pPr>
            <w:r>
              <w:rPr>
                <w:rFonts w:ascii="Arial" w:cs="Arial" w:eastAsia="Arial" w:hAnsi="Arial"/>
                <w:sz w:val="14"/>
                <w:szCs w:val="14"/>
                <w:color w:val="auto"/>
              </w:rPr>
              <w:t>Total equity/(deficit)</w:t>
            </w:r>
          </w:p>
        </w:tc>
        <w:tc>
          <w:tcPr>
            <w:tcW w:w="1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(54.1)</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80" w:type="dxa"/>
            <w:vAlign w:val="bottom"/>
          </w:tcPr>
          <w:p>
            <w:pPr>
              <w:spacing w:after="0" w:line="155" w:lineRule="exact"/>
              <w:rPr>
                <w:sz w:val="20"/>
                <w:szCs w:val="20"/>
                <w:color w:val="auto"/>
              </w:rPr>
            </w:pPr>
            <w:r>
              <w:rPr>
                <w:rFonts w:ascii="Arial" w:cs="Arial" w:eastAsia="Arial" w:hAnsi="Arial"/>
                <w:sz w:val="14"/>
                <w:szCs w:val="14"/>
                <w:color w:val="auto"/>
              </w:rPr>
              <w:t>TOTAL LIABILITIES AND EQUITY/DEFICIT</w:t>
            </w:r>
          </w:p>
        </w:tc>
        <w:tc>
          <w:tcPr>
            <w:tcW w:w="110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1,151.9</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2"/>
          </w:tcPr>
          <w:p>
            <w:pPr>
              <w:jc w:val="right"/>
              <w:ind w:right="840"/>
              <w:spacing w:after="0" w:line="133" w:lineRule="exact"/>
              <w:rPr>
                <w:sz w:val="20"/>
                <w:szCs w:val="20"/>
                <w:color w:val="auto"/>
              </w:rPr>
            </w:pPr>
            <w:r>
              <w:rPr>
                <w:rFonts w:ascii="Arial" w:cs="Arial" w:eastAsia="Arial" w:hAnsi="Arial"/>
                <w:sz w:val="14"/>
                <w:szCs w:val="14"/>
                <w:b w:val="1"/>
                <w:bCs w:val="1"/>
                <w:color w:val="auto"/>
              </w:rPr>
              <w:t>March 30,</w:t>
            </w:r>
          </w:p>
        </w:tc>
        <w:tc>
          <w:tcPr>
            <w:tcW w:w="520" w:type="dxa"/>
            <w:vAlign w:val="bottom"/>
          </w:tcPr>
          <w:p>
            <w:pPr>
              <w:spacing w:after="0"/>
              <w:rPr>
                <w:sz w:val="11"/>
                <w:szCs w:val="11"/>
                <w:color w:val="auto"/>
              </w:rPr>
            </w:pPr>
          </w:p>
        </w:tc>
        <w:tc>
          <w:tcPr>
            <w:tcW w:w="1160" w:type="dxa"/>
            <w:vAlign w:val="bottom"/>
          </w:tcPr>
          <w:p>
            <w:pPr>
              <w:jc w:val="right"/>
              <w:ind w:right="431"/>
              <w:spacing w:after="0" w:line="133" w:lineRule="exact"/>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Borders>
              <w:bottom w:val="single" w:sz="8" w:color="CFF2FA"/>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2FA"/>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FF2FA"/>
          </w:tcPr>
          <w:p>
            <w:pPr>
              <w:spacing w:after="0"/>
              <w:rPr>
                <w:sz w:val="20"/>
                <w:szCs w:val="20"/>
                <w:color w:val="auto"/>
              </w:rPr>
            </w:pPr>
            <w:r>
              <w:rPr>
                <w:rFonts w:ascii="Arial" w:cs="Arial" w:eastAsia="Arial" w:hAnsi="Arial"/>
                <w:sz w:val="18"/>
                <w:szCs w:val="18"/>
                <w:color w:val="auto"/>
              </w:rPr>
              <w:t>REVENUE (including revenue from founding members of $8.4 and $7.3,</w:t>
            </w:r>
          </w:p>
        </w:tc>
        <w:tc>
          <w:tcPr>
            <w:tcW w:w="30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300" w:type="dxa"/>
            <w:vAlign w:val="bottom"/>
            <w:shd w:val="clear" w:color="auto" w:fill="CFF2FA"/>
          </w:tcPr>
          <w:p>
            <w:pPr>
              <w:spacing w:after="0"/>
              <w:rPr>
                <w:sz w:val="18"/>
                <w:szCs w:val="18"/>
                <w:color w:val="auto"/>
              </w:rPr>
            </w:pPr>
          </w:p>
        </w:tc>
        <w:tc>
          <w:tcPr>
            <w:tcW w:w="520" w:type="dxa"/>
            <w:vAlign w:val="bottom"/>
            <w:shd w:val="clear" w:color="auto" w:fill="CFF2FA"/>
          </w:tcPr>
          <w:p>
            <w:pPr>
              <w:spacing w:after="0"/>
              <w:rPr>
                <w:sz w:val="18"/>
                <w:szCs w:val="18"/>
                <w:color w:val="auto"/>
              </w:rPr>
            </w:pPr>
          </w:p>
        </w:tc>
        <w:tc>
          <w:tcPr>
            <w:tcW w:w="1160" w:type="dxa"/>
            <w:vAlign w:val="bottom"/>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FF2FA"/>
          </w:tcPr>
          <w:p>
            <w:pPr>
              <w:ind w:left="12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FF2FA"/>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71.9</w:t>
            </w:r>
          </w:p>
        </w:tc>
        <w:tc>
          <w:tcPr>
            <w:tcW w:w="300" w:type="dxa"/>
            <w:vAlign w:val="bottom"/>
            <w:shd w:val="clear" w:color="auto" w:fill="CFF2FA"/>
          </w:tcPr>
          <w:p>
            <w:pPr>
              <w:spacing w:after="0"/>
              <w:rPr>
                <w:sz w:val="20"/>
                <w:szCs w:val="20"/>
                <w:color w:val="auto"/>
              </w:rPr>
            </w:pPr>
          </w:p>
        </w:tc>
        <w:tc>
          <w:tcPr>
            <w:tcW w:w="520" w:type="dxa"/>
            <w:vAlign w:val="bottom"/>
            <w:shd w:val="clear" w:color="auto" w:fill="CFF2FA"/>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76.2</w:t>
            </w:r>
          </w:p>
        </w:tc>
        <w:tc>
          <w:tcPr>
            <w:tcW w:w="3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Advertising operating costs</w:t>
            </w:r>
          </w:p>
        </w:tc>
        <w:tc>
          <w:tcPr>
            <w:tcW w:w="300" w:type="dxa"/>
            <w:vAlign w:val="bottom"/>
            <w:shd w:val="clear" w:color="auto" w:fill="CFF2FA"/>
          </w:tcPr>
          <w:p>
            <w:pPr>
              <w:spacing w:after="0"/>
              <w:rPr>
                <w:sz w:val="19"/>
                <w:szCs w:val="19"/>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Network costs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Theater access fees—founding members</w:t>
            </w:r>
          </w:p>
        </w:tc>
        <w:tc>
          <w:tcPr>
            <w:tcW w:w="300" w:type="dxa"/>
            <w:vAlign w:val="bottom"/>
            <w:shd w:val="clear" w:color="auto" w:fill="CFF2FA"/>
          </w:tcPr>
          <w:p>
            <w:pPr>
              <w:spacing w:after="0"/>
              <w:rPr>
                <w:sz w:val="19"/>
                <w:szCs w:val="19"/>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Selling and marketing costs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Administrative and other costs</w:t>
            </w:r>
          </w:p>
        </w:tc>
        <w:tc>
          <w:tcPr>
            <w:tcW w:w="300" w:type="dxa"/>
            <w:vAlign w:val="bottom"/>
            <w:shd w:val="clear" w:color="auto" w:fill="CFF2FA"/>
          </w:tcPr>
          <w:p>
            <w:pPr>
              <w:spacing w:after="0"/>
              <w:rPr>
                <w:sz w:val="19"/>
                <w:szCs w:val="19"/>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Borders>
              <w:bottom w:val="single" w:sz="8" w:color="CFF2FA"/>
            </w:tcBorders>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FF2FA"/>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FF2FA"/>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2FA"/>
          </w:tcPr>
          <w:p>
            <w:pPr>
              <w:spacing w:after="0"/>
              <w:rPr>
                <w:sz w:val="19"/>
                <w:szCs w:val="19"/>
                <w:color w:val="auto"/>
              </w:rPr>
            </w:pPr>
          </w:p>
        </w:tc>
        <w:tc>
          <w:tcPr>
            <w:tcW w:w="13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66.8</w:t>
            </w:r>
          </w:p>
        </w:tc>
        <w:tc>
          <w:tcPr>
            <w:tcW w:w="300" w:type="dxa"/>
            <w:vAlign w:val="bottom"/>
            <w:shd w:val="clear" w:color="auto" w:fill="CFF2FA"/>
          </w:tcPr>
          <w:p>
            <w:pPr>
              <w:spacing w:after="0"/>
              <w:rPr>
                <w:sz w:val="19"/>
                <w:szCs w:val="19"/>
                <w:color w:val="auto"/>
              </w:rPr>
            </w:pPr>
          </w:p>
        </w:tc>
        <w:tc>
          <w:tcPr>
            <w:tcW w:w="520" w:type="dxa"/>
            <w:vAlign w:val="bottom"/>
            <w:tcBorders>
              <w:bottom w:val="single" w:sz="8" w:color="auto"/>
            </w:tcBorders>
            <w:shd w:val="clear" w:color="auto" w:fill="CFF2FA"/>
          </w:tcPr>
          <w:p>
            <w:pPr>
              <w:spacing w:after="0"/>
              <w:rPr>
                <w:sz w:val="19"/>
                <w:szCs w:val="19"/>
                <w:color w:val="auto"/>
              </w:rPr>
            </w:pPr>
          </w:p>
        </w:tc>
        <w:tc>
          <w:tcPr>
            <w:tcW w:w="1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70.4</w:t>
            </w:r>
          </w:p>
        </w:tc>
        <w:tc>
          <w:tcPr>
            <w:tcW w:w="3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FF2FA"/>
            </w:tcBorders>
          </w:tcPr>
          <w:p>
            <w:pPr>
              <w:ind w:left="7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CFF2FA"/>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FF2FA"/>
          </w:tcPr>
          <w:p>
            <w:pPr>
              <w:spacing w:after="0"/>
              <w:rPr>
                <w:sz w:val="20"/>
                <w:szCs w:val="20"/>
                <w:color w:val="auto"/>
              </w:rPr>
            </w:pPr>
            <w:r>
              <w:rPr>
                <w:rFonts w:ascii="Arial" w:cs="Arial" w:eastAsia="Arial" w:hAnsi="Arial"/>
                <w:sz w:val="18"/>
                <w:szCs w:val="18"/>
                <w:color w:val="auto"/>
              </w:rPr>
              <w:t>NON-OPERATING EXPENSES:</w:t>
            </w:r>
          </w:p>
        </w:tc>
        <w:tc>
          <w:tcPr>
            <w:tcW w:w="300" w:type="dxa"/>
            <w:vAlign w:val="bottom"/>
            <w:shd w:val="clear" w:color="auto" w:fill="CFF2FA"/>
          </w:tcPr>
          <w:p>
            <w:pPr>
              <w:spacing w:after="0"/>
              <w:rPr>
                <w:sz w:val="19"/>
                <w:szCs w:val="19"/>
                <w:color w:val="auto"/>
              </w:rPr>
            </w:pPr>
          </w:p>
        </w:tc>
        <w:tc>
          <w:tcPr>
            <w:tcW w:w="138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16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Interest on borrowings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2FA"/>
          </w:tcPr>
          <w:p>
            <w:pPr>
              <w:spacing w:after="0"/>
              <w:rPr>
                <w:sz w:val="19"/>
                <w:szCs w:val="19"/>
                <w:color w:val="auto"/>
              </w:rPr>
            </w:pPr>
          </w:p>
        </w:tc>
        <w:tc>
          <w:tcPr>
            <w:tcW w:w="168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FF2FA"/>
          </w:tcPr>
          <w:p>
            <w:pPr>
              <w:spacing w:after="0"/>
              <w:rPr>
                <w:sz w:val="19"/>
                <w:szCs w:val="19"/>
                <w:color w:val="auto"/>
              </w:rPr>
            </w:pPr>
          </w:p>
        </w:tc>
        <w:tc>
          <w:tcPr>
            <w:tcW w:w="148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Accretion of interest on the discounted payable to founding members under</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tax receivable agreement</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Other non-operating income</w:t>
            </w:r>
          </w:p>
        </w:tc>
        <w:tc>
          <w:tcPr>
            <w:tcW w:w="300" w:type="dxa"/>
            <w:vAlign w:val="bottom"/>
            <w:shd w:val="clear" w:color="auto" w:fill="CFF2FA"/>
          </w:tcPr>
          <w:p>
            <w:pPr>
              <w:spacing w:after="0"/>
              <w:rPr>
                <w:sz w:val="19"/>
                <w:szCs w:val="19"/>
                <w:color w:val="auto"/>
              </w:rPr>
            </w:pPr>
          </w:p>
        </w:tc>
        <w:tc>
          <w:tcPr>
            <w:tcW w:w="168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FF2FA"/>
          </w:tcPr>
          <w:p>
            <w:pPr>
              <w:spacing w:after="0"/>
              <w:rPr>
                <w:sz w:val="19"/>
                <w:szCs w:val="19"/>
                <w:color w:val="auto"/>
              </w:rPr>
            </w:pPr>
          </w:p>
        </w:tc>
        <w:tc>
          <w:tcPr>
            <w:tcW w:w="1480" w:type="dxa"/>
            <w:vAlign w:val="bottom"/>
            <w:gridSpan w:val="2"/>
            <w:shd w:val="clear" w:color="auto" w:fill="CFF2FA"/>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FF2FA"/>
            </w:tcBorders>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Borders>
              <w:bottom w:val="single" w:sz="8" w:color="CFF2FA"/>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FF2FA"/>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FF2FA"/>
          </w:tcPr>
          <w:p>
            <w:pPr>
              <w:spacing w:after="0"/>
              <w:rPr>
                <w:sz w:val="19"/>
                <w:szCs w:val="19"/>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72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CONSOLIDATED NET LOSS</w:t>
            </w:r>
          </w:p>
        </w:tc>
        <w:tc>
          <w:tcPr>
            <w:tcW w:w="300" w:type="dxa"/>
            <w:vAlign w:val="bottom"/>
            <w:tcBorders>
              <w:top w:val="single" w:sz="8" w:color="auto"/>
            </w:tcBorders>
            <w:shd w:val="clear" w:color="auto" w:fill="CFF2FA"/>
          </w:tcPr>
          <w:p>
            <w:pPr>
              <w:spacing w:after="0"/>
              <w:rPr>
                <w:sz w:val="19"/>
                <w:szCs w:val="19"/>
                <w:color w:val="auto"/>
              </w:rPr>
            </w:pPr>
          </w:p>
        </w:tc>
        <w:tc>
          <w:tcPr>
            <w:tcW w:w="138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(9.5)</w:t>
            </w:r>
          </w:p>
        </w:tc>
        <w:tc>
          <w:tcPr>
            <w:tcW w:w="300" w:type="dxa"/>
            <w:vAlign w:val="bottom"/>
            <w:tcBorders>
              <w:top w:val="single" w:sz="8" w:color="CFF2FA"/>
            </w:tcBorders>
            <w:shd w:val="clear" w:color="auto" w:fill="CFF2FA"/>
          </w:tcPr>
          <w:p>
            <w:pPr>
              <w:spacing w:after="0"/>
              <w:rPr>
                <w:sz w:val="19"/>
                <w:szCs w:val="19"/>
                <w:color w:val="auto"/>
              </w:rPr>
            </w:pPr>
          </w:p>
        </w:tc>
        <w:tc>
          <w:tcPr>
            <w:tcW w:w="520" w:type="dxa"/>
            <w:vAlign w:val="bottom"/>
            <w:tcBorders>
              <w:top w:val="single" w:sz="8" w:color="auto"/>
            </w:tcBorders>
            <w:shd w:val="clear" w:color="auto" w:fill="CFF2FA"/>
          </w:tcPr>
          <w:p>
            <w:pPr>
              <w:spacing w:after="0"/>
              <w:rPr>
                <w:sz w:val="19"/>
                <w:szCs w:val="19"/>
                <w:color w:val="auto"/>
              </w:rPr>
            </w:pPr>
          </w:p>
        </w:tc>
        <w:tc>
          <w:tcPr>
            <w:tcW w:w="11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(8.5)</w:t>
            </w:r>
          </w:p>
        </w:tc>
        <w:tc>
          <w:tcPr>
            <w:tcW w:w="3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72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FF2FA"/>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NET LOSS ATTRIBUTABLE TO NCM, INC.</w:t>
            </w:r>
          </w:p>
        </w:tc>
        <w:tc>
          <w:tcPr>
            <w:tcW w:w="300" w:type="dxa"/>
            <w:vAlign w:val="bottom"/>
            <w:tcBorders>
              <w:top w:val="single" w:sz="8" w:color="auto"/>
              <w:bottom w:val="single" w:sz="8" w:color="auto"/>
            </w:tcBorders>
            <w:shd w:val="clear" w:color="auto" w:fill="CFF2FA"/>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(5.0)</w:t>
            </w:r>
          </w:p>
        </w:tc>
        <w:tc>
          <w:tcPr>
            <w:tcW w:w="300" w:type="dxa"/>
            <w:vAlign w:val="bottom"/>
            <w:tcBorders>
              <w:top w:val="single" w:sz="8" w:color="CFF2FA"/>
              <w:bottom w:val="single" w:sz="8" w:color="CFF2FA"/>
            </w:tcBorders>
            <w:shd w:val="clear" w:color="auto" w:fill="CFF2FA"/>
          </w:tcPr>
          <w:p>
            <w:pPr>
              <w:spacing w:after="0"/>
              <w:rPr>
                <w:sz w:val="19"/>
                <w:szCs w:val="19"/>
                <w:color w:val="auto"/>
              </w:rPr>
            </w:pPr>
          </w:p>
        </w:tc>
        <w:tc>
          <w:tcPr>
            <w:tcW w:w="520" w:type="dxa"/>
            <w:vAlign w:val="bottom"/>
            <w:tcBorders>
              <w:top w:val="single" w:sz="8" w:color="auto"/>
              <w:bottom w:val="single" w:sz="8" w:color="auto"/>
            </w:tcBorders>
            <w:shd w:val="clear" w:color="auto" w:fill="CFF2FA"/>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top w:val="single" w:sz="8" w:color="CFF2FA"/>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FF2FA"/>
          </w:tcPr>
          <w:p>
            <w:pPr>
              <w:spacing w:after="0"/>
              <w:rPr>
                <w:sz w:val="20"/>
                <w:szCs w:val="20"/>
                <w:color w:val="auto"/>
              </w:rPr>
            </w:pPr>
            <w:r>
              <w:rPr>
                <w:rFonts w:ascii="Arial" w:cs="Arial" w:eastAsia="Arial" w:hAnsi="Arial"/>
                <w:sz w:val="18"/>
                <w:szCs w:val="18"/>
                <w:color w:val="auto"/>
              </w:rPr>
              <w:t>NET LOSS PER NCM, INC. COMMON SHARE:</w:t>
            </w:r>
          </w:p>
        </w:tc>
        <w:tc>
          <w:tcPr>
            <w:tcW w:w="300" w:type="dxa"/>
            <w:vAlign w:val="bottom"/>
            <w:shd w:val="clear" w:color="auto" w:fill="CFF2FA"/>
          </w:tcPr>
          <w:p>
            <w:pPr>
              <w:spacing w:after="0"/>
              <w:rPr>
                <w:sz w:val="19"/>
                <w:szCs w:val="19"/>
                <w:color w:val="auto"/>
              </w:rPr>
            </w:pPr>
          </w:p>
        </w:tc>
        <w:tc>
          <w:tcPr>
            <w:tcW w:w="138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16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7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2FA"/>
          </w:tcPr>
          <w:p>
            <w:pPr>
              <w:ind w:left="7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FF2FA"/>
          </w:tcPr>
          <w:p>
            <w:pPr>
              <w:jc w:val="right"/>
              <w:ind w:right="14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(0.08)</w:t>
            </w:r>
          </w:p>
        </w:tc>
        <w:tc>
          <w:tcPr>
            <w:tcW w:w="520" w:type="dxa"/>
            <w:vAlign w:val="bottom"/>
            <w:shd w:val="clear" w:color="auto" w:fill="CFF2FA"/>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2FA"/>
          </w:tcPr>
          <w:p>
            <w:pPr>
              <w:ind w:left="7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2FA"/>
          </w:tcPr>
          <w:p>
            <w:pPr>
              <w:spacing w:after="0"/>
              <w:rPr>
                <w:sz w:val="19"/>
                <w:szCs w:val="19"/>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60,309,087</w:t>
            </w:r>
          </w:p>
        </w:tc>
        <w:tc>
          <w:tcPr>
            <w:tcW w:w="30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59,610,864</w:t>
            </w:r>
          </w:p>
        </w:tc>
        <w:tc>
          <w:tcPr>
            <w:tcW w:w="3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7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60,309,087</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59,610,864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2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138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160" w:type="dxa"/>
            <w:vAlign w:val="bottom"/>
            <w:shd w:val="clear" w:color="auto" w:fill="CFF2FA"/>
          </w:tcPr>
          <w:p>
            <w:pPr>
              <w:spacing w:after="0"/>
              <w:rPr>
                <w:sz w:val="19"/>
                <w:szCs w:val="19"/>
                <w:color w:val="auto"/>
              </w:rPr>
            </w:pPr>
          </w:p>
        </w:tc>
        <w:tc>
          <w:tcPr>
            <w:tcW w:w="3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0.22</w:t>
            </w:r>
          </w:p>
        </w:tc>
        <w:tc>
          <w:tcPr>
            <w:tcW w:w="3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3000" w:type="dxa"/>
            <w:vAlign w:val="bottom"/>
            <w:tcBorders>
              <w:bottom w:val="single" w:sz="8" w:color="auto"/>
            </w:tcBorders>
            <w:gridSpan w:val="5"/>
          </w:tcPr>
          <w:p>
            <w:pPr>
              <w:jc w:val="right"/>
              <w:ind w:right="56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788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March 30,</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327"/>
              <w:spacing w:after="0" w:line="133" w:lineRule="exact"/>
              <w:rPr>
                <w:sz w:val="20"/>
                <w:szCs w:val="20"/>
                <w:color w:val="auto"/>
              </w:rPr>
            </w:pPr>
            <w:r>
              <w:rPr>
                <w:rFonts w:ascii="Arial" w:cs="Arial" w:eastAsia="Arial" w:hAnsi="Arial"/>
                <w:sz w:val="14"/>
                <w:szCs w:val="14"/>
                <w:b w:val="1"/>
                <w:bCs w:val="1"/>
                <w:color w:val="auto"/>
                <w:w w:val="95"/>
              </w:rPr>
              <w:t>March 31,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7880" w:type="dxa"/>
            <w:vAlign w:val="bottom"/>
          </w:tcPr>
          <w:p>
            <w:pPr>
              <w:spacing w:after="0"/>
              <w:rPr>
                <w:sz w:val="14"/>
                <w:szCs w:val="14"/>
                <w:color w:val="auto"/>
              </w:rPr>
            </w:pPr>
          </w:p>
        </w:tc>
        <w:tc>
          <w:tcPr>
            <w:tcW w:w="1140" w:type="dxa"/>
            <w:vAlign w:val="bottom"/>
          </w:tcPr>
          <w:p>
            <w:pPr>
              <w:jc w:val="right"/>
              <w:ind w:right="141"/>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47"/>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Consolidated net loss</w:t>
            </w:r>
          </w:p>
        </w:tc>
        <w:tc>
          <w:tcPr>
            <w:tcW w:w="1140" w:type="dxa"/>
            <w:vAlign w:val="bottom"/>
          </w:tcPr>
          <w:p>
            <w:pPr>
              <w:jc w:val="right"/>
              <w:ind w:right="961"/>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5"/>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consolidated net loss to net cash provided by</w:t>
            </w: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operating activities:</w:t>
            </w: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Deferred income tax expense</w:t>
            </w:r>
          </w:p>
        </w:tc>
        <w:tc>
          <w:tcPr>
            <w:tcW w:w="11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Non-cash share-based compensation</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r>
      <w:tr>
        <w:trPr>
          <w:trHeight w:val="215"/>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Accretion of interest on the discounted payable to founding members</w:t>
            </w: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under tax receivable agreement</w:t>
            </w: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0"/>
                <w:szCs w:val="20"/>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Impairment on investment</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Amortization of debt issuance costs</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Receivables, net</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7"/>
              </w:rPr>
              <w:t>(12.2)</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Amounts due to founding members</w:t>
            </w:r>
          </w:p>
        </w:tc>
        <w:tc>
          <w:tcPr>
            <w:tcW w:w="11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Payment to founding members under tax receivable agreement</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w:t>
            </w: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11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taxes and other</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w:t>
            </w:r>
          </w:p>
        </w:tc>
      </w:tr>
      <w:tr>
        <w:trPr>
          <w:trHeight w:val="223"/>
        </w:trPr>
        <w:tc>
          <w:tcPr>
            <w:tcW w:w="78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Purchases of property and equipment</w:t>
            </w:r>
          </w:p>
        </w:tc>
        <w:tc>
          <w:tcPr>
            <w:tcW w:w="11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marketable securities</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7"/>
              </w:rPr>
              <w:t>(17.0)</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w:t>
            </w: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Proceeds from sale and maturities of marketable securities</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intangible assets from network affiliates</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Proceeds from notes receivable - founding members</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 of dividends</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7"/>
              </w:rPr>
              <w:t>(15.3)</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w:t>
            </w: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Proceeds from borrowings</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of borrowings</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7"/>
              </w:rPr>
              <w:t>(35.0)</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(52.0)</w:t>
            </w: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Founding member integration payments</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Distributions to founding members</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7"/>
              </w:rPr>
              <w:t>(39.9)</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(32.4)</w:t>
            </w: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Proceeds from stock option exercises</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Repurchase of stock for restricted stock tax withholding</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r>
      <w:tr>
        <w:trPr>
          <w:trHeight w:val="223"/>
        </w:trPr>
        <w:tc>
          <w:tcPr>
            <w:tcW w:w="78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(31.8)</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CHANGE IN CASH AND CASH EQUIVALENTS</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(17.5)</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tcBorders>
              <w:bottom w:val="single" w:sz="8" w:color="auto"/>
            </w:tcBorders>
            <w:shd w:val="clear" w:color="auto" w:fill="CFF0FC"/>
          </w:tcPr>
          <w:p>
            <w:pPr>
              <w:jc w:val="right"/>
              <w:ind w:right="96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2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6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96"/>
              <w:spacing w:after="0" w:line="133" w:lineRule="exact"/>
              <w:rPr>
                <w:sz w:val="20"/>
                <w:szCs w:val="20"/>
                <w:color w:val="auto"/>
              </w:rPr>
            </w:pPr>
            <w:r>
              <w:rPr>
                <w:rFonts w:ascii="Arial" w:cs="Arial" w:eastAsia="Arial" w:hAnsi="Arial"/>
                <w:sz w:val="14"/>
                <w:szCs w:val="14"/>
                <w:b w:val="1"/>
                <w:bCs w:val="1"/>
                <w:color w:val="auto"/>
              </w:rPr>
              <w:t>March 30,</w:t>
            </w: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414"/>
              <w:spacing w:after="0" w:line="13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1"/>
                <w:szCs w:val="11"/>
                <w:color w:val="auto"/>
              </w:rPr>
            </w:pPr>
          </w:p>
        </w:tc>
      </w:tr>
      <w:tr>
        <w:trPr>
          <w:trHeight w:val="171"/>
        </w:trPr>
        <w:tc>
          <w:tcPr>
            <w:tcW w:w="642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201.8</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Increase (decrease) in dividends not requiring cash in the period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cost and equity method investments</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left="260" w:right="2780"/>
        <w:spacing w:after="0" w:line="263" w:lineRule="auto"/>
        <w:rPr>
          <w:sz w:val="20"/>
          <w:szCs w:val="20"/>
          <w:color w:val="auto"/>
        </w:rPr>
      </w:pPr>
      <w:r>
        <w:rPr>
          <w:rFonts w:ascii="Arial" w:cs="Arial" w:eastAsia="Arial" w:hAnsi="Arial"/>
          <w:sz w:val="18"/>
          <w:szCs w:val="18"/>
          <w:b w:val="1"/>
          <w:bCs w:val="1"/>
          <w:color w:val="auto"/>
        </w:rPr>
        <w:t>NATIONAL CINEMEDIA, INC. AND SUBSIDIARY CONDENSED CONSOLIDATED STATEMENTS OF EQUITY/(DEFICIT) (In millions, except share and per share data) (UNAUDITED)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NCM, Inc.</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3"/>
              <w:spacing w:after="0" w:line="147" w:lineRule="exact"/>
              <w:rPr>
                <w:sz w:val="20"/>
                <w:szCs w:val="20"/>
                <w:color w:val="auto"/>
              </w:rPr>
            </w:pPr>
            <w:r>
              <w:rPr>
                <w:rFonts w:ascii="Arial" w:cs="Arial" w:eastAsia="Arial" w:hAnsi="Arial"/>
                <w:sz w:val="14"/>
                <w:szCs w:val="14"/>
                <w:b w:val="1"/>
                <w:bCs w:val="1"/>
                <w:color w:val="auto"/>
                <w:w w:val="94"/>
              </w:rPr>
              <w:t>Retained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Paid in</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(Distribution</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ind w:left="5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in Excess of</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Consolidated</w:t>
            </w:r>
          </w:p>
        </w:tc>
        <w:tc>
          <w:tcPr>
            <w:tcW w:w="24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5"/>
              </w:rPr>
              <w:t>(Deficit)</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2"/>
              </w:rPr>
              <w:t>Earnings)</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Balance—December 31, 2015</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(171.7)</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59,239,154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(221.5)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(186.1)</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Distributions to founding members</w:t>
            </w: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NCM LLC equity issued for purchase</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of intangible asset</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tax and other impacts of NCM</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LLC ownership changes</w:t>
            </w:r>
          </w:p>
        </w:tc>
        <w:tc>
          <w:tcPr>
            <w:tcW w:w="2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net of tax</w:t>
            </w: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Share-based compensation issued</w:t>
            </w: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960" w:type="dxa"/>
            <w:vAlign w:val="bottom"/>
          </w:tcPr>
          <w:p>
            <w:pPr>
              <w:jc w:val="right"/>
              <w:spacing w:after="0"/>
              <w:rPr>
                <w:sz w:val="20"/>
                <w:szCs w:val="20"/>
                <w:color w:val="auto"/>
              </w:rPr>
            </w:pPr>
            <w:r>
              <w:rPr>
                <w:rFonts w:ascii="Arial" w:cs="Arial" w:eastAsia="Arial" w:hAnsi="Arial"/>
                <w:sz w:val="18"/>
                <w:szCs w:val="18"/>
                <w:color w:val="auto"/>
              </w:rPr>
              <w:t>581,323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expense/capitalized</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dividends declared $0.22 per share</w:t>
            </w: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Balance—March 31, 2016</w:t>
            </w: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(173.3)</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59,820,477</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(214.2)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(204.3)</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Balance—December 29, 2016</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(181.2)</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59,874,412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(207.7)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(215.6)</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Distributions to founding members</w:t>
            </w: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NCM LLC equity issued for purchase</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of intangible asset</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tax and other impacts of NCM</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LLC ownership changes</w:t>
            </w:r>
          </w:p>
        </w:tc>
        <w:tc>
          <w:tcPr>
            <w:tcW w:w="2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(45.7)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net of tax</w:t>
            </w: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Share-based compensation issued</w:t>
            </w: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960" w:type="dxa"/>
            <w:vAlign w:val="bottom"/>
          </w:tcPr>
          <w:p>
            <w:pPr>
              <w:jc w:val="right"/>
              <w:spacing w:after="0"/>
              <w:rPr>
                <w:sz w:val="20"/>
                <w:szCs w:val="20"/>
                <w:color w:val="auto"/>
              </w:rPr>
            </w:pPr>
            <w:r>
              <w:rPr>
                <w:rFonts w:ascii="Arial" w:cs="Arial" w:eastAsia="Arial" w:hAnsi="Arial"/>
                <w:sz w:val="18"/>
                <w:szCs w:val="18"/>
                <w:color w:val="auto"/>
              </w:rPr>
              <w:t>720,989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expense/capitalized</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dividends declared $0.22 per share</w:t>
            </w: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Balance—March 30, 2017</w:t>
            </w: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60,595,401</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(195.0)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(234.0)</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left="260" w:right="27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39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right="80" w:firstLine="555"/>
        <w:spacing w:after="0" w:line="285" w:lineRule="auto"/>
        <w:rPr>
          <w:sz w:val="20"/>
          <w:szCs w:val="20"/>
          <w:color w:val="auto"/>
        </w:rPr>
      </w:pPr>
      <w:r>
        <w:rPr>
          <w:rFonts w:ascii="Arial" w:cs="Arial" w:eastAsia="Arial" w:hAnsi="Arial"/>
          <w:sz w:val="16"/>
          <w:szCs w:val="16"/>
          <w:color w:val="auto"/>
        </w:rPr>
        <w:t>National CineMedia, Inc. (“NCM, Inc.”) was incorporated in Delaware as a holding company with the sole purpose of becoming a member and sole manager of National CineMedia, LLC (“NCM LLC”), a limited liability company owned by NCM, Inc., American Multi-Cinema, Inc. and AMC ShowPlace Theatres, Inc., wholly owned subsidiaries of AMC Entertainment, Inc. (“AMC”), Regal Cinemas, Inc. and Regal CineMedia Holdings, LLC, wholly owned subsidiaries of Regal Entertainment Group (“Regal”) and Cinemark Media, Inc. and Cinemark USA, Inc., wholly owned subsidiaries of Cinemark Holdings, Inc. (“Cinemark”). The terms “NCM”, “the Company” or “we” shall, unless the context otherwise requires, be deemed to include the consolidated</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entity. AMC, Regal and Cinemark and their affiliates are referred to in this document as “founding members”. NCM LLC operates the largest digital in-theater network in North America, allowing NCM LLC to sell advertising under long-term exhibitor services agreements (“ESAs”) with the founding members (approximately 20 years remaining as of March 30, 2017) and certain third-party theater circuits, referred to in this document as “network affiliates” under long-term network affiliate agreements, which have terms from one to twenty years.</w:t>
      </w:r>
    </w:p>
    <w:p>
      <w:pPr>
        <w:spacing w:after="0" w:line="82"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of March 30, 2017, NCM LLC had 154,034,513 common membership units outstanding, of which 60,595,401 (39.3%) were owned by NCM, Inc., 37,992,630 (24.7%) were owned by AMC, 27,871,862 (18.1%) were owned by Cinemark and 27,574,620 (17.9%) were owned by Regal. The membership units held by the founding members are exchangeable into NCM, Inc. common stock on a one-for-one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20" w:firstLine="555"/>
        <w:spacing w:after="0" w:line="286"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29, 2016 is derived from the audited financial statements of NCM,</w:t>
      </w:r>
    </w:p>
    <w:p>
      <w:pPr>
        <w:spacing w:after="0" w:line="2" w:lineRule="exact"/>
        <w:rPr>
          <w:sz w:val="20"/>
          <w:szCs w:val="20"/>
          <w:color w:val="auto"/>
        </w:rPr>
      </w:pPr>
    </w:p>
    <w:p>
      <w:pPr>
        <w:ind w:right="780"/>
        <w:spacing w:after="0" w:line="323" w:lineRule="auto"/>
        <w:rPr>
          <w:sz w:val="20"/>
          <w:szCs w:val="20"/>
          <w:color w:val="auto"/>
        </w:rPr>
      </w:pPr>
      <w:r>
        <w:rPr>
          <w:rFonts w:ascii="Arial" w:cs="Arial" w:eastAsia="Arial" w:hAnsi="Arial"/>
          <w:sz w:val="16"/>
          <w:szCs w:val="16"/>
          <w:color w:val="auto"/>
        </w:rPr>
        <w:t>Inc. Therefore, the unaudited Condensed Consolidated Financial Statements should be read in conjunction with the audited Consolidated Financial Statements and notes thereto included in the Company’s annual report on Form 10-K filed for the fiscal year ended December 29, 2016.</w:t>
      </w:r>
    </w:p>
    <w:p>
      <w:pPr>
        <w:spacing w:after="0" w:line="31"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4—</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64"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760" w:firstLine="555"/>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29, 2016 contain a complete discussion of the Company’s significant accounting policies. Following is additional information related to the Company’s accounting policies.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jc w:val="center"/>
        <w:ind w:left="260" w:right="27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ind w:right="20" w:firstLine="555"/>
        <w:spacing w:after="0" w:line="284"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—Bad debts are provided for using the allowance for doubtful accounts method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March 30, 2017 and December 29, 2016, there were no advertising agency groups or individual customers through which the Company sources national advertising revenue representing more than 10% of the Company’s outstanding gross receivable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balance. During the three months ended March 30, 2017 and March 31, 2016, the Company had no customers that accounted for more than 10% of revenue.</w:t>
      </w:r>
    </w:p>
    <w:p>
      <w:pPr>
        <w:spacing w:after="0" w:line="126" w:lineRule="exact"/>
        <w:rPr>
          <w:sz w:val="20"/>
          <w:szCs w:val="20"/>
          <w:color w:val="auto"/>
        </w:rPr>
      </w:pPr>
    </w:p>
    <w:p>
      <w:pPr>
        <w:ind w:right="100" w:firstLine="555"/>
        <w:spacing w:after="0" w:line="269"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Company has issued stock options and restricted stock to certain employees and restricted stock units to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directors. The Company has not granted stock options since 2012. In 2016 and 2017, the restricted stock grants for Company officers vest upon the achievement of Company performance measures and/or service conditions, while non-officer grants vest only upon the achievement of service conditions.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 During the three months ended March 30, 2017 and March 31, 2016, 978,359 and 868,605 shares of restricted stock and restricted stock units vested, respectively. During the three months ended March 30, 2017 and March 31, 2016, 58,450 and 22,934 stock options were exercised at a weighted average exercise price of $11.04 and $13.02 per share, respectively.</w:t>
      </w:r>
    </w:p>
    <w:p>
      <w:pPr>
        <w:spacing w:after="0" w:line="75"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—NCM, Inc. consolidates the accounts of NCM LLC under the provisions of ASC 810,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810”).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table presents the changes in NCM, Inc.’s equity resulting from net income attributable to NCM, Inc. and transfers to or from noncontrolling interests (in millions):</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4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March 30,</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16"/>
              <w:spacing w:after="0" w:line="133"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r>
      <w:tr>
        <w:trPr>
          <w:trHeight w:val="171"/>
        </w:trPr>
        <w:tc>
          <w:tcPr>
            <w:tcW w:w="492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NCM, Inc.</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NCM LLC equity issued for purchase of intangible asset</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r>
      <w:tr>
        <w:trPr>
          <w:trHeight w:val="215"/>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Income tax and other impacts of subsidiary ownership</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changes</w:t>
            </w: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(63.7)</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Change from net loss attributable to NCM, Inc. and</w:t>
            </w:r>
          </w:p>
        </w:tc>
        <w:tc>
          <w:tcPr>
            <w:tcW w:w="8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transfers from noncontrolling interests</w:t>
            </w:r>
          </w:p>
        </w:tc>
        <w:tc>
          <w:tcPr>
            <w:tcW w:w="10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 xml:space="preserve">In the first quarter of 2017, the Company adopted Accounting Standards Update 2016-07, </w:t>
      </w:r>
      <w:r>
        <w:rPr>
          <w:rFonts w:ascii="Arial" w:cs="Arial" w:eastAsia="Arial" w:hAnsi="Arial"/>
          <w:sz w:val="17"/>
          <w:szCs w:val="17"/>
          <w:i w:val="1"/>
          <w:iCs w:val="1"/>
          <w:color w:val="auto"/>
        </w:rPr>
        <w:t>Investments- Equity Method and Joint Ventures: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Transition to the Equity Method of Accounting </w:t>
      </w:r>
      <w:r>
        <w:rPr>
          <w:rFonts w:ascii="Arial" w:cs="Arial" w:eastAsia="Arial" w:hAnsi="Arial"/>
          <w:sz w:val="17"/>
          <w:szCs w:val="17"/>
          <w:color w:val="auto"/>
        </w:rPr>
        <w:t>(“ASU 2016-07”) on a prospective basis. ASU 2016-07 eliminates the requirement to apply the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method of accounting retrospectively when a reporting entity obtains significant influence over a previously held investment. The adoption of ASU 2016-07 did not have a material impact on the unaudited Condensed Consolidated Financial Statements or notes thereto.</w:t>
      </w:r>
    </w:p>
    <w:p>
      <w:pPr>
        <w:spacing w:after="0" w:line="63"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 xml:space="preserve">In the first quarter of 2017, the Company adopted Accounting Standards Update 2016-17, </w:t>
      </w:r>
      <w:r>
        <w:rPr>
          <w:rFonts w:ascii="Arial" w:cs="Arial" w:eastAsia="Arial" w:hAnsi="Arial"/>
          <w:sz w:val="16"/>
          <w:szCs w:val="16"/>
          <w:i w:val="1"/>
          <w:iCs w:val="1"/>
          <w:color w:val="auto"/>
        </w:rPr>
        <w:t>Consolidation (Topic 810): Interests Held through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Parties That Are under Common Control </w:t>
      </w:r>
      <w:r>
        <w:rPr>
          <w:rFonts w:ascii="Arial" w:cs="Arial" w:eastAsia="Arial" w:hAnsi="Arial"/>
          <w:sz w:val="16"/>
          <w:szCs w:val="16"/>
          <w:color w:val="auto"/>
        </w:rPr>
        <w:t>(“ASU 2016-17”) on a retrospective basis to all periods since its adoption of Accounting Standards Update 2015-02,</w:t>
      </w:r>
      <w:r>
        <w:rPr>
          <w:rFonts w:ascii="Arial" w:cs="Arial" w:eastAsia="Arial" w:hAnsi="Arial"/>
          <w:sz w:val="16"/>
          <w:szCs w:val="16"/>
          <w:i w:val="1"/>
          <w:iCs w:val="1"/>
          <w:color w:val="auto"/>
        </w:rPr>
        <w:t xml:space="preserve"> Consolidation (Topic 810): Amendments to the Consolidation Analysis </w:t>
      </w:r>
      <w:r>
        <w:rPr>
          <w:rFonts w:ascii="Arial" w:cs="Arial" w:eastAsia="Arial" w:hAnsi="Arial"/>
          <w:sz w:val="16"/>
          <w:szCs w:val="16"/>
          <w:color w:val="auto"/>
        </w:rPr>
        <w:t>(“ASU 2015-02”) in the first quarter of 2016. ASU 2016-17 changes the evaluation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 reporting entity is the primary beneficiary of a variable interest entity by changing how a reporting entity that is a single decision maker of a variable interest entity treats indirect interests in the entity held through related parties that are under common control with the reporting entity. If a reporting entity satisfies the first characteristic of a primary beneficiary (such that it is the single decision maker of a variable interest entity), the amendments require that reporting entity, in determining whether it satisfies the second characteristic of a primary beneficiary, to include all of its direct variable interests in a variable interest entity and, on a proportionate basis, its indirect variable interests in a variable interest entity held through related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parties, including related parties that are under common control with the reporting entity. The adoption of ASU 2016-17 did not have a material impact on the Condensed Consolidated Financial Statements or notes thereto.</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In August 2015, the FASB revised the effective date for this standard to annual and interim periods beginning on or after December 15, 2017, with early adoption permitted, but not earlier than the original effective date of annual and interim periods beginning after December 15, 2016, for public entities. ASU 2014-09 allows for either a full retrospective or a modified retrospective transition method. The Company expects to adopt this guidance using the modified retrospective transition method during the first quarter of 2018. The Company expects to identify the same performance obligations under ASU 2014-09 as compared with deliverables and separate units of account previously identified. The Company does not expect the effect of adopting this guidance to be material to the unaudited Condensed Consolidated Financial Statements, however, the Company does expect additional disclosures in its notes to the unaudited Condensed Consolidated Financial Statements.</w:t>
      </w:r>
    </w:p>
    <w:p>
      <w:pPr>
        <w:spacing w:after="0" w:line="75"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(“ASU 2016-01”), which requires equity investments that are not accounted for under the equity method of accounting to be measured at fair value with changes recognized in earnings (rather than reported through other comprehensive income) and updates certain presentation and disclosure requirements. The guidance is effective for reporting periods (interim and annual) beginning after December 15, 2017, for public companies and should be adopted on a prospective basis. The Company is currently evaluating the impact that adopting this guidance will have on the unaudited Condensed Consolidated Financial Statements or notes thereto.</w:t>
      </w:r>
    </w:p>
    <w:p>
      <w:pPr>
        <w:spacing w:after="0" w:line="85" w:lineRule="exact"/>
        <w:rPr>
          <w:sz w:val="20"/>
          <w:szCs w:val="20"/>
          <w:color w:val="auto"/>
        </w:rPr>
      </w:pPr>
    </w:p>
    <w:p>
      <w:pPr>
        <w:ind w:right="120" w:firstLine="555"/>
        <w:spacing w:after="0" w:line="272"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that adopting this guidance will have on the unaudited Condensed Consolidated Financial Statements or notes thereto.</w:t>
      </w:r>
    </w:p>
    <w:p>
      <w:pPr>
        <w:spacing w:after="0" w:line="70"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impact that adopting this guidance will have on the unaudited Condensed Consolidated Financial Statements or notes thereto.</w:t>
      </w:r>
    </w:p>
    <w:p>
      <w:pPr>
        <w:spacing w:after="0" w:line="81"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 xml:space="preserve">In August 2016, the FASB issued Accounting Standards Update 2016-15, </w:t>
      </w:r>
      <w:r>
        <w:rPr>
          <w:rFonts w:ascii="Arial" w:cs="Arial" w:eastAsia="Arial" w:hAnsi="Arial"/>
          <w:sz w:val="16"/>
          <w:szCs w:val="16"/>
          <w:i w:val="1"/>
          <w:iCs w:val="1"/>
          <w:color w:val="auto"/>
        </w:rPr>
        <w:t>Statement of Cash Flows (Topic 230): Classification of Certain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Receipts and Cash Payments </w:t>
      </w:r>
      <w:r>
        <w:rPr>
          <w:rFonts w:ascii="Arial" w:cs="Arial" w:eastAsia="Arial" w:hAnsi="Arial"/>
          <w:sz w:val="16"/>
          <w:szCs w:val="16"/>
          <w:color w:val="auto"/>
        </w:rPr>
        <w:t>(“ASU 2016-15”), which provides guidance on how certain cash receipts and cash payments are to be presented and classified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statement of cash flows. ASU 2016-15 is effective for fiscal years beginning after December 15, 2017, including interim periods within those fiscal years, with early adoption permitted. A retrospective transition method should be used in the application of the amendments within ASU 2016-15. If retrospective application is considered impracticable, retrospective application may be used as of the earliest date practicable. The Company is currently evaluating the impact that adopting this guidance will have on the Condensed Consolidated Financial Statements or notes thereto.</w:t>
      </w:r>
    </w:p>
    <w:p>
      <w:pPr>
        <w:spacing w:after="0" w:line="57"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 xml:space="preserve">In November 2016, the FASB issued Accounting Standards Update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that the reconciliation of the beginning-of-period and end-of-period amounts shown in the statement of cash flows include restricted cash and restricted cash equivalents. If restricted cash is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left="300" w:right="270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presented separately from cash and cash equivalents on the balance sheet, companies will have to reconcile the amounts presented on the statement of cash flows to the amounts on the balance sheet. Companies will also need to disclose information about the nature of the restrictions. ASU 2016-18 is effective for fiscal years beginning after December 15, 2017, including interim periods within those fiscal years. The Company is currently evaluating the impact that adopting this guidance will have on the unaudited Condensed Consolidated Financial Statements or notes thereto.</w:t>
      </w:r>
    </w:p>
    <w:p>
      <w:pPr>
        <w:spacing w:after="0" w:line="63"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2. LOSS PER SHARE</w:t>
      </w:r>
    </w:p>
    <w:p>
      <w:pPr>
        <w:spacing w:after="0" w:line="121"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restricted stock units using the treasury stock method. The components of basic and diluted loss per NCM, Inc. share are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March 30,</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74"/>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8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NCM, Inc. (in millions)</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60,309,087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59,610,864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Add: Dilutive effect of stock options and restricted stock</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60,309,087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59,610,864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Loss per NCM, Inc. share:</w:t>
            </w: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Diluted</w:t>
            </w:r>
          </w:p>
        </w:tc>
        <w:tc>
          <w:tcPr>
            <w:tcW w:w="1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effect of 79,800,145 and 76,121,743 exchangeable NCM LLC common units held by the founding members for the three months ended March 30, 2017 and March 31, 2016, respectively, have been excluded from the calculation of diluted weighted average shares and earnings per NCM, Inc. share as they were antidilutive. NCM LLC common units do not participate in dividends paid on NCM, Inc’s common stock. In addition, there were 4,759,834 and 5,326,214 stock options and non-vested (restricted) shares for the three months ended March 30, 2017 and March 31, 2016, respectively, excluded from the calculation as they were antidilutive, primarily due to the net loss in those periods. The Company’s non-vested (restricted) shares do not meet the definition of a participating security as the dividends will not be paid if the shares do not vest.</w:t>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3. INTANGIBLE ASSETS</w:t>
      </w:r>
    </w:p>
    <w:p>
      <w:pPr>
        <w:spacing w:after="0" w:line="121"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Intangible assets consist of contractual rights to provide the Company’s services within the theaters of the founding members and network affiliates and are stated at cost, net of accumulated amortization. 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w:t>
      </w:r>
    </w:p>
    <w:p>
      <w:pPr>
        <w:spacing w:after="0" w:line="70"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NCM LLC’s Common Unit Adjustment Agreement with its founding members, on an annual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During the first quarter of 2017, NCM LLC issued 2,351,029 common membership units to its founding members for the rights to exclusive access to the theater screens and attendees added, net of dispositions by the founding members to NCM LLC’s network during the 2016 fiscal year. Also during the first quarter of 2017, NCM, Inc. and NCM LLC entered into a binding Memorandum of Understanding (“MOU”) with AMC to effectuate aspects of a final judgment (the “Final Judgment”) entered into by the Department of Justice (the “DOJ”) in connection with AMC’s acquisition of Carmike Cinemas, Inc. (“Carmike”). Pursuant to the MOU, the Company issued 18,425,423 NCM LLC common membership units to AMC in respect of the annual attendance at such Carmike theaters in accordance with the Common Unit Adjustment Agreement during the first quarter of 2017. AMC’s acquisition of Carmike meets the criteria for a Common Unit Adjustment because it resulted in an extraordinary attendance increase of approximately 9.5%. Further, the Final Judgment required AMC to transfer advertising rights to 17 theaters from NCM LLC to another advertising provider. Pursuant to the MOU, AMC surrendered 4,657,673 NCM LLC common membership units in respect of such theaters. The 4,657,673 NCM LLC common membership units were comprised of (i) 2,850,453 NCM LLC common membership units pursuant to the adjustment for divested theaters in the Common Unit Adjustment Agreement and (ii) an additional 1,807,220 NCM LLC common membership units valued at $25.0 million to compensate for NCM LLC’s lost operating income for these theaters during the 10-year term of the Final Judgment. To facilitate the theater transfers, during the first quarter of 2017, AMC and Regal entered into an amendment of its ESA with NCM LLC and Cinemark entered into a waiver of certain rights under its ESA. NCM LLC recorded a net intangible asset of $201.8 million during the three months ended March 30, 2017 related to these transactions.</w:t>
      </w:r>
    </w:p>
    <w:p>
      <w:pPr>
        <w:spacing w:after="0" w:line="77" w:lineRule="exact"/>
        <w:rPr>
          <w:sz w:val="20"/>
          <w:szCs w:val="20"/>
          <w:color w:val="auto"/>
        </w:rPr>
      </w:pPr>
    </w:p>
    <w:p>
      <w:pPr>
        <w:ind w:right="60" w:firstLine="555"/>
        <w:spacing w:after="0" w:line="312" w:lineRule="auto"/>
        <w:rPr>
          <w:sz w:val="20"/>
          <w:szCs w:val="20"/>
          <w:color w:val="auto"/>
        </w:rPr>
      </w:pPr>
      <w:r>
        <w:rPr>
          <w:rFonts w:ascii="Arial" w:cs="Arial" w:eastAsia="Arial" w:hAnsi="Arial"/>
          <w:sz w:val="16"/>
          <w:szCs w:val="16"/>
          <w:color w:val="auto"/>
        </w:rPr>
        <w:t>During the first quarter of 2016, NCM LLC issued 1,416,515 common membership units to its founding members for the rights to exclusive access to the theater screens and attendees added, net of dispositions by the founding members to NCM LLC’s network during the 2015 fiscal year and NCM LLC recorded a net intangible asset of $21.1 million during the three months ended March 31, 2016 as a result of the Common Unit Adjustment.</w:t>
      </w:r>
    </w:p>
    <w:p>
      <w:pPr>
        <w:spacing w:after="0" w:line="39"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b w:val="1"/>
          <w:bCs w:val="1"/>
          <w:i w:val="1"/>
          <w:iCs w:val="1"/>
          <w:color w:val="auto"/>
        </w:rPr>
        <w:t>Integration Payments</w:t>
      </w:r>
      <w:r>
        <w:rPr>
          <w:rFonts w:ascii="Arial" w:cs="Arial" w:eastAsia="Arial" w:hAnsi="Arial"/>
          <w:sz w:val="16"/>
          <w:szCs w:val="16"/>
          <w:color w:val="auto"/>
        </w:rPr>
        <w:t>—If an existing on-screen advertising agreement with an alternative provider is in place with respect to any acquired theaters,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theaters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During the three months ended March 30, 2017 and March 31, 2016, the Company recorded a reduction to net intangible assets of $0.4 million and $0.1 million, respectively, related to integration payments due from AMC related to their acquisitions of theaters from Carmike, as well as, Rave Cinemas and from Cinemark related to their acquisition of theaters from Rave Cinemas that are encumbered by an existing on-screen advertising agreement with an alternative provider. These integration payments will be received in the second quarter of 2017. During the three months ended March 30, 2017 and March 31, 2016, AMC and Cinemark paid a total of $1.0 million and $0.9 million, respectively, for their fourth quarter of 2016 integration payments.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 Integration payments are calculated based upon the advertising cash flow that the Company would have generated if it had exclusive access to sell advertising in the theaters with pre-existing advertising agreements.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2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4. RELATED PARTY TRANSACTIONS</w:t>
      </w:r>
    </w:p>
    <w:p>
      <w:pPr>
        <w:spacing w:after="0" w:line="12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b w:val="1"/>
          <w:bCs w:val="1"/>
          <w:i w:val="1"/>
          <w:iCs w:val="1"/>
          <w:color w:val="auto"/>
        </w:rPr>
        <w:t>Founding Member Transactions</w:t>
      </w:r>
      <w:r>
        <w:rPr>
          <w:rFonts w:ascii="Arial" w:cs="Arial" w:eastAsia="Arial" w:hAnsi="Arial"/>
          <w:sz w:val="18"/>
          <w:szCs w:val="18"/>
          <w:color w:val="auto"/>
        </w:rPr>
        <w:t>—In connection with NCM, Inc.’s initial public offering (“IPO”), the Company entered into several agreements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 and regulate the relationships among NCM, Inc., NCM LLC and the founding members. They include the following:</w:t>
      </w:r>
    </w:p>
    <w:p>
      <w:pPr>
        <w:spacing w:after="0" w:line="58" w:lineRule="exact"/>
        <w:rPr>
          <w:sz w:val="20"/>
          <w:szCs w:val="20"/>
          <w:color w:val="auto"/>
        </w:rPr>
      </w:pPr>
    </w:p>
    <w:p>
      <w:pPr>
        <w:ind w:left="1660" w:right="40" w:hanging="545"/>
        <w:spacing w:after="0" w:line="291" w:lineRule="auto"/>
        <w:tabs>
          <w:tab w:leader="none" w:pos="1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ESAs. </w:t>
      </w:r>
      <w:r>
        <w:rPr>
          <w:rFonts w:ascii="Arial" w:cs="Arial" w:eastAsia="Arial" w:hAnsi="Arial"/>
          <w:sz w:val="16"/>
          <w:szCs w:val="16"/>
          <w:color w:val="auto"/>
        </w:rPr>
        <w:t>Under the ESAs, NCM LLC is the exclusive provider within the United States of advertising services in the founding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use of the lobby entertainment network (“LEN”) and rights to sell and display certain lobby promotions. Further, 30 to 60 seconds of advertising included 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is sold to NCM LLC’s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w:t>
      </w:r>
    </w:p>
    <w:p>
      <w:pPr>
        <w:spacing w:after="0" w:line="52" w:lineRule="exact"/>
        <w:rPr>
          <w:rFonts w:ascii="Arial" w:cs="Arial" w:eastAsia="Arial" w:hAnsi="Arial"/>
          <w:sz w:val="16"/>
          <w:szCs w:val="16"/>
          <w:color w:val="auto"/>
        </w:rPr>
      </w:pPr>
    </w:p>
    <w:p>
      <w:pPr>
        <w:ind w:left="1660" w:right="120" w:hanging="545"/>
        <w:spacing w:after="0" w:line="266" w:lineRule="auto"/>
        <w:tabs>
          <w:tab w:leader="none" w:pos="1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membership units held by the founding members based on the acquisition or construction of new theaters or sale or closure of theaters that are operated by each founding member and included in NCM LLC’s network.</w:t>
      </w:r>
    </w:p>
    <w:p>
      <w:pPr>
        <w:spacing w:after="0" w:line="68" w:lineRule="exact"/>
        <w:rPr>
          <w:rFonts w:ascii="Arial" w:cs="Arial" w:eastAsia="Arial" w:hAnsi="Arial"/>
          <w:sz w:val="18"/>
          <w:szCs w:val="18"/>
          <w:color w:val="auto"/>
        </w:rPr>
      </w:pPr>
    </w:p>
    <w:p>
      <w:pPr>
        <w:ind w:left="1660" w:right="100" w:hanging="545"/>
        <w:spacing w:after="0" w:line="261" w:lineRule="auto"/>
        <w:tabs>
          <w:tab w:leader="none" w:pos="1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Tax Receivable Agreement. </w:t>
      </w:r>
      <w:r>
        <w:rPr>
          <w:rFonts w:ascii="Arial" w:cs="Arial" w:eastAsia="Arial" w:hAnsi="Arial"/>
          <w:sz w:val="18"/>
          <w:szCs w:val="18"/>
          <w:color w:val="auto"/>
        </w:rPr>
        <w:t>The tax receivable agreement provides for the effective payment by NCM, Inc. to the founding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of 90% of the amount of 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71" w:lineRule="exact"/>
        <w:rPr>
          <w:rFonts w:ascii="Arial" w:cs="Arial" w:eastAsia="Arial" w:hAnsi="Arial"/>
          <w:sz w:val="18"/>
          <w:szCs w:val="18"/>
          <w:color w:val="auto"/>
        </w:rPr>
      </w:pPr>
    </w:p>
    <w:p>
      <w:pPr>
        <w:ind w:left="1660" w:right="60" w:hanging="545"/>
        <w:spacing w:after="0" w:line="258" w:lineRule="auto"/>
        <w:tabs>
          <w:tab w:leader="none" w:pos="1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Software License Agreement. </w:t>
      </w:r>
      <w:r>
        <w:rPr>
          <w:rFonts w:ascii="Arial" w:cs="Arial" w:eastAsia="Arial" w:hAnsi="Arial"/>
          <w:sz w:val="18"/>
          <w:szCs w:val="18"/>
          <w:color w:val="auto"/>
        </w:rPr>
        <w:t>At the date of the Company’s IPO, NCM LLC was granted a perpetual, royalty-free license from NCM</w:t>
      </w:r>
      <w:r>
        <w:rPr>
          <w:rFonts w:ascii="Arial" w:cs="Arial" w:eastAsia="Arial" w:hAnsi="Arial"/>
          <w:sz w:val="18"/>
          <w:szCs w:val="18"/>
          <w:b w:val="1"/>
          <w:bCs w:val="1"/>
          <w:color w:val="auto"/>
        </w:rPr>
        <w:t xml:space="preserve"> </w:t>
      </w:r>
      <w:r>
        <w:rPr>
          <w:rFonts w:ascii="Arial" w:cs="Arial" w:eastAsia="Arial" w:hAnsi="Arial"/>
          <w:sz w:val="18"/>
          <w:szCs w:val="18"/>
          <w:color w:val="auto"/>
        </w:rPr>
        <w:t>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Included in the Condensed Consolidated Statements of Income:</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jc w:val="center"/>
              <w:ind w:left="628"/>
              <w:spacing w:after="0" w:line="133" w:lineRule="exact"/>
              <w:rPr>
                <w:sz w:val="20"/>
                <w:szCs w:val="20"/>
                <w:color w:val="auto"/>
              </w:rPr>
            </w:pPr>
            <w:r>
              <w:rPr>
                <w:rFonts w:ascii="Arial" w:cs="Arial" w:eastAsia="Arial" w:hAnsi="Arial"/>
                <w:sz w:val="14"/>
                <w:szCs w:val="14"/>
                <w:b w:val="1"/>
                <w:bCs w:val="1"/>
                <w:color w:val="auto"/>
                <w:w w:val="99"/>
              </w:rPr>
              <w:t>March 30,</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20" w:type="dxa"/>
            <w:vAlign w:val="bottom"/>
          </w:tcPr>
          <w:p>
            <w:pPr>
              <w:jc w:val="right"/>
              <w:ind w:right="815"/>
              <w:spacing w:after="0" w:line="13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80" w:type="dxa"/>
            <w:vAlign w:val="bottom"/>
            <w:gridSpan w:val="6"/>
            <w:vMerge w:val="continue"/>
          </w:tcPr>
          <w:p>
            <w:pPr>
              <w:spacing w:after="0"/>
              <w:rPr>
                <w:sz w:val="14"/>
                <w:szCs w:val="14"/>
                <w:color w:val="auto"/>
              </w:rPr>
            </w:pPr>
          </w:p>
        </w:tc>
        <w:tc>
          <w:tcPr>
            <w:tcW w:w="28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jc w:val="right"/>
              <w:ind w:right="97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5"/>
              </w:rPr>
              <w:t>Revenue:</w:t>
            </w:r>
          </w:p>
        </w:tc>
        <w:tc>
          <w:tcPr>
            <w:tcW w:w="4140" w:type="dxa"/>
            <w:vAlign w:val="bottom"/>
            <w:tcBorders>
              <w:top w:val="single" w:sz="8" w:color="auto"/>
              <w:bottom w:val="single" w:sz="8" w:color="CFF0FC"/>
            </w:tcBorders>
            <w:gridSpan w:val="4"/>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7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CFF0FC"/>
            </w:tcBorders>
            <w:shd w:val="clear" w:color="auto" w:fill="CFF0FC"/>
          </w:tcPr>
          <w:p>
            <w:pPr>
              <w:spacing w:after="0"/>
              <w:rPr>
                <w:sz w:val="17"/>
                <w:szCs w:val="17"/>
                <w:color w:val="auto"/>
              </w:rPr>
            </w:pPr>
          </w:p>
        </w:tc>
        <w:tc>
          <w:tcPr>
            <w:tcW w:w="17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4820" w:type="dxa"/>
            <w:vAlign w:val="bottom"/>
            <w:gridSpan w:val="5"/>
          </w:tcPr>
          <w:p>
            <w:pPr>
              <w:ind w:left="120"/>
              <w:spacing w:after="0"/>
              <w:rPr>
                <w:sz w:val="20"/>
                <w:szCs w:val="20"/>
                <w:color w:val="auto"/>
              </w:rPr>
            </w:pPr>
            <w:r>
              <w:rPr>
                <w:rFonts w:ascii="Arial" w:cs="Arial" w:eastAsia="Arial" w:hAnsi="Arial"/>
                <w:sz w:val="18"/>
                <w:szCs w:val="18"/>
                <w:color w:val="auto"/>
              </w:rPr>
              <w:t>Beverage concessionaire revenue (included in advertising</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820" w:type="dxa"/>
            <w:vAlign w:val="bottom"/>
            <w:gridSpan w:val="5"/>
          </w:tcPr>
          <w:p>
            <w:pPr>
              <w:ind w:left="26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i w:val="1"/>
                <w:iCs w:val="1"/>
                <w:color w:val="auto"/>
              </w:rPr>
              <w:t>(1)</w:t>
            </w:r>
          </w:p>
        </w:tc>
        <w:tc>
          <w:tcPr>
            <w:tcW w:w="2800" w:type="dxa"/>
            <w:vAlign w:val="bottom"/>
            <w:gridSpan w:val="3"/>
          </w:tcPr>
          <w:p>
            <w:pPr>
              <w:jc w:val="right"/>
              <w:ind w:right="15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 w:type="dxa"/>
            <w:vAlign w:val="bottom"/>
            <w:shd w:val="clear" w:color="auto" w:fill="CFF0FC"/>
          </w:tcPr>
          <w:p>
            <w:pPr>
              <w:spacing w:after="0"/>
              <w:rPr>
                <w:sz w:val="18"/>
                <w:szCs w:val="18"/>
                <w:color w:val="auto"/>
              </w:rPr>
            </w:pPr>
          </w:p>
        </w:tc>
        <w:tc>
          <w:tcPr>
            <w:tcW w:w="482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Advertising inventory revenue (included in advertising</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FF0FC"/>
          </w:tcPr>
          <w:p>
            <w:pPr>
              <w:spacing w:after="0"/>
              <w:rPr>
                <w:sz w:val="20"/>
                <w:szCs w:val="20"/>
                <w:color w:val="auto"/>
              </w:rPr>
            </w:pPr>
          </w:p>
        </w:tc>
        <w:tc>
          <w:tcPr>
            <w:tcW w:w="4820" w:type="dxa"/>
            <w:vAlign w:val="bottom"/>
            <w:gridSpan w:val="5"/>
            <w:shd w:val="clear" w:color="auto" w:fill="CFF0FC"/>
          </w:tcPr>
          <w:p>
            <w:pPr>
              <w:ind w:left="26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i w:val="1"/>
                <w:iCs w:val="1"/>
                <w:color w:val="auto"/>
              </w:rPr>
              <w:t>(2)</w:t>
            </w: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820" w:type="dxa"/>
            <w:vAlign w:val="bottom"/>
            <w:gridSpan w:val="5"/>
          </w:tcPr>
          <w:p>
            <w:pPr>
              <w:spacing w:after="0" w:line="189" w:lineRule="exact"/>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0" w:type="dxa"/>
            <w:vAlign w:val="bottom"/>
            <w:shd w:val="clear" w:color="auto" w:fill="CFF0FC"/>
          </w:tcPr>
          <w:p>
            <w:pPr>
              <w:spacing w:after="0"/>
              <w:rPr>
                <w:sz w:val="19"/>
                <w:szCs w:val="19"/>
                <w:color w:val="auto"/>
              </w:rPr>
            </w:pPr>
          </w:p>
        </w:tc>
        <w:tc>
          <w:tcPr>
            <w:tcW w:w="482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 xml:space="preserve">Theater access fee </w:t>
            </w:r>
            <w:r>
              <w:rPr>
                <w:rFonts w:ascii="Arial" w:cs="Arial" w:eastAsia="Arial" w:hAnsi="Arial"/>
                <w:sz w:val="18"/>
                <w:szCs w:val="18"/>
                <w:i w:val="1"/>
                <w:iCs w:val="1"/>
                <w:color w:val="auto"/>
              </w:rPr>
              <w:t>(3)</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4820" w:type="dxa"/>
            <w:vAlign w:val="bottom"/>
            <w:gridSpan w:val="5"/>
          </w:tcPr>
          <w:p>
            <w:pPr>
              <w:ind w:left="120"/>
              <w:spacing w:after="0"/>
              <w:rPr>
                <w:sz w:val="20"/>
                <w:szCs w:val="20"/>
                <w:color w:val="auto"/>
              </w:rPr>
            </w:pPr>
            <w:r>
              <w:rPr>
                <w:rFonts w:ascii="Arial" w:cs="Arial" w:eastAsia="Arial" w:hAnsi="Arial"/>
                <w:sz w:val="18"/>
                <w:szCs w:val="18"/>
                <w:color w:val="auto"/>
              </w:rPr>
              <w:t>Purchase of movie tickets and concession products and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20" w:type="dxa"/>
            <w:vAlign w:val="bottom"/>
            <w:gridSpan w:val="5"/>
          </w:tcPr>
          <w:p>
            <w:pPr>
              <w:ind w:left="260"/>
              <w:spacing w:after="0"/>
              <w:rPr>
                <w:sz w:val="20"/>
                <w:szCs w:val="20"/>
                <w:color w:val="auto"/>
              </w:rPr>
            </w:pPr>
            <w:r>
              <w:rPr>
                <w:rFonts w:ascii="Arial" w:cs="Arial" w:eastAsia="Arial" w:hAnsi="Arial"/>
                <w:sz w:val="18"/>
                <w:szCs w:val="18"/>
                <w:color w:val="auto"/>
              </w:rPr>
              <w:t>rental of theatre space (included in selling and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820" w:type="dxa"/>
            <w:vAlign w:val="bottom"/>
            <w:gridSpan w:val="5"/>
          </w:tcPr>
          <w:p>
            <w:pPr>
              <w:ind w:left="260"/>
              <w:spacing w:after="0"/>
              <w:rPr>
                <w:sz w:val="20"/>
                <w:szCs w:val="20"/>
                <w:color w:val="auto"/>
              </w:rPr>
            </w:pPr>
            <w:r>
              <w:rPr>
                <w:rFonts w:ascii="Arial" w:cs="Arial" w:eastAsia="Arial" w:hAnsi="Arial"/>
                <w:sz w:val="18"/>
                <w:szCs w:val="18"/>
                <w:color w:val="auto"/>
              </w:rPr>
              <w:t xml:space="preserve">marketing costs) </w:t>
            </w:r>
            <w:r>
              <w:rPr>
                <w:rFonts w:ascii="Arial" w:cs="Arial" w:eastAsia="Arial" w:hAnsi="Arial"/>
                <w:sz w:val="18"/>
                <w:szCs w:val="18"/>
                <w:i w:val="1"/>
                <w:iCs w:val="1"/>
                <w:color w:val="auto"/>
              </w:rPr>
              <w:t>(4)</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FF0FC"/>
          </w:tcPr>
          <w:p>
            <w:pPr>
              <w:spacing w:after="0"/>
              <w:rPr>
                <w:sz w:val="16"/>
                <w:szCs w:val="16"/>
                <w:color w:val="auto"/>
              </w:rPr>
            </w:pPr>
          </w:p>
        </w:tc>
        <w:tc>
          <w:tcPr>
            <w:tcW w:w="482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color w:val="auto"/>
              </w:rPr>
              <w:t>Non-operating expenses:</w:t>
            </w: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CFF0FC"/>
          </w:tcPr>
          <w:p>
            <w:pPr>
              <w:spacing w:after="0" w:line="20" w:lineRule="exact"/>
              <w:rPr>
                <w:sz w:val="1"/>
                <w:szCs w:val="1"/>
                <w:color w:val="auto"/>
              </w:rPr>
            </w:pPr>
          </w:p>
        </w:tc>
        <w:tc>
          <w:tcPr>
            <w:tcW w:w="30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60" w:type="dxa"/>
            <w:vAlign w:val="bottom"/>
          </w:tcPr>
          <w:p>
            <w:pPr>
              <w:spacing w:after="0"/>
              <w:rPr>
                <w:sz w:val="18"/>
                <w:szCs w:val="18"/>
                <w:color w:val="auto"/>
              </w:rPr>
            </w:pPr>
          </w:p>
        </w:tc>
        <w:tc>
          <w:tcPr>
            <w:tcW w:w="4820" w:type="dxa"/>
            <w:vAlign w:val="bottom"/>
            <w:gridSpan w:val="5"/>
          </w:tcPr>
          <w:p>
            <w:pPr>
              <w:ind w:left="120"/>
              <w:spacing w:after="0"/>
              <w:rPr>
                <w:sz w:val="20"/>
                <w:szCs w:val="20"/>
                <w:color w:val="auto"/>
              </w:rPr>
            </w:pPr>
            <w:r>
              <w:rPr>
                <w:rFonts w:ascii="Arial" w:cs="Arial" w:eastAsia="Arial" w:hAnsi="Arial"/>
                <w:sz w:val="18"/>
                <w:szCs w:val="18"/>
                <w:color w:val="auto"/>
              </w:rPr>
              <w:t>Interest income from notes receivable (included in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820" w:type="dxa"/>
            <w:vAlign w:val="bottom"/>
            <w:gridSpan w:val="5"/>
          </w:tcPr>
          <w:p>
            <w:pPr>
              <w:ind w:left="26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8"/>
                <w:szCs w:val="18"/>
                <w:i w:val="1"/>
                <w:iCs w:val="1"/>
                <w:color w:val="auto"/>
              </w:rPr>
              <w:t>(5)</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20" w:type="dxa"/>
            <w:vAlign w:val="bottom"/>
            <w:vMerge w:val="restart"/>
          </w:tcPr>
          <w:p>
            <w:pPr>
              <w:jc w:val="right"/>
              <w:ind w:right="116"/>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2"/>
        </w:trPr>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jc w:val="center"/>
        <w:ind w:left="320" w:right="268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jc w:val="both"/>
        <w:ind w:left="560" w:right="140" w:hanging="552"/>
        <w:spacing w:after="0" w:line="254"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For the three months ended March 30, 2017 and March 31, 2016,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cost per thousand (“CPM”) rate specified by the ESA.</w:t>
      </w:r>
    </w:p>
    <w:p>
      <w:pPr>
        <w:spacing w:after="0" w:line="2" w:lineRule="exact"/>
        <w:rPr>
          <w:rFonts w:ascii="Arial" w:cs="Arial" w:eastAsia="Arial" w:hAnsi="Arial"/>
          <w:sz w:val="18"/>
          <w:szCs w:val="18"/>
          <w:i w:val="1"/>
          <w:iCs w:val="1"/>
          <w:color w:val="auto"/>
        </w:rPr>
      </w:pPr>
    </w:p>
    <w:p>
      <w:pPr>
        <w:ind w:left="560" w:hanging="552"/>
        <w:spacing w:after="0"/>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560" w:hanging="552"/>
        <w:spacing w:after="0" w:line="250"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theater attendee and payments per digital screen with respect to the founding member theaters included in the Company’s network, including payments for access to higher quality digital cinema equipment.</w:t>
      </w:r>
    </w:p>
    <w:p>
      <w:pPr>
        <w:ind w:left="560" w:hanging="552"/>
        <w:spacing w:after="0"/>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560" w:right="40" w:hanging="552"/>
        <w:spacing w:after="0" w:line="253"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 the Condensed Consolidated Balance Sheets:</w:t>
            </w:r>
          </w:p>
        </w:tc>
        <w:tc>
          <w:tcPr>
            <w:tcW w:w="1800" w:type="dxa"/>
            <w:vAlign w:val="bottom"/>
            <w:gridSpan w:val="3"/>
          </w:tcPr>
          <w:p>
            <w:pPr>
              <w:ind w:left="380"/>
              <w:spacing w:after="0" w:line="133" w:lineRule="exact"/>
              <w:rPr>
                <w:sz w:val="20"/>
                <w:szCs w:val="20"/>
                <w:color w:val="auto"/>
              </w:rPr>
            </w:pPr>
            <w:r>
              <w:rPr>
                <w:rFonts w:ascii="Arial" w:cs="Arial" w:eastAsia="Arial" w:hAnsi="Arial"/>
                <w:sz w:val="14"/>
                <w:szCs w:val="14"/>
                <w:b w:val="1"/>
                <w:bCs w:val="1"/>
                <w:color w:val="auto"/>
              </w:rPr>
              <w:t>March 30,</w:t>
            </w:r>
          </w:p>
        </w:tc>
        <w:tc>
          <w:tcPr>
            <w:tcW w:w="1280" w:type="dxa"/>
            <w:vAlign w:val="bottom"/>
          </w:tcPr>
          <w:p>
            <w:pPr>
              <w:jc w:val="right"/>
              <w:ind w:right="214"/>
              <w:spacing w:after="0" w:line="133"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100" w:type="dxa"/>
            <w:vAlign w:val="bottom"/>
            <w:gridSpan w:val="2"/>
            <w:vMerge w:val="continue"/>
          </w:tcPr>
          <w:p>
            <w:pPr>
              <w:spacing w:after="0"/>
              <w:rPr>
                <w:sz w:val="14"/>
                <w:szCs w:val="14"/>
                <w:color w:val="auto"/>
              </w:rPr>
            </w:pPr>
          </w:p>
        </w:tc>
        <w:tc>
          <w:tcPr>
            <w:tcW w:w="1400" w:type="dxa"/>
            <w:vAlign w:val="bottom"/>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Purchase of movie tickets and concession products</w:t>
            </w:r>
          </w:p>
        </w:tc>
        <w:tc>
          <w:tcPr>
            <w:tcW w:w="1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(included in prepaid expenses)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(1)</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Interest receivable on notes receivable (included in other</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 xml:space="preserve">current assets) </w:t>
            </w:r>
            <w:r>
              <w:rPr>
                <w:rFonts w:ascii="Arial" w:cs="Arial" w:eastAsia="Arial" w:hAnsi="Arial"/>
                <w:sz w:val="18"/>
                <w:szCs w:val="18"/>
                <w:i w:val="1"/>
                <w:iCs w:val="1"/>
                <w:color w:val="auto"/>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unit adjustments, net of amortization and integration</w:t>
            </w: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xml:space="preserve">payments (included in intangible assets) </w:t>
            </w:r>
            <w:r>
              <w:rPr>
                <w:rFonts w:ascii="Arial" w:cs="Arial" w:eastAsia="Arial" w:hAnsi="Arial"/>
                <w:sz w:val="18"/>
                <w:szCs w:val="18"/>
                <w:i w:val="1"/>
                <w:iCs w:val="1"/>
                <w:color w:val="auto"/>
              </w:rPr>
              <w:t>(2)</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Current payable to founding members under tax receivable</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(3)</w:t>
            </w:r>
          </w:p>
        </w:tc>
        <w:tc>
          <w:tcPr>
            <w:tcW w:w="140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Long-term payable to founding members under tax receivable</w:t>
            </w: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(3)</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23" w:lineRule="exact"/>
        <w:rPr>
          <w:rFonts w:ascii="Arial" w:cs="Arial" w:eastAsia="Arial" w:hAnsi="Arial"/>
          <w:sz w:val="18"/>
          <w:szCs w:val="18"/>
          <w:i w:val="1"/>
          <w:iCs w:val="1"/>
          <w:color w:val="auto"/>
        </w:rPr>
      </w:pPr>
    </w:p>
    <w:p>
      <w:pPr>
        <w:ind w:left="1120" w:hanging="558"/>
        <w:spacing w:after="0"/>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9" w:lineRule="exact"/>
        <w:rPr>
          <w:rFonts w:ascii="Arial" w:cs="Arial" w:eastAsia="Arial" w:hAnsi="Arial"/>
          <w:sz w:val="18"/>
          <w:szCs w:val="18"/>
          <w:i w:val="1"/>
          <w:iCs w:val="1"/>
          <w:color w:val="auto"/>
        </w:rPr>
      </w:pPr>
    </w:p>
    <w:p>
      <w:pPr>
        <w:ind w:left="1120" w:right="120" w:hanging="558"/>
        <w:spacing w:after="0" w:line="323" w:lineRule="auto"/>
        <w:tabs>
          <w:tab w:leader="none" w:pos="1120"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The Company paid the founding members $23.5 million in the first quarter of 2016, of which $2.7 million was net operating loss carrybacks for the 2013 year and $20.8 million was for the 2015 tax year. The payment for 2017 will occur in the second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-596900</wp:posOffset>
            </wp:positionV>
            <wp:extent cx="17151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1" w:lineRule="exact"/>
        <w:rPr>
          <w:sz w:val="20"/>
          <w:szCs w:val="20"/>
          <w:color w:val="auto"/>
        </w:rPr>
      </w:pPr>
    </w:p>
    <w:p>
      <w:pPr>
        <w:ind w:right="80" w:firstLine="555"/>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Mandatory distributions of available cash for the three months ended March 30, 2017 and March 31, 2016 were as follows (in millions):</w:t>
      </w:r>
    </w:p>
    <w:p>
      <w:pPr>
        <w:spacing w:after="0" w:line="21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3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March 30,</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jc w:val="right"/>
              <w:ind w:right="494"/>
              <w:spacing w:after="0" w:line="133"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1"/>
                <w:szCs w:val="11"/>
                <w:color w:val="auto"/>
              </w:rPr>
            </w:pPr>
          </w:p>
        </w:tc>
      </w:tr>
      <w:tr>
        <w:trPr>
          <w:trHeight w:val="171"/>
        </w:trPr>
        <w:tc>
          <w:tcPr>
            <w:tcW w:w="3320" w:type="dxa"/>
            <w:vAlign w:val="bottom"/>
          </w:tcPr>
          <w:p>
            <w:pPr>
              <w:spacing w:after="0"/>
              <w:rPr>
                <w:sz w:val="14"/>
                <w:szCs w:val="14"/>
                <w:color w:val="auto"/>
              </w:rPr>
            </w:pPr>
          </w:p>
        </w:tc>
        <w:tc>
          <w:tcPr>
            <w:tcW w:w="254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ind w:right="65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AMC</w:t>
            </w:r>
          </w:p>
        </w:tc>
        <w:tc>
          <w:tcPr>
            <w:tcW w:w="13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Cinemark</w:t>
            </w:r>
          </w:p>
        </w:tc>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13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r>
      <w:tr>
        <w:trPr>
          <w:trHeight w:val="223"/>
        </w:trPr>
        <w:tc>
          <w:tcPr>
            <w:tcW w:w="332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13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r>
      <w:tr>
        <w:trPr>
          <w:trHeight w:val="223"/>
        </w:trPr>
        <w:tc>
          <w:tcPr>
            <w:tcW w:w="3320" w:type="dxa"/>
            <w:vAlign w:val="bottom"/>
          </w:tcPr>
          <w:p>
            <w:pPr>
              <w:ind w:left="50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220" w:type="dxa"/>
            <w:vAlign w:val="bottom"/>
            <w:tcBorders>
              <w:bottom w:val="single" w:sz="8" w:color="auto"/>
            </w:tcBorders>
          </w:tcPr>
          <w:p>
            <w:pPr>
              <w:jc w:val="right"/>
              <w:ind w:right="106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731"/>
        <w:spacing w:after="0" w:line="264" w:lineRule="auto"/>
        <w:rPr>
          <w:sz w:val="20"/>
          <w:szCs w:val="20"/>
          <w:color w:val="auto"/>
        </w:rPr>
      </w:pPr>
      <w:r>
        <w:rPr>
          <w:rFonts w:ascii="Arial" w:cs="Arial" w:eastAsia="Arial" w:hAnsi="Arial"/>
          <w:sz w:val="18"/>
          <w:szCs w:val="18"/>
          <w:color w:val="auto"/>
        </w:rPr>
        <w:t>The mandatory distributions of available cash by NCM LLC to its founding members for the three months ended March 30, 2017 of $5.0 million is included in amounts due to founding members on the unaudited Condensed Consolidated Balance Sheets as of March 30, 2017 and will be made in the second quarter of 2017. The distributions to NCM, Inc. are eliminated in consolidation.</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4" w:name="page15"/>
    <w:bookmarkEnd w:id="14"/>
    <w:p>
      <w:pPr>
        <w:jc w:val="center"/>
        <w:ind w:left="280" w:right="272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March 30, 2017 were comprised of the following (in millions):</w:t>
      </w:r>
    </w:p>
    <w:p>
      <w:pPr>
        <w:spacing w:after="0" w:line="29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Cinemark</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Regal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Total amounts due to founding members</w:t>
            </w: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r>
      <w:tr>
        <w:trPr>
          <w:trHeight w:val="20"/>
        </w:trPr>
        <w:tc>
          <w:tcPr>
            <w:tcW w:w="536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7820" w:type="dxa"/>
            <w:vAlign w:val="bottom"/>
            <w:gridSpan w:val="9"/>
          </w:tcPr>
          <w:p>
            <w:pPr>
              <w:spacing w:after="0"/>
              <w:rPr>
                <w:sz w:val="20"/>
                <w:szCs w:val="20"/>
                <w:color w:val="auto"/>
              </w:rPr>
            </w:pPr>
            <w:r>
              <w:rPr>
                <w:rFonts w:ascii="Arial" w:cs="Arial" w:eastAsia="Arial" w:hAnsi="Arial"/>
                <w:sz w:val="18"/>
                <w:szCs w:val="18"/>
                <w:color w:val="auto"/>
                <w:w w:val="92"/>
              </w:rPr>
              <w:t>Amounts due to founding members as of December 29, 2016 were comprised of the following (in millions):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Cinemark</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Regal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Total amounts due to founding members</w:t>
            </w: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gridSpan w:val="2"/>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555"/>
        <w:spacing w:after="0" w:line="302" w:lineRule="auto"/>
        <w:rPr>
          <w:sz w:val="20"/>
          <w:szCs w:val="20"/>
          <w:color w:val="auto"/>
        </w:rPr>
      </w:pPr>
      <w:r>
        <w:rPr>
          <w:rFonts w:ascii="Arial" w:cs="Arial" w:eastAsia="Arial" w:hAnsi="Arial"/>
          <w:sz w:val="16"/>
          <w:szCs w:val="16"/>
          <w:b w:val="1"/>
          <w:bCs w:val="1"/>
          <w:i w:val="1"/>
          <w:iCs w:val="1"/>
          <w:color w:val="auto"/>
        </w:rPr>
        <w:t>Common Unit Membership Redemption</w:t>
      </w:r>
      <w:r>
        <w:rPr>
          <w:rFonts w:ascii="Arial" w:cs="Arial" w:eastAsia="Arial" w:hAnsi="Arial"/>
          <w:sz w:val="16"/>
          <w:szCs w:val="16"/>
          <w:color w:val="auto"/>
        </w:rPr>
        <w:t>— The NCM LLC Operating Agreement provides a redemption right of the founding members to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membership units of NCM LLC for shares of the Company’s common stock on a one-for-one basis, or at the Company’s option, a cash payment equal to the market price of one share of NCM, Inc. common stock. During the fourth quarter of 2015, AMC exercised the redemption right of an aggregate 200,000 common membership units for a like number of shares of NCM, Inc.’s common stock. These shares remained outstanding as of March 30, 2017.</w:t>
      </w:r>
    </w:p>
    <w:p>
      <w:pPr>
        <w:spacing w:after="0" w:line="39"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b w:val="1"/>
          <w:bCs w:val="1"/>
          <w:i w:val="1"/>
          <w:iCs w:val="1"/>
          <w:color w:val="auto"/>
        </w:rPr>
        <w:t>Memorandum of Understanding with AMC</w:t>
      </w:r>
      <w:r>
        <w:rPr>
          <w:rFonts w:ascii="Arial" w:cs="Arial" w:eastAsia="Arial" w:hAnsi="Arial"/>
          <w:sz w:val="20"/>
          <w:szCs w:val="20"/>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the Final Judgment, AMC is required to divest the majority of its equity interests in NCM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and NCM, Inc., so that by June 20, 2019 it owns no more than 4.99% of NCM LLC’s common membership units and NCM, Inc. common stock, taken together, on a fully converted basis (“NCM’s outstanding equity interests”). AMC must complete the divestiture per the following schedule: (i) on or before December 20, 2017, AMC must own no more than 15.0% of NCM’s outstanding equity interests, (ii) on or before December 20, 2018, AMC must own no more than 7.5% of NCM’s outstanding equity interests and (iii) on or before June 20, 2019, AMC must own no more than 4.99% of NCM’s outstanding equity interests. Pursuant to the MOU, AMC also has agreed, among other things, subject to limited exceptions to retain at least 4.5% of NCM’s outstanding equity interests during the term of the Final Judgment, subject to certain exceptions which allow for certain sell downs after the 30-month anniversary of the MOU. AMC also agreed to reimburse the Company for its incurred and ongoing costs and expenses in connection with the Final Judgment including, but not limited to, its financial advisor and legal fees up to $1.0 million of such costs and expenses. During the three months ended March 30, 2017, the Company incurred $0.8 million of these costs, which were recorded as a reduction to “Amounts due to founding members” within the Condensed Consolidated Balance Sheets.</w:t>
      </w:r>
    </w:p>
    <w:p>
      <w:pPr>
        <w:spacing w:after="0" w:line="70"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NCM LLC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$1.1 million and $1.0 million as of March 30, 2017 and December 29, 2016, respectively.</w:t>
      </w:r>
    </w:p>
    <w:p>
      <w:pPr>
        <w:spacing w:after="0" w:line="179"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b w:val="1"/>
          <w:bCs w:val="1"/>
          <w:i w:val="1"/>
          <w:iCs w:val="1"/>
          <w:color w:val="auto"/>
        </w:rPr>
        <w:t>Related Party Affiliates</w:t>
      </w:r>
      <w:r>
        <w:rPr>
          <w:rFonts w:ascii="Arial" w:cs="Arial" w:eastAsia="Arial" w:hAnsi="Arial"/>
          <w:sz w:val="16"/>
          <w:szCs w:val="16"/>
          <w:color w:val="auto"/>
        </w:rPr>
        <w:t>—NCM LLC has an agreement with LA Live, an affiliate of The Anschutz Corporation to provide in-theater advertising.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Anschutz Corporation is a wholly-owned subsidiary of the Anschutz Company, which is the controlling stockholder of Regal. During the three months ended March 30, 2017 and March 31, 2016, there was an inconsequential amount included in advertising operating costs related to LA Live, and there was approximately $0.1 million and $0.1 million of accounts payable with this company as of March 30, 2017 and December 29, 2016, respectively.</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5" w:name="page16"/>
    <w:bookmarkEnd w:id="15"/>
    <w:p>
      <w:pPr>
        <w:jc w:val="center"/>
        <w:ind w:left="260" w:right="27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b w:val="1"/>
          <w:bCs w:val="1"/>
          <w:i w:val="1"/>
          <w:iCs w:val="1"/>
          <w:color w:val="auto"/>
        </w:rPr>
        <w:t>Other Transactions</w:t>
      </w:r>
      <w:r>
        <w:rPr>
          <w:rFonts w:ascii="Arial" w:cs="Arial" w:eastAsia="Arial" w:hAnsi="Arial"/>
          <w:sz w:val="18"/>
          <w:szCs w:val="18"/>
          <w:color w:val="auto"/>
        </w:rPr>
        <w:t>—NCM LLC has an agreement with AEG Live, an affiliate of The Anschutz Corporation, for AEG Live to showcase musical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artists in NCM LLC’s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During the three months ended March 30, 2017 and March 31, 2016, NCM LLC recorded approximately $0.3 million and $0.4 million, respectively, in revenue from AEG Live. As of March 30, 2017 and December 29, 2016, NCM LLC had approximately $0.3 million and $0.2 million, respectively, of accounts receivable from AEG Live.</w:t>
      </w:r>
    </w:p>
    <w:p>
      <w:pPr>
        <w:spacing w:after="0" w:line="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The following table summarizes NCM LLC’s total outstanding debt as of March 30, 2017 and December 29, 2016 and the significant terms of its borrowing arrangements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Outstanding Balance as of</w:t>
            </w:r>
          </w:p>
        </w:tc>
        <w:tc>
          <w:tcPr>
            <w:tcW w:w="1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33"/>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Borrowings</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March 30,</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4"/>
              <w:spacing w:after="0" w:line="133" w:lineRule="exact"/>
              <w:rPr>
                <w:sz w:val="20"/>
                <w:szCs w:val="20"/>
                <w:color w:val="auto"/>
              </w:rPr>
            </w:pPr>
            <w:r>
              <w:rPr>
                <w:rFonts w:ascii="Arial" w:cs="Arial" w:eastAsia="Arial" w:hAnsi="Arial"/>
                <w:sz w:val="14"/>
                <w:szCs w:val="14"/>
                <w:b w:val="1"/>
                <w:bCs w:val="1"/>
                <w:color w:val="auto"/>
                <w:w w:val="98"/>
              </w:rPr>
              <w:t>December 29,</w:t>
            </w:r>
          </w:p>
        </w:tc>
        <w:tc>
          <w:tcPr>
            <w:tcW w:w="24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FF2FA"/>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CFF2FA"/>
            </w:tcBorders>
            <w:shd w:val="clear" w:color="auto" w:fill="CFF2FA"/>
          </w:tcPr>
          <w:p>
            <w:pPr>
              <w:spacing w:after="0"/>
              <w:rPr>
                <w:sz w:val="19"/>
                <w:szCs w:val="19"/>
                <w:color w:val="auto"/>
              </w:rPr>
            </w:pPr>
          </w:p>
        </w:tc>
        <w:tc>
          <w:tcPr>
            <w:tcW w:w="200" w:type="dxa"/>
            <w:vAlign w:val="bottom"/>
            <w:tcBorders>
              <w:top w:val="single" w:sz="8" w:color="auto"/>
            </w:tcBorders>
            <w:shd w:val="clear" w:color="auto" w:fill="CFF2FA"/>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top w:val="single" w:sz="8" w:color="CFF2FA"/>
            </w:tcBorders>
            <w:shd w:val="clear" w:color="auto" w:fill="CFF2FA"/>
          </w:tcPr>
          <w:p>
            <w:pPr>
              <w:spacing w:after="0"/>
              <w:rPr>
                <w:sz w:val="19"/>
                <w:szCs w:val="19"/>
                <w:color w:val="auto"/>
              </w:rPr>
            </w:pPr>
          </w:p>
        </w:tc>
        <w:tc>
          <w:tcPr>
            <w:tcW w:w="1760" w:type="dxa"/>
            <w:vAlign w:val="bottom"/>
            <w:tcBorders>
              <w:top w:val="single" w:sz="8" w:color="auto"/>
            </w:tcBorders>
            <w:shd w:val="clear" w:color="auto" w:fill="CFF2FA"/>
          </w:tcPr>
          <w:p>
            <w:pPr>
              <w:jc w:val="center"/>
              <w:spacing w:after="0"/>
              <w:rPr>
                <w:sz w:val="20"/>
                <w:szCs w:val="20"/>
                <w:color w:val="auto"/>
              </w:rPr>
            </w:pPr>
            <w:r>
              <w:rPr>
                <w:rFonts w:ascii="Arial" w:cs="Arial" w:eastAsia="Arial" w:hAnsi="Arial"/>
                <w:sz w:val="18"/>
                <w:szCs w:val="18"/>
                <w:color w:val="auto"/>
                <w:w w:val="89"/>
              </w:rPr>
              <w:t>November 26, 2019</w:t>
            </w:r>
          </w:p>
        </w:tc>
        <w:tc>
          <w:tcPr>
            <w:tcW w:w="140" w:type="dxa"/>
            <w:vAlign w:val="bottom"/>
            <w:tcBorders>
              <w:top w:val="single" w:sz="8" w:color="CFF2FA"/>
            </w:tcBorders>
            <w:shd w:val="clear" w:color="auto" w:fill="CFF2FA"/>
          </w:tcPr>
          <w:p>
            <w:pPr>
              <w:spacing w:after="0"/>
              <w:rPr>
                <w:sz w:val="19"/>
                <w:szCs w:val="19"/>
                <w:color w:val="auto"/>
              </w:rPr>
            </w:pPr>
          </w:p>
        </w:tc>
        <w:tc>
          <w:tcPr>
            <w:tcW w:w="860" w:type="dxa"/>
            <w:vAlign w:val="bottom"/>
            <w:tcBorders>
              <w:top w:val="single" w:sz="8" w:color="auto"/>
            </w:tcBorders>
            <w:shd w:val="clear" w:color="auto" w:fill="CFF2FA"/>
          </w:tcPr>
          <w:p>
            <w:pPr>
              <w:jc w:val="center"/>
              <w:spacing w:after="0"/>
              <w:rPr>
                <w:sz w:val="20"/>
                <w:szCs w:val="20"/>
                <w:color w:val="auto"/>
              </w:rPr>
            </w:pPr>
            <w:r>
              <w:rPr>
                <w:rFonts w:ascii="Arial" w:cs="Arial" w:eastAsia="Arial" w:hAnsi="Arial"/>
                <w:sz w:val="18"/>
                <w:szCs w:val="18"/>
                <w:i w:val="1"/>
                <w:iCs w:val="1"/>
                <w:color w:val="auto"/>
                <w:w w:val="90"/>
              </w:rPr>
              <w:t>(1)</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Term loans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November 26, 2019</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2FA"/>
          </w:tcPr>
          <w:p>
            <w:pPr>
              <w:spacing w:after="0"/>
              <w:rPr>
                <w:sz w:val="20"/>
                <w:szCs w:val="20"/>
                <w:color w:val="auto"/>
              </w:rPr>
            </w:pPr>
            <w:r>
              <w:rPr>
                <w:rFonts w:ascii="Arial" w:cs="Arial" w:eastAsia="Arial" w:hAnsi="Arial"/>
                <w:sz w:val="18"/>
                <w:szCs w:val="18"/>
                <w:color w:val="auto"/>
              </w:rPr>
              <w:t>Senior secured notes due 2022</w:t>
            </w:r>
          </w:p>
        </w:tc>
        <w:tc>
          <w:tcPr>
            <w:tcW w:w="14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FF2FA"/>
          </w:tcPr>
          <w:p>
            <w:pPr>
              <w:spacing w:after="0"/>
              <w:rPr>
                <w:sz w:val="19"/>
                <w:szCs w:val="19"/>
                <w:color w:val="auto"/>
              </w:rPr>
            </w:pPr>
          </w:p>
        </w:tc>
        <w:tc>
          <w:tcPr>
            <w:tcW w:w="1900" w:type="dxa"/>
            <w:vAlign w:val="bottom"/>
            <w:gridSpan w:val="2"/>
            <w:shd w:val="clear" w:color="auto" w:fill="CFF2FA"/>
          </w:tcPr>
          <w:p>
            <w:pPr>
              <w:jc w:val="center"/>
              <w:ind w:right="160"/>
              <w:spacing w:after="0"/>
              <w:rPr>
                <w:sz w:val="20"/>
                <w:szCs w:val="20"/>
                <w:color w:val="auto"/>
              </w:rPr>
            </w:pPr>
            <w:r>
              <w:rPr>
                <w:rFonts w:ascii="Arial" w:cs="Arial" w:eastAsia="Arial" w:hAnsi="Arial"/>
                <w:sz w:val="18"/>
                <w:szCs w:val="18"/>
                <w:color w:val="auto"/>
                <w:w w:val="95"/>
              </w:rPr>
              <w:t>April 15, 2022</w:t>
            </w:r>
          </w:p>
        </w:tc>
        <w:tc>
          <w:tcPr>
            <w:tcW w:w="860" w:type="dxa"/>
            <w:vAlign w:val="bottom"/>
            <w:shd w:val="clear" w:color="auto" w:fill="CFF2FA"/>
          </w:tcPr>
          <w:p>
            <w:pPr>
              <w:jc w:val="right"/>
              <w:ind w:right="36"/>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Senior unsecured notes due 2026</w:t>
            </w:r>
          </w:p>
        </w:tc>
        <w:tc>
          <w:tcPr>
            <w:tcW w:w="14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Borders>
              <w:bottom w:val="single" w:sz="8" w:color="CFF2FA"/>
            </w:tcBorders>
          </w:tcPr>
          <w:p>
            <w:pPr>
              <w:spacing w:after="0"/>
              <w:rPr>
                <w:sz w:val="19"/>
                <w:szCs w:val="19"/>
                <w:color w:val="auto"/>
              </w:rPr>
            </w:pPr>
          </w:p>
        </w:tc>
        <w:tc>
          <w:tcPr>
            <w:tcW w:w="1900" w:type="dxa"/>
            <w:vAlign w:val="bottom"/>
            <w:tcBorders>
              <w:bottom w:val="single" w:sz="8" w:color="CFF2FA"/>
            </w:tcBorders>
            <w:gridSpan w:val="2"/>
          </w:tcPr>
          <w:p>
            <w:pPr>
              <w:jc w:val="center"/>
              <w:ind w:right="180"/>
              <w:spacing w:after="0"/>
              <w:rPr>
                <w:sz w:val="20"/>
                <w:szCs w:val="20"/>
                <w:color w:val="auto"/>
              </w:rPr>
            </w:pPr>
            <w:r>
              <w:rPr>
                <w:rFonts w:ascii="Arial" w:cs="Arial" w:eastAsia="Arial" w:hAnsi="Arial"/>
                <w:sz w:val="18"/>
                <w:szCs w:val="18"/>
                <w:color w:val="auto"/>
                <w:w w:val="91"/>
              </w:rPr>
              <w:t>August 15, 2026</w:t>
            </w:r>
          </w:p>
        </w:tc>
        <w:tc>
          <w:tcPr>
            <w:tcW w:w="860" w:type="dxa"/>
            <w:vAlign w:val="bottom"/>
            <w:tcBorders>
              <w:bottom w:val="single" w:sz="8" w:color="CFF2FA"/>
            </w:tcBorders>
          </w:tcPr>
          <w:p>
            <w:pPr>
              <w:jc w:val="right"/>
              <w:ind w:right="36"/>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2FA"/>
          </w:tcPr>
          <w:p>
            <w:pPr>
              <w:ind w:left="240"/>
              <w:spacing w:after="0"/>
              <w:rPr>
                <w:sz w:val="20"/>
                <w:szCs w:val="20"/>
                <w:color w:val="auto"/>
              </w:rPr>
            </w:pPr>
            <w:r>
              <w:rPr>
                <w:rFonts w:ascii="Arial" w:cs="Arial" w:eastAsia="Arial" w:hAnsi="Arial"/>
                <w:sz w:val="18"/>
                <w:szCs w:val="18"/>
                <w:color w:val="auto"/>
              </w:rPr>
              <w:t>Total borrowings</w:t>
            </w:r>
          </w:p>
        </w:tc>
        <w:tc>
          <w:tcPr>
            <w:tcW w:w="140" w:type="dxa"/>
            <w:vAlign w:val="bottom"/>
            <w:shd w:val="clear" w:color="auto" w:fill="CFF2FA"/>
          </w:tcPr>
          <w:p>
            <w:pPr>
              <w:spacing w:after="0"/>
              <w:rPr>
                <w:sz w:val="19"/>
                <w:szCs w:val="19"/>
                <w:color w:val="auto"/>
              </w:rPr>
            </w:pPr>
          </w:p>
        </w:tc>
        <w:tc>
          <w:tcPr>
            <w:tcW w:w="200" w:type="dxa"/>
            <w:vAlign w:val="bottom"/>
            <w:shd w:val="clear" w:color="auto" w:fill="CFF2FA"/>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950.0</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935.0</w:t>
            </w:r>
          </w:p>
        </w:tc>
        <w:tc>
          <w:tcPr>
            <w:tcW w:w="240" w:type="dxa"/>
            <w:vAlign w:val="bottom"/>
            <w:shd w:val="clear" w:color="auto" w:fill="CFF2FA"/>
          </w:tcPr>
          <w:p>
            <w:pPr>
              <w:spacing w:after="0"/>
              <w:rPr>
                <w:sz w:val="19"/>
                <w:szCs w:val="19"/>
                <w:color w:val="auto"/>
              </w:rPr>
            </w:pPr>
          </w:p>
        </w:tc>
        <w:tc>
          <w:tcPr>
            <w:tcW w:w="17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8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120"/>
              <w:spacing w:after="0"/>
              <w:rPr>
                <w:sz w:val="20"/>
                <w:szCs w:val="20"/>
                <w:color w:val="auto"/>
              </w:rPr>
            </w:pPr>
            <w:r>
              <w:rPr>
                <w:rFonts w:ascii="Arial" w:cs="Arial" w:eastAsia="Arial" w:hAnsi="Arial"/>
                <w:sz w:val="18"/>
                <w:szCs w:val="18"/>
                <w:color w:val="auto"/>
              </w:rPr>
              <w:t>Less: debt issuance costs related to term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loans and senior notes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2FA"/>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Carrying value of long-term debt</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200" w:type="dxa"/>
            <w:vAlign w:val="bottom"/>
            <w:tcBorders>
              <w:top w:val="single" w:sz="8" w:color="auto"/>
              <w:bottom w:val="single" w:sz="8" w:color="auto"/>
            </w:tcBorders>
            <w:shd w:val="clear" w:color="auto" w:fill="CFF2FA"/>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939.8</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10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924.3</w:t>
            </w:r>
          </w:p>
        </w:tc>
        <w:tc>
          <w:tcPr>
            <w:tcW w:w="240" w:type="dxa"/>
            <w:vAlign w:val="bottom"/>
            <w:tcBorders>
              <w:top w:val="single" w:sz="8" w:color="CFF2FA"/>
              <w:bottom w:val="single" w:sz="8" w:color="CFF2FA"/>
            </w:tcBorders>
            <w:shd w:val="clear" w:color="auto" w:fill="CFF2FA"/>
          </w:tcPr>
          <w:p>
            <w:pPr>
              <w:spacing w:after="0"/>
              <w:rPr>
                <w:sz w:val="19"/>
                <w:szCs w:val="19"/>
                <w:color w:val="auto"/>
              </w:rPr>
            </w:pPr>
          </w:p>
        </w:tc>
        <w:tc>
          <w:tcPr>
            <w:tcW w:w="176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86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-130175</wp:posOffset>
            </wp:positionV>
            <wp:extent cx="13633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97"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—As of March 30, 2017, NCM LLC’s senior secured credit facility consisted of a $175.0 million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and a $270.0 million term loan. On May 26, 2016, NCM LLC entered into an incremental amendment of its senior secured credit facility whereby the revolving credit facility was increased by $40.0 million from $135.0 million to $175.0 million.</w:t>
      </w:r>
    </w:p>
    <w:p>
      <w:pPr>
        <w:spacing w:after="0" w:line="73"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—The revolving credit facility portion of NCM LLC’s total borrowings is available, subject to certain conditions, for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purposes of NCM LLC in the ordinary course of business and for other transactions permitted under the senior secured credit facility, and a portion is available for letters of credit. As of March 30, 2017, NCM LLC’s total availability under the $175.0 million revolving credit facility was $143.8 million, net of a $1.2 million letter of credit. The unused line fee is 0.50% per annum. Borrowings under the revolving credit facility bear interest at NCM LLC’s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senior secured credit facility). The weighted-average interest rate on the outstanding balance on the revolving credit facility as of March 30, 2017 was 2.95%.</w:t>
      </w:r>
    </w:p>
    <w:p>
      <w:pPr>
        <w:spacing w:after="0" w:line="74"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NCM LLC’s option of either the LIBOR index plus 2.75% or the base rate (Prime</w:t>
      </w:r>
      <w:r>
        <w:rPr>
          <w:rFonts w:ascii="Arial" w:cs="Arial" w:eastAsia="Arial" w:hAnsi="Arial"/>
          <w:sz w:val="18"/>
          <w:szCs w:val="18"/>
          <w:i w:val="1"/>
          <w:iCs w:val="1"/>
          <w:color w:val="auto"/>
        </w:rPr>
        <w:t xml:space="preserve"> </w:t>
      </w:r>
      <w:r>
        <w:rPr>
          <w:rFonts w:ascii="Arial" w:cs="Arial" w:eastAsia="Arial" w:hAnsi="Arial"/>
          <w:sz w:val="18"/>
          <w:szCs w:val="18"/>
          <w:color w:val="auto"/>
        </w:rPr>
        <w:t>Rate or the Federal Funds Effective Rate, as defined in the senior secured credit facility) plus 1.75%. The weighted-average interest rate on the term loans as of March 30, 2017 was 3.54%. Interest on the term loans is currently paid monthly.</w:t>
      </w:r>
    </w:p>
    <w:p>
      <w:pPr>
        <w:spacing w:after="0" w:line="73"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NCM LLC was in compliance as of March 30, 2017, including maintaining a consolidated net senior secured leverage ratio of equal to or less than 6.5 times on a quarterly basis. In addition, there are no borrower distribution restrictions as long as NCM LLC’s consolidated net senior secured leverage ratio is below 6.5 times and NCM LLC is in compliance with its debt covenants. As of March 30, 2017, NCM LLC’s consolidated net senior secured leverage ratio was 3.1 times (versus the covenant of 6.5 times).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center"/>
        <w:ind w:left="260" w:right="27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Senior Secured Notes due 2022</w:t>
      </w:r>
      <w:r>
        <w:rPr>
          <w:rFonts w:ascii="Arial" w:cs="Arial" w:eastAsia="Arial" w:hAnsi="Arial"/>
          <w:sz w:val="18"/>
          <w:szCs w:val="18"/>
          <w:color w:val="auto"/>
        </w:rPr>
        <w:t>—On April 27, 2012, NCM LLC completed a private placement of $400.0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6.000% Senior Secured Notes (the “Notes due 2022”) for which the registered exchange offering was completed on November 26, 2012. The Notes due 2022 pay interest semi-annually in arrears on April 15 and October 15 of each year, which commenced on October 15, 2012. The Notes due 2022 are senior secured obligations of NCM LLC, rank the same as NCM LLC’s senior secured credit facility, subject to certain exceptions, and share in the same collateral that secures NCM LLC’s obligations under the senior secured credit facility. The Notes due 2022 contain certain non-maintenance covenants with which NCM LLC was in compliance as of March 30, 2017.</w:t>
      </w:r>
    </w:p>
    <w:p>
      <w:pPr>
        <w:spacing w:after="0" w:line="85"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NCM LLC completed a private placement of $250.0 million in aggregate principal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5.750% Senior Unsecured Notes (the “Notes due 2026”). The Notes due 2026 pay interest semi-annually in arrears on February 15 and August 15 of each year, which commenced on February 15, 2017. The Notes due 2026 were issued at 100% of the face amount thereof and are the senior unsecured obligations of NCM LLC and will be effectively subordinated to all existing and future secured debt, including the Notes due 2022, its senior secured credit facility and any future asset backed loan facility. The Notes due 2026 will rank equally in right of payment with all of NCM LLC’s existing and future senior indebtedness, including the Notes due 2022, NCM LLC’s existing senior secured credit facility, any future asset backed loan facility, in each case, without giving effect to collateral arrangements. The Notes due 2026 will be effectively subordinated to all liabilities of any subsidiaries that NCM LLC may form or acquire in the future, unless those subsidiaries become guarantors of the Notes due 2026. NCM LLC does not currently have any subsidiaries, and the Notes due 2026 will not be guaranteed by any subsidiaries that NCM LLC may form or acquire in the future except in very limited circumstances. The Notes due 2026 contain certain non-maintenance covenants with which NCM LLC was in compliance as of March 30, 2017.</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The Company is subject to taxation in the U.S. and various states. The Company has established a contingency reserve for material, known tax exposures. The Company’s reserve reflects management’s judgment as to the resolution of the issues involved if subject to judicial review or other settlement. While the Company believes its reserves are adequate to cover reasonably expected tax risks, there can be no assurance that, in all instances, an issue raised by a tax authority will be resolved at a financial cost that does not exceed its related reserve. With respect to the reserve, the Company’ income tax expense would include (i) any changes in tax reserves arising from material changes during the period in the facts and circumstances (i.e., new information) surrounding a tax issue and (ii) any difference from the Company’s tax position as recorded in the financial statements and the final resolution of a tax issue during the period. Such resolution could materially increase or decrease income tax expense in the unaudited Condensed Consolidated Financial Statements in future periods and could impact operating cash flows.</w:t>
      </w:r>
    </w:p>
    <w:p>
      <w:pPr>
        <w:spacing w:after="0" w:line="71"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Unrecognized tax benefits represent the aggregate tax effect of differences between tax return positions and the amounts otherwise recognized in the unaudited Condensed Consolidated Financial Statements. The total amount of unrecognized tax benefits as of March 30, 2017 and December 29, 2016, was $1.6 million and $1.6 million, respectively, excluding accrued interest and penalties, which if recognized would affect the effective tax rate. The Company recognizes interest and penalties with respect to unrecognized tax benefits in income tax expense in the unaudited Condensed Consolidated Statements of Income and records the liability in income taxes payable in the unaudited Condensed Consolidated Balance Sheets. The Company recognized $0.0 million and $0.1 million interest and penalties during the three months ended March 30, 2017 and March 31, 2016, respectively. The Company has accrued $0.5 million and $0.4 million for the payment of interest and penalties as of March 30, 2017 and December 29, 2016, respectively. It is reasonably possible that the Company’s total unrecognized tax benefits will decrease by approximately $1.3 million during the next twelve months due to the expiration of certain statutes of limitations.</w:t>
      </w:r>
    </w:p>
    <w:p>
      <w:pPr>
        <w:spacing w:after="0" w:line="74"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 xml:space="preserve">During the three months ended March 30, 2017, the Company recorded a reduction to its deferred tax assets of approximately $35.0 million related to the tax effective difference between the tax basis and book basis of the intangible assets recorded for the extraordinary Common Unit Adjustment, as discussed further in Note 3 – </w:t>
      </w:r>
      <w:r>
        <w:rPr>
          <w:rFonts w:ascii="Arial" w:cs="Arial" w:eastAsia="Arial" w:hAnsi="Arial"/>
          <w:sz w:val="17"/>
          <w:szCs w:val="17"/>
          <w:i w:val="1"/>
          <w:iCs w:val="1"/>
          <w:color w:val="auto"/>
        </w:rPr>
        <w:t>Intangible Assets</w:t>
      </w:r>
      <w:r>
        <w:rPr>
          <w:rFonts w:ascii="Arial" w:cs="Arial" w:eastAsia="Arial" w:hAnsi="Arial"/>
          <w:sz w:val="17"/>
          <w:szCs w:val="17"/>
          <w:color w:val="auto"/>
        </w:rPr>
        <w:t>. Further, the Company recorded a deferred tax liability of approximately $15.8 million during the three months ended March 30, 2017 related to imputed interest on the integration payments associated with the extraordinary Common Unit Adjustment. These items also resulted in a net reduction to additional paid-in capital of approximately $50.8 million.</w:t>
      </w:r>
    </w:p>
    <w:p>
      <w:pPr>
        <w:spacing w:after="0" w:line="6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the aggregate on its financial position, results of operations or cash flows.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jc w:val="center"/>
        <w:ind w:left="260" w:right="27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one to twenty years, prior to any renewal periods of which some are at the option of the Company. As of March 30, 2017, the maximum potential amount of future payments the Company could be required to make pursuant to the minimum revenue guarantees is $60.3 million over the remaining terms of the network affiliate agreements, which calculation does not include any potential future extensions. As of March 30, 2017 and December 29, 2016, the Company had no liabilities recorded for these obligations, as such guarantees are less than the expected share of revenue paid to the network affiliate.</w:t>
      </w:r>
    </w:p>
    <w:p>
      <w:pPr>
        <w:spacing w:after="0" w:line="74"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b w:val="1"/>
          <w:bCs w:val="1"/>
          <w:i w:val="1"/>
          <w:iCs w:val="1"/>
          <w:color w:val="auto"/>
        </w:rPr>
        <w:t>Theater Access Fee Guarantees</w:t>
      </w:r>
      <w:r>
        <w:rPr>
          <w:rFonts w:ascii="Arial" w:cs="Arial" w:eastAsia="Arial" w:hAnsi="Arial"/>
          <w:sz w:val="17"/>
          <w:szCs w:val="17"/>
          <w:color w:val="auto"/>
        </w:rPr>
        <w:t>—In consideration for NCM LLC’s access to the founding members’ theater attendees for on-screen advertising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increase occurring for fiscal year 2017,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March 30, 2017 and December 29, 2016, the Company had no liabilities recorded for the minimum payment, as the theater access fee was in excess of the minimum.</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jc w:val="both"/>
        <w:ind w:right="120" w:firstLine="555"/>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62"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73"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i w:val="1"/>
          <w:iCs w:val="1"/>
          <w:color w:val="auto"/>
        </w:rPr>
        <w:t>Long-Lived Assets, Intangible Assets, Other Investments and Notes Receivable</w:t>
      </w:r>
      <w:r>
        <w:rPr>
          <w:rFonts w:ascii="Arial" w:cs="Arial" w:eastAsia="Arial" w:hAnsi="Arial"/>
          <w:sz w:val="16"/>
          <w:szCs w:val="16"/>
          <w:color w:val="auto"/>
        </w:rPr>
        <w:t>—The Company regularly reviews long-lived assets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546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29,</w:t>
            </w:r>
          </w:p>
        </w:tc>
        <w:tc>
          <w:tcPr>
            <w:tcW w:w="60" w:type="dxa"/>
            <w:vAlign w:val="bottom"/>
          </w:tcPr>
          <w:p>
            <w:pPr>
              <w:spacing w:after="0"/>
              <w:rPr>
                <w:sz w:val="11"/>
                <w:szCs w:val="11"/>
                <w:color w:val="auto"/>
              </w:rPr>
            </w:pPr>
          </w:p>
        </w:tc>
      </w:tr>
      <w:tr>
        <w:trPr>
          <w:trHeight w:val="171"/>
        </w:trPr>
        <w:tc>
          <w:tcPr>
            <w:tcW w:w="546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2260" w:hanging="550"/>
        <w:spacing w:after="0"/>
        <w:tabs>
          <w:tab w:leader="none" w:pos="22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9779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jc w:val="center"/>
        <w:ind w:right="2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left="2260" w:right="240" w:hanging="550"/>
        <w:spacing w:after="0" w:line="286" w:lineRule="auto"/>
        <w:tabs>
          <w:tab w:leader="none" w:pos="2260" w:val="left"/>
        </w:tabs>
        <w:numPr>
          <w:ilvl w:val="0"/>
          <w:numId w:val="6"/>
        </w:numPr>
        <w:rPr>
          <w:rFonts w:ascii="Arial" w:cs="Arial" w:eastAsia="Arial" w:hAnsi="Arial"/>
          <w:sz w:val="17"/>
          <w:szCs w:val="17"/>
          <w:i w:val="1"/>
          <w:iCs w:val="1"/>
          <w:color w:val="auto"/>
        </w:rPr>
      </w:pPr>
      <w:r>
        <w:rPr>
          <w:rFonts w:ascii="Arial" w:cs="Arial" w:eastAsia="Arial" w:hAnsi="Arial"/>
          <w:sz w:val="17"/>
          <w:szCs w:val="17"/>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57" w:lineRule="exact"/>
        <w:rPr>
          <w:sz w:val="20"/>
          <w:szCs w:val="20"/>
          <w:color w:val="auto"/>
        </w:rPr>
      </w:pPr>
    </w:p>
    <w:p>
      <w:pPr>
        <w:ind w:right="100" w:firstLine="645"/>
        <w:spacing w:after="0" w:line="273" w:lineRule="auto"/>
        <w:rPr>
          <w:sz w:val="20"/>
          <w:szCs w:val="20"/>
          <w:color w:val="auto"/>
        </w:rPr>
      </w:pPr>
      <w:r>
        <w:rPr>
          <w:rFonts w:ascii="Arial" w:cs="Arial" w:eastAsia="Arial" w:hAnsi="Arial"/>
          <w:sz w:val="17"/>
          <w:szCs w:val="17"/>
          <w:color w:val="auto"/>
        </w:rPr>
        <w:t>During the three months ended March 30, 2017, the Company recorded an other -than-temporary impairment charge of $1.4 million on one of its investments due to a significant deterioration in the business prospects of the investee during the three months ended March 30, 2017, which brought the investment to a remaining value of $0.0 million. The fair value of the other investments has not been estimated as of March 30, 2017 and December 29, 2016 as there were no identified events or changes in the circumstances that had a significant adverse effect on the fair value of those investments and it is not practicable to do so because the equity securities are not in publicly traded companies. As the inputs to the determination of fair value are based upon non-identical assets and use significant unobservable inputs, they have been classified as Level 3 in the fair value hierarchy.</w:t>
      </w:r>
    </w:p>
    <w:p>
      <w:pPr>
        <w:spacing w:after="0" w:line="70"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As of March 30, 2017 and December 29, 2016, the Company had notes receivable totaling $12.5 million and $13.9 million, respectively, from its founding members related to the sale of Fathom Events, as described in Note 4—</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80" w:lineRule="exact"/>
        <w:rPr>
          <w:sz w:val="20"/>
          <w:szCs w:val="20"/>
          <w:color w:val="auto"/>
        </w:rPr>
      </w:pPr>
    </w:p>
    <w:p>
      <w:pPr>
        <w:ind w:right="180"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March 30,</w:t>
            </w:r>
          </w:p>
        </w:tc>
        <w:tc>
          <w:tcPr>
            <w:tcW w:w="10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As of December 29,</w:t>
            </w:r>
          </w:p>
        </w:tc>
      </w:tr>
      <w:tr>
        <w:trPr>
          <w:trHeight w:val="17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60"/>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r>
      <w:tr>
        <w:trPr>
          <w:trHeight w:val="17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4"/>
                <w:szCs w:val="14"/>
                <w:b w:val="1"/>
                <w:bCs w:val="1"/>
                <w:i w:val="1"/>
                <w:iCs w:val="1"/>
                <w:color w:val="auto"/>
                <w:w w:val="92"/>
              </w:rPr>
              <w:t>(1)</w:t>
            </w:r>
          </w:p>
        </w:tc>
        <w:tc>
          <w:tcPr>
            <w:tcW w:w="100" w:type="dxa"/>
            <w:vAlign w:val="bottom"/>
          </w:tcPr>
          <w:p>
            <w:pPr>
              <w:spacing w:after="0"/>
              <w:rPr>
                <w:sz w:val="14"/>
                <w:szCs w:val="14"/>
                <w:color w:val="auto"/>
              </w:rPr>
            </w:pPr>
          </w:p>
        </w:tc>
        <w:tc>
          <w:tcPr>
            <w:tcW w:w="740" w:type="dxa"/>
            <w:vAlign w:val="bottom"/>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b w:val="1"/>
                <w:bCs w:val="1"/>
                <w:i w:val="1"/>
                <w:iCs w:val="1"/>
                <w:color w:val="auto"/>
                <w:w w:val="95"/>
              </w:rPr>
              <w:t>(1)</w:t>
            </w:r>
          </w:p>
        </w:tc>
      </w:tr>
      <w:tr>
        <w:trPr>
          <w:trHeight w:val="223"/>
        </w:trPr>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8"/>
              </w:rPr>
              <w:t>270.0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Notes due 2022</w:t>
            </w:r>
          </w:p>
        </w:tc>
        <w:tc>
          <w:tcPr>
            <w:tcW w:w="120" w:type="dxa"/>
            <w:vAlign w:val="bottom"/>
          </w:tcPr>
          <w:p>
            <w:pPr>
              <w:spacing w:after="0"/>
              <w:rPr>
                <w:sz w:val="19"/>
                <w:szCs w:val="19"/>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8"/>
              </w:rPr>
              <w:t>400.0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414.5</w:t>
            </w:r>
          </w:p>
        </w:tc>
        <w:tc>
          <w:tcPr>
            <w:tcW w:w="80" w:type="dxa"/>
            <w:vAlign w:val="bottom"/>
          </w:tcPr>
          <w:p>
            <w:pPr>
              <w:spacing w:after="0"/>
              <w:rPr>
                <w:sz w:val="19"/>
                <w:szCs w:val="19"/>
                <w:color w:val="auto"/>
              </w:rPr>
            </w:pPr>
          </w:p>
        </w:tc>
      </w:tr>
      <w:tr>
        <w:trPr>
          <w:trHeight w:val="230"/>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due 2026</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250.0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80" w:type="dxa"/>
            <w:vAlign w:val="bottom"/>
            <w:shd w:val="clear" w:color="auto" w:fill="CFF0FC"/>
          </w:tcPr>
          <w:p>
            <w:pPr>
              <w:spacing w:after="0"/>
              <w:rPr>
                <w:sz w:val="19"/>
                <w:szCs w:val="19"/>
                <w:color w:val="auto"/>
              </w:rPr>
            </w:pPr>
          </w:p>
        </w:tc>
      </w:tr>
    </w:tbl>
    <w:p>
      <w:pPr>
        <w:spacing w:after="0" w:line="134" w:lineRule="exact"/>
        <w:rPr>
          <w:sz w:val="20"/>
          <w:szCs w:val="20"/>
          <w:color w:val="auto"/>
        </w:rPr>
      </w:pPr>
    </w:p>
    <w:p>
      <w:pPr>
        <w:ind w:left="2260" w:right="240" w:hanging="550"/>
        <w:spacing w:after="0" w:line="264" w:lineRule="auto"/>
        <w:tabs>
          <w:tab w:leader="none" w:pos="226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-432435</wp:posOffset>
            </wp:positionV>
            <wp:extent cx="977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53"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2"/>
              </w:rPr>
              <w:t>Fair Value as of</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9"/>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March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397"/>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 w:name="page20"/>
    <w:bookmarkEnd w:id="19"/>
    <w:p>
      <w:pPr>
        <w:jc w:val="center"/>
        <w:ind w:right="2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6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Fair Value as of</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2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9"/>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December 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6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6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2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20" w:right="20" w:hanging="558"/>
        <w:spacing w:after="0" w:line="256" w:lineRule="auto"/>
        <w:tabs>
          <w:tab w:leader="none" w:pos="11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Company’s cash equivalents are carried at estimated fair value. Cash equivalents consist of money market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Company has classified as Level 1 given the active market for these accounts and commercial paper with original maturities of three months or less, which are classified as Level 2 and are valued as described below.</w:t>
      </w:r>
    </w:p>
    <w:p>
      <w:pPr>
        <w:ind w:left="1120" w:right="40" w:hanging="558"/>
        <w:spacing w:after="0" w:line="267" w:lineRule="auto"/>
        <w:tabs>
          <w:tab w:leader="none" w:pos="11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Short-Term and Long-Term Marketable Securities</w:t>
      </w:r>
      <w:r>
        <w:rPr>
          <w:rFonts w:ascii="Arial" w:cs="Arial" w:eastAsia="Arial" w:hAnsi="Arial"/>
          <w:sz w:val="17"/>
          <w:szCs w:val="17"/>
          <w:color w:val="auto"/>
        </w:rPr>
        <w:t>—The carrying amount and fair value of the marketable securities are equivalent since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generally classified as Level 1 given the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For the three months ended March 30, 2017 and March 31, 2016, there was an inconsequential amount of net realized gains (losses) recognized in interest income and an inconsequential amount of net unrealized holding gains (losses) included in other comprehensive income. Original cost of short-term marketable securities is based on the specific identification method. As of March 30, 2017 and December 29, 2016, there were no gross unrealized losses related to individual securities that had been in a continuous loss position for 12 months or longer.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-2076450</wp:posOffset>
            </wp:positionV>
            <wp:extent cx="17151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57"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March 30, 2017 and December 29, 2016 were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5"/>
              </w:rPr>
              <w:t>As of March 30, 2017</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Amortized Cost</w:t>
            </w:r>
          </w:p>
        </w:tc>
        <w:tc>
          <w:tcPr>
            <w:tcW w:w="200" w:type="dxa"/>
            <w:vAlign w:val="bottom"/>
          </w:tcPr>
          <w:p>
            <w:pPr>
              <w:spacing w:after="0"/>
              <w:rPr>
                <w:sz w:val="11"/>
                <w:szCs w:val="11"/>
                <w:color w:val="auto"/>
              </w:rPr>
            </w:pPr>
          </w:p>
        </w:tc>
        <w:tc>
          <w:tcPr>
            <w:tcW w:w="128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5"/>
              </w:rPr>
              <w:t>Aggregate Fair</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5"/>
              </w:rPr>
              <w:t>Basis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Short-term U.S. government treasury bonds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municipal bonds</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Short-term U.S. government agency bonds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commercial paper:</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Financial</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Industrial</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Short-term certificates of deposit</w:t>
            </w:r>
          </w:p>
        </w:tc>
        <w:tc>
          <w:tcPr>
            <w:tcW w:w="1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short-term marketable securities</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municipal bonds</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Long-term U.S. government agency bonds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certificates of deposit:</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Financial</w:t>
            </w:r>
          </w:p>
        </w:tc>
        <w:tc>
          <w:tcPr>
            <w:tcW w:w="1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shd w:val="clear" w:color="auto" w:fill="CFF0FC"/>
          </w:tcPr>
          <w:p>
            <w:pPr>
              <w:ind w:left="860"/>
              <w:spacing w:after="0"/>
              <w:rPr>
                <w:sz w:val="20"/>
                <w:szCs w:val="20"/>
                <w:color w:val="auto"/>
              </w:rPr>
            </w:pPr>
            <w:r>
              <w:rPr>
                <w:rFonts w:ascii="Arial" w:cs="Arial" w:eastAsia="Arial" w:hAnsi="Arial"/>
                <w:sz w:val="18"/>
                <w:szCs w:val="18"/>
                <w:color w:val="auto"/>
              </w:rPr>
              <w:t>Total long-term marketable securities</w:t>
            </w:r>
          </w:p>
        </w:tc>
        <w:tc>
          <w:tcPr>
            <w:tcW w:w="1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tcPr>
          <w:p>
            <w:pPr>
              <w:ind w:left="980"/>
              <w:spacing w:after="0"/>
              <w:rPr>
                <w:sz w:val="20"/>
                <w:szCs w:val="20"/>
                <w:color w:val="auto"/>
              </w:rPr>
            </w:pPr>
            <w:r>
              <w:rPr>
                <w:rFonts w:ascii="Arial" w:cs="Arial" w:eastAsia="Arial" w:hAnsi="Arial"/>
                <w:sz w:val="18"/>
                <w:szCs w:val="18"/>
                <w:color w:val="auto"/>
              </w:rPr>
              <w:t>Total marketable securities</w:t>
            </w:r>
          </w:p>
        </w:tc>
        <w:tc>
          <w:tcPr>
            <w:tcW w:w="1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0" w:type="dxa"/>
            <w:vAlign w:val="bottom"/>
            <w:vMerge w:val="restart"/>
          </w:tcPr>
          <w:p>
            <w:pPr>
              <w:jc w:val="right"/>
              <w:ind w:right="6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jc w:val="center"/>
        <w:ind w:left="320" w:right="268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834"/>
              <w:spacing w:after="0"/>
              <w:rPr>
                <w:sz w:val="20"/>
                <w:szCs w:val="20"/>
                <w:color w:val="auto"/>
              </w:rPr>
            </w:pPr>
            <w:r>
              <w:rPr>
                <w:rFonts w:ascii="Arial" w:cs="Arial" w:eastAsia="Arial" w:hAnsi="Arial"/>
                <w:sz w:val="14"/>
                <w:szCs w:val="14"/>
                <w:b w:val="1"/>
                <w:bCs w:val="1"/>
                <w:color w:val="auto"/>
                <w:w w:val="92"/>
              </w:rPr>
              <w:t>As of December 29, 2016</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Amortized Cost</w:t>
            </w:r>
          </w:p>
        </w:tc>
        <w:tc>
          <w:tcPr>
            <w:tcW w:w="20" w:type="dxa"/>
            <w:vAlign w:val="bottom"/>
          </w:tcPr>
          <w:p>
            <w:pPr>
              <w:spacing w:after="0"/>
              <w:rPr>
                <w:sz w:val="11"/>
                <w:szCs w:val="11"/>
                <w:color w:val="auto"/>
              </w:rPr>
            </w:pPr>
          </w:p>
        </w:tc>
        <w:tc>
          <w:tcPr>
            <w:tcW w:w="126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Aggregate Fair</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Basis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MARKETABLE SECURITIES: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444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U.S. government treasury bonds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municipal bonds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U.S. government agency bonds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Short-term commercial paper</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certificates of deposit: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36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720"/>
              <w:spacing w:after="0"/>
              <w:rPr>
                <w:sz w:val="20"/>
                <w:szCs w:val="20"/>
                <w:color w:val="auto"/>
              </w:rPr>
            </w:pPr>
            <w:r>
              <w:rPr>
                <w:rFonts w:ascii="Arial" w:cs="Arial" w:eastAsia="Arial" w:hAnsi="Arial"/>
                <w:sz w:val="18"/>
                <w:szCs w:val="18"/>
                <w:color w:val="auto"/>
              </w:rPr>
              <w:t>Total short-term marketable securities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Long-term municipal bonds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U.S. government agency bonds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Long-term certificates of deposit</w:t>
            </w: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long-term marketable securities</w:t>
            </w:r>
          </w:p>
        </w:tc>
        <w:tc>
          <w:tcPr>
            <w:tcW w:w="9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980"/>
              <w:spacing w:after="0"/>
              <w:rPr>
                <w:sz w:val="20"/>
                <w:szCs w:val="20"/>
                <w:color w:val="auto"/>
              </w:rPr>
            </w:pPr>
            <w:r>
              <w:rPr>
                <w:rFonts w:ascii="Arial" w:cs="Arial" w:eastAsia="Arial" w:hAnsi="Arial"/>
                <w:sz w:val="18"/>
                <w:szCs w:val="18"/>
                <w:color w:val="auto"/>
              </w:rPr>
              <w:t>Total marketable securities</w:t>
            </w:r>
          </w:p>
        </w:tc>
        <w:tc>
          <w:tcPr>
            <w:tcW w:w="9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720" w:right="160" w:hanging="551"/>
        <w:spacing w:after="0" w:line="277" w:lineRule="auto"/>
        <w:tabs>
          <w:tab w:leader="none" w:pos="172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—Securities available for sale include obligations with various contractual maturity dates some of which are greater than</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The Company considers the securities to be liquid and convertible to cash within 30 days.</w:t>
      </w:r>
    </w:p>
    <w:p>
      <w:pPr>
        <w:spacing w:after="0" w:line="58" w:lineRule="exact"/>
        <w:rPr>
          <w:rFonts w:ascii="Arial" w:cs="Arial" w:eastAsia="Arial" w:hAnsi="Arial"/>
          <w:sz w:val="18"/>
          <w:szCs w:val="18"/>
          <w:i w:val="1"/>
          <w:iCs w:val="1"/>
          <w:color w:val="auto"/>
        </w:rPr>
      </w:pPr>
    </w:p>
    <w:p>
      <w:pPr>
        <w:ind w:left="820" w:hanging="223"/>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-470535</wp:posOffset>
            </wp:positionV>
            <wp:extent cx="13208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0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On April 28, 2017, the Company declared a cash dividend of $0.22 per share (approximately $13.3 million) on each share of the Company’s common stock (not including outstanding restricted stock which will accrue dividends until the shares vest) to stockholders of record on May 18, 2017 to be paid on June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heading “Risk Factors” contained in our annual report on Form 10-K for the Company’s fiscal year ended December 29, 2016. The following discussion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and analysis should be read in conjunction with the unaudited Condensed Consolidated Financial Statements and notes thereto included herein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audited financial statements and other disclosure included in our annual report on Form 10-K for the Company’s fiscal year ended December 29, 2016.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following discussion and analysis, the term net income refers to net income attributable to NCM, Inc.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555"/>
        <w:spacing w:after="0" w:line="269" w:lineRule="auto"/>
        <w:rPr>
          <w:sz w:val="20"/>
          <w:szCs w:val="20"/>
          <w:color w:val="auto"/>
        </w:rPr>
      </w:pPr>
      <w:r>
        <w:rPr>
          <w:rFonts w:ascii="Arial" w:cs="Arial" w:eastAsia="Arial" w:hAnsi="Arial"/>
          <w:sz w:val="17"/>
          <w:szCs w:val="17"/>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our cinema advertising and entertainment pre-show seen on movie screens across the U.S. We also sell advertising on our LEN, a series of strategically-placed screens located in movie theater lobbies, as well as other forms of advertising and promotions in theater lobbies. In addition, we sell online and mobile advertising through our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digital product to reach entertainment audiences beyond the theater. We have long-term ESAs (approximately 20 years remaining as of March 30, 2017) with the founding members and multi-year agreements with our network affiliates, which expire at various dates between July 14, 2017 and July 22, 2031. The weighted average remaining term (based on attendance) of the ESAs and the network affiliate agreements is 17.6 years as of March 30, 2017. The ESAs and network affiliate agreements grant NCM LLC exclusive rights in their theaters to sell advertising, subject to limited exceptions.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and LEN programming are distributed predominantly via satellite through our proprietary DCN. Approximately 97% of the aggregate founding member and network affiliate theater attendance is generated by theaters connected to our DCN (the remaining screens receive advertisements on USB drives) and 100%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projected on digital projectors (90% digital cinema projectors and 10% LCD projectors) as of March 30, 2017.</w:t>
      </w:r>
    </w:p>
    <w:p>
      <w:pPr>
        <w:spacing w:after="0" w:line="72"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officers to discuss and analyze operating results and address significant variances to budget and prior year in an effort to identify trends and changes in our business. We focus on operating metrics including changes in revenue, OIBDA, Adjusted OIBDA and Adjusted OIBDA margin, as defined and discussed below, as some of our primary measurement metrics. In addition, we monitor our monthly advertising performance measurements, including advertising inventory utilization, national and local and regional advertising pricing (CPM), local and regional advertising rate per screen per week, local and regional and total advertising revenue per attendee. We also monitor free cash flow, the dividend coverage ratio, financial leverage ratio (net debt divided by Adjusted OIBDA), cash balances and revolving credit facility availability to ensure debt covenant compliance and that there is adequate cash availability to fund our working capital needs and debt obligations and current and future dividends declared by our Board of Directors.</w:t>
      </w:r>
    </w:p>
    <w:p>
      <w:pPr>
        <w:spacing w:after="0" w:line="70" w:lineRule="exact"/>
        <w:rPr>
          <w:sz w:val="20"/>
          <w:szCs w:val="20"/>
          <w:color w:val="auto"/>
        </w:rPr>
      </w:pPr>
    </w:p>
    <w:p>
      <w:pPr>
        <w:ind w:right="620" w:firstLine="555"/>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February 24, 2017 for our fiscal year ended December 29,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operating data and Adjusted OIBDA (dollars in millions, except share and margin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Q1 2017</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2016</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Q1 2017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 2016</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w:t>
            </w:r>
          </w:p>
        </w:tc>
        <w:tc>
          <w:tcPr>
            <w:tcW w:w="1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Network, administrative and unallocated costs</w:t>
            </w:r>
          </w:p>
        </w:tc>
        <w:tc>
          <w:tcPr>
            <w:tcW w:w="11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30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1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Non-operating expenses</w:t>
            </w:r>
          </w:p>
        </w:tc>
        <w:tc>
          <w:tcPr>
            <w:tcW w:w="1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tax benefit</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interests</w:t>
            </w:r>
          </w:p>
        </w:tc>
        <w:tc>
          <w:tcPr>
            <w:tcW w:w="1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240"/>
              <w:spacing w:after="0"/>
              <w:rPr>
                <w:sz w:val="20"/>
                <w:szCs w:val="20"/>
                <w:color w:val="auto"/>
              </w:rPr>
            </w:pPr>
            <w:r>
              <w:rPr>
                <w:rFonts w:ascii="Arial" w:cs="Arial" w:eastAsia="Arial" w:hAnsi="Arial"/>
                <w:sz w:val="18"/>
                <w:szCs w:val="18"/>
                <w:color w:val="auto"/>
              </w:rPr>
              <w:t>Net loss attributable to NCM, Inc.</w:t>
            </w:r>
          </w:p>
        </w:tc>
        <w:tc>
          <w:tcPr>
            <w:tcW w:w="11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420" w:type="dxa"/>
            <w:vAlign w:val="bottom"/>
          </w:tcPr>
          <w:p>
            <w:pPr>
              <w:jc w:val="right"/>
              <w:ind w:right="1236"/>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00" w:type="dxa"/>
            <w:vAlign w:val="bottom"/>
            <w:vMerge w:val="continue"/>
          </w:tcPr>
          <w:p>
            <w:pPr>
              <w:spacing w:after="0"/>
              <w:rPr>
                <w:sz w:val="22"/>
                <w:szCs w:val="22"/>
                <w:color w:val="auto"/>
              </w:rPr>
            </w:pP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4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loss per NCM, Inc. basic share</w:t>
            </w:r>
          </w:p>
        </w:tc>
        <w:tc>
          <w:tcPr>
            <w:tcW w:w="2540" w:type="dxa"/>
            <w:vAlign w:val="bottom"/>
            <w:gridSpan w:val="2"/>
          </w:tcPr>
          <w:p>
            <w:pPr>
              <w:jc w:val="right"/>
              <w:ind w:right="1236"/>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1120" w:type="dxa"/>
            <w:vAlign w:val="bottom"/>
            <w:gridSpan w:val="2"/>
          </w:tcPr>
          <w:p>
            <w:pPr>
              <w:jc w:val="right"/>
              <w:ind w:right="86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 per NCM, Inc. diluted share</w:t>
            </w:r>
          </w:p>
        </w:tc>
        <w:tc>
          <w:tcPr>
            <w:tcW w:w="2540" w:type="dxa"/>
            <w:vAlign w:val="bottom"/>
            <w:gridSpan w:val="2"/>
            <w:shd w:val="clear" w:color="auto" w:fill="CFF0FC"/>
          </w:tcPr>
          <w:p>
            <w:pPr>
              <w:jc w:val="right"/>
              <w:ind w:right="1236"/>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(0.08)</w:t>
            </w:r>
          </w:p>
        </w:tc>
        <w:tc>
          <w:tcPr>
            <w:tcW w:w="1120" w:type="dxa"/>
            <w:vAlign w:val="bottom"/>
            <w:gridSpan w:val="2"/>
            <w:shd w:val="clear" w:color="auto" w:fill="CFF0FC"/>
          </w:tcPr>
          <w:p>
            <w:pPr>
              <w:jc w:val="right"/>
              <w:ind w:right="86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(0.07)</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Adjusted OIBDA</w:t>
            </w:r>
          </w:p>
        </w:tc>
        <w:tc>
          <w:tcPr>
            <w:tcW w:w="2540" w:type="dxa"/>
            <w:vAlign w:val="bottom"/>
            <w:gridSpan w:val="2"/>
            <w:shd w:val="clear" w:color="auto" w:fill="CFF0FC"/>
          </w:tcPr>
          <w:p>
            <w:pPr>
              <w:jc w:val="right"/>
              <w:ind w:right="1236"/>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66"/>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Adjusted OIBDA margin</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172.3</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right="140" w:hanging="552"/>
        <w:spacing w:after="0" w:line="308" w:lineRule="auto"/>
        <w:tabs>
          <w:tab w:leader="none" w:pos="560" w:val="left"/>
        </w:tabs>
        <w:numPr>
          <w:ilvl w:val="0"/>
          <w:numId w:val="11"/>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0375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555"/>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 based compensation costs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CEO turnover,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or costs associated with the resignation of the Company’s former Chief Executive Officer.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ind w:left="5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jc w:val="right"/>
              <w:ind w:right="166"/>
              <w:spacing w:after="0"/>
              <w:rPr>
                <w:sz w:val="20"/>
                <w:szCs w:val="20"/>
                <w:color w:val="auto"/>
              </w:rPr>
            </w:pPr>
            <w:r>
              <w:rPr>
                <w:rFonts w:ascii="Arial" w:cs="Arial" w:eastAsia="Arial" w:hAnsi="Arial"/>
                <w:sz w:val="14"/>
                <w:szCs w:val="14"/>
                <w:b w:val="1"/>
                <w:bCs w:val="1"/>
                <w:color w:val="auto"/>
              </w:rPr>
              <w:t>Q1 2017</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Q1 2016</w:t>
            </w:r>
          </w:p>
        </w:tc>
      </w:tr>
      <w:tr>
        <w:trPr>
          <w:trHeight w:val="223"/>
        </w:trPr>
        <w:tc>
          <w:tcPr>
            <w:tcW w:w="434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Operating income</w:t>
            </w:r>
          </w:p>
        </w:tc>
        <w:tc>
          <w:tcPr>
            <w:tcW w:w="1740" w:type="dxa"/>
            <w:vAlign w:val="bottom"/>
            <w:tcBorders>
              <w:top w:val="single" w:sz="8" w:color="CFF2FA"/>
            </w:tcBorders>
            <w:shd w:val="clear" w:color="auto" w:fill="CFF2FA"/>
          </w:tcPr>
          <w:p>
            <w:pPr>
              <w:spacing w:after="0"/>
              <w:rPr>
                <w:sz w:val="19"/>
                <w:szCs w:val="19"/>
                <w:color w:val="auto"/>
              </w:rPr>
            </w:pPr>
          </w:p>
        </w:tc>
        <w:tc>
          <w:tcPr>
            <w:tcW w:w="1540" w:type="dxa"/>
            <w:vAlign w:val="bottom"/>
            <w:tcBorders>
              <w:top w:val="single" w:sz="8" w:color="auto"/>
            </w:tcBorders>
            <w:shd w:val="clear" w:color="auto" w:fill="CFF2FA"/>
          </w:tcPr>
          <w:p>
            <w:pPr>
              <w:jc w:val="right"/>
              <w:ind w:right="138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300" w:type="dxa"/>
            <w:vAlign w:val="bottom"/>
            <w:tcBorders>
              <w:top w:val="single" w:sz="8" w:color="auto"/>
            </w:tcBorders>
            <w:shd w:val="clear" w:color="auto" w:fill="CFF2FA"/>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top w:val="single" w:sz="8" w:color="CFF2FA"/>
            </w:tcBorders>
            <w:shd w:val="clear" w:color="auto" w:fill="CFF2FA"/>
          </w:tcPr>
          <w:p>
            <w:pPr>
              <w:spacing w:after="0"/>
              <w:rPr>
                <w:sz w:val="19"/>
                <w:szCs w:val="19"/>
                <w:color w:val="auto"/>
              </w:rPr>
            </w:pPr>
          </w:p>
        </w:tc>
      </w:tr>
      <w:tr>
        <w:trPr>
          <w:trHeight w:val="230"/>
        </w:trPr>
        <w:tc>
          <w:tcPr>
            <w:tcW w:w="434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Depreciation and amortization</w:t>
            </w:r>
          </w:p>
        </w:tc>
        <w:tc>
          <w:tcPr>
            <w:tcW w:w="1740" w:type="dxa"/>
            <w:vAlign w:val="bottom"/>
            <w:tcBorders>
              <w:bottom w:val="single" w:sz="8" w:color="CFF2FA"/>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CFF2FA"/>
            </w:tcBorders>
          </w:tcPr>
          <w:p>
            <w:pPr>
              <w:spacing w:after="0"/>
              <w:rPr>
                <w:sz w:val="19"/>
                <w:szCs w:val="19"/>
                <w:color w:val="auto"/>
              </w:rPr>
            </w:pPr>
          </w:p>
        </w:tc>
      </w:tr>
      <w:tr>
        <w:trPr>
          <w:trHeight w:val="223"/>
        </w:trPr>
        <w:tc>
          <w:tcPr>
            <w:tcW w:w="4340" w:type="dxa"/>
            <w:vAlign w:val="bottom"/>
            <w:shd w:val="clear" w:color="auto" w:fill="CFF2FA"/>
          </w:tcPr>
          <w:p>
            <w:pPr>
              <w:ind w:left="240"/>
              <w:spacing w:after="0"/>
              <w:rPr>
                <w:sz w:val="20"/>
                <w:szCs w:val="20"/>
                <w:color w:val="auto"/>
              </w:rPr>
            </w:pPr>
            <w:r>
              <w:rPr>
                <w:rFonts w:ascii="Arial" w:cs="Arial" w:eastAsia="Arial" w:hAnsi="Arial"/>
                <w:sz w:val="18"/>
                <w:szCs w:val="18"/>
                <w:color w:val="auto"/>
              </w:rPr>
              <w:t>OIBDA</w:t>
            </w:r>
          </w:p>
        </w:tc>
        <w:tc>
          <w:tcPr>
            <w:tcW w:w="1740" w:type="dxa"/>
            <w:vAlign w:val="bottom"/>
            <w:shd w:val="clear" w:color="auto" w:fill="CFF2FA"/>
          </w:tcPr>
          <w:p>
            <w:pPr>
              <w:spacing w:after="0"/>
              <w:rPr>
                <w:sz w:val="19"/>
                <w:szCs w:val="19"/>
                <w:color w:val="auto"/>
              </w:rPr>
            </w:pPr>
          </w:p>
        </w:tc>
        <w:tc>
          <w:tcPr>
            <w:tcW w:w="1540" w:type="dxa"/>
            <w:vAlign w:val="bottom"/>
            <w:shd w:val="clear" w:color="auto" w:fill="CFF2FA"/>
          </w:tcPr>
          <w:p>
            <w:pPr>
              <w:jc w:val="right"/>
              <w:ind w:right="13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300" w:type="dxa"/>
            <w:vAlign w:val="bottom"/>
            <w:shd w:val="clear" w:color="auto" w:fill="CFF2FA"/>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FF2FA"/>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r>
      <w:tr>
        <w:trPr>
          <w:trHeight w:val="230"/>
        </w:trPr>
        <w:tc>
          <w:tcPr>
            <w:tcW w:w="4340" w:type="dxa"/>
            <w:vAlign w:val="bottom"/>
            <w:shd w:val="clear" w:color="auto" w:fill="CFF2FA"/>
          </w:tcPr>
          <w:p>
            <w:pPr>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(2)</w:t>
            </w:r>
          </w:p>
        </w:tc>
        <w:tc>
          <w:tcPr>
            <w:tcW w:w="1740" w:type="dxa"/>
            <w:vAlign w:val="bottom"/>
            <w:shd w:val="clear" w:color="auto" w:fill="CFF2FA"/>
          </w:tcPr>
          <w:p>
            <w:pPr>
              <w:spacing w:after="0"/>
              <w:rPr>
                <w:sz w:val="19"/>
                <w:szCs w:val="19"/>
                <w:color w:val="auto"/>
              </w:rPr>
            </w:pPr>
          </w:p>
        </w:tc>
        <w:tc>
          <w:tcPr>
            <w:tcW w:w="1540" w:type="dxa"/>
            <w:vAlign w:val="bottom"/>
            <w:tcBorders>
              <w:bottom w:val="single" w:sz="8" w:color="auto"/>
            </w:tcBorders>
            <w:shd w:val="clear" w:color="auto" w:fill="CFF2FA"/>
          </w:tcPr>
          <w:p>
            <w:pPr>
              <w:spacing w:after="0"/>
              <w:rPr>
                <w:sz w:val="19"/>
                <w:szCs w:val="19"/>
                <w:color w:val="auto"/>
              </w:rPr>
            </w:pPr>
          </w:p>
        </w:tc>
        <w:tc>
          <w:tcPr>
            <w:tcW w:w="5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300" w:type="dxa"/>
            <w:vAlign w:val="bottom"/>
            <w:tcBorders>
              <w:bottom w:val="single" w:sz="8" w:color="auto"/>
            </w:tcBorders>
            <w:shd w:val="clear" w:color="auto" w:fill="CFF2FA"/>
          </w:tcPr>
          <w:p>
            <w:pPr>
              <w:spacing w:after="0"/>
              <w:rPr>
                <w:sz w:val="19"/>
                <w:szCs w:val="19"/>
                <w:color w:val="auto"/>
              </w:rPr>
            </w:pPr>
          </w:p>
        </w:tc>
        <w:tc>
          <w:tcPr>
            <w:tcW w:w="12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2FA"/>
          </w:tcPr>
          <w:p>
            <w:pPr>
              <w:spacing w:after="0"/>
              <w:rPr>
                <w:sz w:val="19"/>
                <w:szCs w:val="19"/>
                <w:color w:val="auto"/>
              </w:rPr>
            </w:pPr>
          </w:p>
        </w:tc>
      </w:tr>
      <w:tr>
        <w:trPr>
          <w:trHeight w:val="223"/>
        </w:trPr>
        <w:tc>
          <w:tcPr>
            <w:tcW w:w="4340" w:type="dxa"/>
            <w:vAlign w:val="bottom"/>
          </w:tcPr>
          <w:p>
            <w:pPr>
              <w:ind w:left="240"/>
              <w:spacing w:after="0"/>
              <w:rPr>
                <w:sz w:val="20"/>
                <w:szCs w:val="20"/>
                <w:color w:val="auto"/>
              </w:rPr>
            </w:pPr>
            <w:r>
              <w:rPr>
                <w:rFonts w:ascii="Arial" w:cs="Arial" w:eastAsia="Arial" w:hAnsi="Arial"/>
                <w:sz w:val="18"/>
                <w:szCs w:val="18"/>
                <w:color w:val="auto"/>
              </w:rPr>
              <w:t>Adjusted OIBDA</w:t>
            </w:r>
          </w:p>
        </w:tc>
        <w:tc>
          <w:tcPr>
            <w:tcW w:w="1740" w:type="dxa"/>
            <w:vAlign w:val="bottom"/>
          </w:tcPr>
          <w:p>
            <w:pPr>
              <w:spacing w:after="0"/>
              <w:rPr>
                <w:sz w:val="19"/>
                <w:szCs w:val="19"/>
                <w:color w:val="auto"/>
              </w:rPr>
            </w:pPr>
          </w:p>
        </w:tc>
        <w:tc>
          <w:tcPr>
            <w:tcW w:w="1540" w:type="dxa"/>
            <w:vAlign w:val="bottom"/>
          </w:tcPr>
          <w:p>
            <w:pPr>
              <w:jc w:val="right"/>
              <w:ind w:right="138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9"/>
                <w:szCs w:val="19"/>
                <w:color w:val="auto"/>
              </w:rPr>
            </w:pPr>
          </w:p>
        </w:tc>
      </w:tr>
      <w:tr>
        <w:trPr>
          <w:trHeight w:val="230"/>
        </w:trPr>
        <w:tc>
          <w:tcPr>
            <w:tcW w:w="4340" w:type="dxa"/>
            <w:vAlign w:val="bottom"/>
            <w:shd w:val="clear" w:color="auto" w:fill="CFF2FA"/>
          </w:tcPr>
          <w:p>
            <w:pPr>
              <w:spacing w:after="0"/>
              <w:rPr>
                <w:sz w:val="20"/>
                <w:szCs w:val="20"/>
                <w:color w:val="auto"/>
              </w:rPr>
            </w:pPr>
            <w:r>
              <w:rPr>
                <w:rFonts w:ascii="Arial" w:cs="Arial" w:eastAsia="Arial" w:hAnsi="Arial"/>
                <w:sz w:val="18"/>
                <w:szCs w:val="18"/>
                <w:color w:val="auto"/>
              </w:rPr>
              <w:t>Total revenue</w:t>
            </w:r>
          </w:p>
        </w:tc>
        <w:tc>
          <w:tcPr>
            <w:tcW w:w="3280" w:type="dxa"/>
            <w:vAlign w:val="bottom"/>
            <w:gridSpan w:val="2"/>
            <w:shd w:val="clear" w:color="auto" w:fill="CFF2FA"/>
          </w:tcPr>
          <w:p>
            <w:pPr>
              <w:jc w:val="right"/>
              <w:ind w:right="138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FF2FA"/>
          </w:tcPr>
          <w:p>
            <w:pPr>
              <w:spacing w:after="0"/>
              <w:rPr>
                <w:sz w:val="19"/>
                <w:szCs w:val="19"/>
                <w:color w:val="auto"/>
              </w:rPr>
            </w:pPr>
          </w:p>
        </w:tc>
        <w:tc>
          <w:tcPr>
            <w:tcW w:w="400" w:type="dxa"/>
            <w:vAlign w:val="bottom"/>
            <w:gridSpan w:val="2"/>
            <w:shd w:val="clear" w:color="auto" w:fill="CFF2FA"/>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CFF2FA"/>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Adjusted OIBDA margin</w:t>
            </w:r>
          </w:p>
        </w:tc>
        <w:tc>
          <w:tcPr>
            <w:tcW w:w="1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r>
    </w:tbl>
    <w:p>
      <w:pPr>
        <w:spacing w:after="0" w:line="133" w:lineRule="exact"/>
        <w:rPr>
          <w:sz w:val="20"/>
          <w:szCs w:val="20"/>
          <w:color w:val="auto"/>
        </w:rPr>
      </w:pPr>
    </w:p>
    <w:p>
      <w:pPr>
        <w:ind w:left="1120" w:right="60" w:hanging="558"/>
        <w:spacing w:after="0" w:line="256" w:lineRule="auto"/>
        <w:tabs>
          <w:tab w:leader="none" w:pos="11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(includes $2.3 million of expense associated with modifying the former CEO’s equity awards in the first quarter of 2016) in the accompanying unaudited Condensed Consolidated Financial Statements.</w:t>
      </w:r>
    </w:p>
    <w:p>
      <w:pPr>
        <w:ind w:left="1120" w:hanging="558"/>
        <w:spacing w:after="0"/>
        <w:tabs>
          <w:tab w:leader="none" w:pos="11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represent severance, consulting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-551180</wp:posOffset>
            </wp:positionV>
            <wp:extent cx="17151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The results of operations data for the three months ended March 30, 2017 (first quarter of 2017) and March 31, 2016 (first quarter of 2016) was derived from the unaudited Condensed Consolidated Financial Statements and accounting records of NCM, Inc. and should be read in conjunction with the notes thereto.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2017 and First Quarter of 2016</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5.6%, from $76.2 million for the first quarter of 2016 to $71.9 million for the first quarter of 2017. The following is</w:t>
      </w:r>
      <w:r>
        <w:rPr>
          <w:rFonts w:ascii="Arial" w:cs="Arial" w:eastAsia="Arial" w:hAnsi="Arial"/>
          <w:sz w:val="18"/>
          <w:szCs w:val="18"/>
          <w:i w:val="1"/>
          <w:iCs w:val="1"/>
          <w:color w:val="auto"/>
        </w:rPr>
        <w:t xml:space="preserve"> </w:t>
      </w:r>
      <w:r>
        <w:rPr>
          <w:rFonts w:ascii="Arial" w:cs="Arial" w:eastAsia="Arial" w:hAnsi="Arial"/>
          <w:sz w:val="18"/>
          <w:szCs w:val="18"/>
          <w:color w:val="auto"/>
        </w:rPr>
        <w:t>a summary of revenue by category (in millions):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2017</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Q1 2016</w:t>
            </w:r>
          </w:p>
        </w:tc>
        <w:tc>
          <w:tcPr>
            <w:tcW w:w="22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8"/>
              <w:spacing w:after="0" w:line="133" w:lineRule="exact"/>
              <w:rPr>
                <w:sz w:val="20"/>
                <w:szCs w:val="20"/>
                <w:color w:val="auto"/>
              </w:rPr>
            </w:pPr>
            <w:r>
              <w:rPr>
                <w:rFonts w:ascii="Arial" w:cs="Arial" w:eastAsia="Arial" w:hAnsi="Arial"/>
                <w:sz w:val="14"/>
                <w:szCs w:val="14"/>
                <w:b w:val="1"/>
                <w:bCs w:val="1"/>
                <w:color w:val="auto"/>
                <w:w w:val="93"/>
              </w:rPr>
              <w:t>Q1 2017 to</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Q1 2017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Q1 2016</w:t>
            </w:r>
          </w:p>
        </w:tc>
        <w:tc>
          <w:tcPr>
            <w:tcW w:w="2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 2016</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beverage concessionaire agreements</w:t>
            </w:r>
          </w:p>
        </w:tc>
        <w:tc>
          <w:tcPr>
            <w:tcW w:w="8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71.9</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data on theater attendance and revenue per attendee for the first quarter of 2017 and the first quarter of 2016:</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Q1 2017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Q1 2016</w:t>
            </w:r>
          </w:p>
        </w:tc>
        <w:tc>
          <w:tcPr>
            <w:tcW w:w="200" w:type="dxa"/>
            <w:vAlign w:val="bottom"/>
            <w:vMerge w:val="restart"/>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Q1 2017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2016</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0.291</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0.105</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0.109</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member beverage revenue) per attendee</w:t>
            </w:r>
          </w:p>
        </w:tc>
        <w:tc>
          <w:tcPr>
            <w:tcW w:w="8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0.350</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0.400</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0.396</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0.442</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1700" w:right="580" w:hanging="558"/>
        <w:spacing w:after="0" w:line="264" w:lineRule="auto"/>
        <w:tabs>
          <w:tab w:leader="none" w:pos="170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-432435</wp:posOffset>
            </wp:positionV>
            <wp:extent cx="13379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left="560"/>
        <w:spacing w:after="0" w:line="284"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$5.8 million, or 11.6%, decrease in national advertising revenue (excluding beverage revenue from the founding members) was due primarily to a 13.7% decrease in national advertising CPMs (excluding beverage) in the first quarter of 2017, compared to the first quarter of 2016. The decrease in national advertising CPMs was due primarily to lower CPMs on upfront commitments, including content partners, year over year due to the timing and mix of spending by these advertisers. National advertising revenue also declined due to a 1.3% decrease in impressions sold, which resulted in a decrease in national inventory utilization from 81.3% for the first quarter of 2016 to 76.2% for the first quarter of 2017 on a 5.3% increase in network attendance. Inventory utilization is calculated as utilized impressions divided by total advertising impressions, which is based on eleven 30-second salable national advertising units in our pre-show, which can be expanded, should market demand</w:t>
      </w:r>
    </w:p>
    <w:p>
      <w:pPr>
        <w:spacing w:after="0" w:line="3" w:lineRule="exact"/>
        <w:rPr>
          <w:sz w:val="20"/>
          <w:szCs w:val="20"/>
          <w:color w:val="auto"/>
        </w:rPr>
      </w:pPr>
    </w:p>
    <w:p>
      <w:pPr>
        <w:ind w:left="560" w:right="60"/>
        <w:spacing w:after="0" w:line="254" w:lineRule="auto"/>
        <w:rPr>
          <w:sz w:val="20"/>
          <w:szCs w:val="20"/>
          <w:color w:val="auto"/>
        </w:rPr>
      </w:pPr>
      <w:r>
        <w:rPr>
          <w:rFonts w:ascii="Arial" w:cs="Arial" w:eastAsia="Arial" w:hAnsi="Arial"/>
          <w:sz w:val="18"/>
          <w:szCs w:val="18"/>
          <w:color w:val="auto"/>
        </w:rPr>
        <w:t>dictate. Impressions sold decreased due to lower demand in the scatter market, partially offset by higher content partner spending, during the first quarter of 2017, compared to the first quarter of 2016. The largest decrease in revenue came from automotive and entertainment customers, which are typically our two largest advertiser categories. These decreases to revenue were partially offset by a 2.1% increase in online, mobile and other revenue not included in the inventory measured by impressions sold or CPMs.</w:t>
      </w:r>
    </w:p>
    <w:p>
      <w:pPr>
        <w:spacing w:after="0" w:line="82"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$0.3 million increase, or 1.6%, increase in local and regional advertising revenue was primarily driven by an increase in revenue from contracts greater than $100,000, whereby they had a 5.3% increase in contract volume and a 4.8% decrease in average contract value for the first quarter of 2017, compared to the first quarter of 2016, as well as, higher online and mobile revenue during the first quarter of 2017, compared to the first quarter of 2016.</w:t>
      </w:r>
    </w:p>
    <w:p>
      <w:pPr>
        <w:spacing w:after="0" w:line="79" w:lineRule="exact"/>
        <w:rPr>
          <w:sz w:val="20"/>
          <w:szCs w:val="20"/>
          <w:color w:val="auto"/>
        </w:rPr>
      </w:pPr>
    </w:p>
    <w:p>
      <w:pPr>
        <w:ind w:left="560" w:right="26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$1.2 million, or 16.7%, increase in national advertising revenue from the founding members’ beverage concessionaire agreements was due to a 10.2% increase in beverage revenue CPMs and a 3.4% increase in founding member attendance in the first quarter of 2017, compared to the first quarter of 2016. The 2017 beverage revenue CPM is based on the change in CPM during segment one of the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pre-show from 2016 to 2017, which increased 10.2%.</w:t>
      </w:r>
    </w:p>
    <w:p>
      <w:pPr>
        <w:spacing w:after="0" w:line="187" w:lineRule="exact"/>
        <w:rPr>
          <w:sz w:val="20"/>
          <w:szCs w:val="20"/>
          <w:color w:val="auto"/>
        </w:rPr>
      </w:pPr>
    </w:p>
    <w:p>
      <w:pPr>
        <w:ind w:right="40" w:firstLine="555"/>
        <w:spacing w:after="0" w:line="329"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decreased $3.6 million, or 5.1%, from $70.4 million for the first quarter of 2016 to $66.8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2017. The following table shows the changes in operating expense for the first quarter of 2017 and the first quarter of 2016 (in millions):</w:t>
      </w:r>
    </w:p>
    <w:tbl>
      <w:tblPr>
        <w:tblLayout w:type="fixed"/>
        <w:tblInd w:w="58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left="227"/>
              <w:spacing w:after="0"/>
              <w:rPr>
                <w:sz w:val="20"/>
                <w:szCs w:val="20"/>
                <w:color w:val="auto"/>
              </w:rPr>
            </w:pPr>
            <w:r>
              <w:rPr>
                <w:rFonts w:ascii="Arial" w:cs="Arial" w:eastAsia="Arial" w:hAnsi="Arial"/>
                <w:sz w:val="14"/>
                <w:szCs w:val="14"/>
                <w:b w:val="1"/>
                <w:bCs w:val="1"/>
                <w:color w:val="auto"/>
                <w:w w:val="91"/>
              </w:rPr>
              <w:t>$ Change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2017</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2016</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top w:val="single" w:sz="8" w:color="auto"/>
            </w:tcBorders>
          </w:tcPr>
          <w:p>
            <w:pPr>
              <w:jc w:val="center"/>
              <w:ind w:left="227"/>
              <w:spacing w:after="0" w:line="133" w:lineRule="exact"/>
              <w:rPr>
                <w:sz w:val="20"/>
                <w:szCs w:val="20"/>
                <w:color w:val="auto"/>
              </w:rPr>
            </w:pPr>
            <w:r>
              <w:rPr>
                <w:rFonts w:ascii="Arial" w:cs="Arial" w:eastAsia="Arial" w:hAnsi="Arial"/>
                <w:sz w:val="14"/>
                <w:szCs w:val="14"/>
                <w:b w:val="1"/>
                <w:bCs w:val="1"/>
                <w:color w:val="auto"/>
                <w:w w:val="93"/>
              </w:rPr>
              <w:t>Q1 2017 to</w:t>
            </w:r>
          </w:p>
        </w:tc>
        <w:tc>
          <w:tcPr>
            <w:tcW w:w="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Q1 2017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ind w:left="227"/>
              <w:spacing w:after="0"/>
              <w:rPr>
                <w:sz w:val="20"/>
                <w:szCs w:val="20"/>
                <w:color w:val="auto"/>
              </w:rPr>
            </w:pPr>
            <w:r>
              <w:rPr>
                <w:rFonts w:ascii="Arial" w:cs="Arial" w:eastAsia="Arial" w:hAnsi="Arial"/>
                <w:sz w:val="14"/>
                <w:szCs w:val="14"/>
                <w:b w:val="1"/>
                <w:bCs w:val="1"/>
                <w:color w:val="auto"/>
                <w:w w:val="93"/>
              </w:rPr>
              <w:t>Q1 2016</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2016</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Network costs</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Theater access fees—founding members</w:t>
            </w: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20.6</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18.7</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18.1</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18.6</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14.9</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66.8</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70.4</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remained consistent at $5.0 million for the first quarter of 2016 and the first quarter of 2017.</w:t>
      </w:r>
    </w:p>
    <w:p>
      <w:pPr>
        <w:spacing w:after="0" w:line="140" w:lineRule="exact"/>
        <w:rPr>
          <w:sz w:val="20"/>
          <w:szCs w:val="20"/>
          <w:color w:val="auto"/>
        </w:rPr>
      </w:pPr>
    </w:p>
    <w:p>
      <w:pPr>
        <w:ind w:left="560" w:right="80"/>
        <w:spacing w:after="0" w:line="264"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$0.3 million, or 6.7%, from $4.5 million for the first quarter of 2016 to $4.2 million for the first quarter of 2017. This decrease was primarily the result of a $0.3 million decrease in personnel related expenses due primarily to lower bonus expense and lower non-cash share-based compensation expense related to lower performance against targets.</w:t>
      </w:r>
    </w:p>
    <w:p>
      <w:pPr>
        <w:spacing w:after="0" w:line="73" w:lineRule="exact"/>
        <w:rPr>
          <w:sz w:val="20"/>
          <w:szCs w:val="20"/>
          <w:color w:val="auto"/>
        </w:rPr>
      </w:pPr>
    </w:p>
    <w:p>
      <w:pPr>
        <w:ind w:left="560" w:right="20"/>
        <w:spacing w:after="0" w:line="272" w:lineRule="auto"/>
        <w:rPr>
          <w:sz w:val="20"/>
          <w:szCs w:val="20"/>
          <w:color w:val="auto"/>
        </w:rPr>
      </w:pPr>
      <w:r>
        <w:rPr>
          <w:rFonts w:ascii="Arial" w:cs="Arial" w:eastAsia="Arial" w:hAnsi="Arial"/>
          <w:sz w:val="17"/>
          <w:szCs w:val="17"/>
          <w:u w:val="single" w:color="auto"/>
          <w:color w:val="auto"/>
        </w:rPr>
        <w:t>Theater access fees—founding members.</w:t>
      </w:r>
      <w:r>
        <w:rPr>
          <w:rFonts w:ascii="Arial" w:cs="Arial" w:eastAsia="Arial" w:hAnsi="Arial"/>
          <w:sz w:val="17"/>
          <w:szCs w:val="17"/>
          <w:color w:val="auto"/>
        </w:rPr>
        <w:t xml:space="preserve"> Theater access fees increased $1.9 million, or 10.2%, from $18.7 million in the first quarter of 2016 to $20.6 million in the first quarter of 2017. The increase was due to a $1.5 million increase in the fee associated with founding member attendance and a $0.4 million increase in the fee associated with the founding member digital screens that are connected to the DCN, including higher quality digital cinema projectors and related equipment. The $1.5 million increase in theater access fees based upon attendance increased $0.9 million due to a contractual 8% increase (the payment per patron rate increase occurs every five years with this increase taking place in 2017) and $0.6 million due to a 3.4% increase in founding member attendance during the first quarter of 2017, compared to the first quarter of 2016. The $0.4 million increase in digital screen fees increased primarily due to an annual 5% increase specified in the ESAs.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left="560" w:right="40"/>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decreased $0.5 million, or 2.7%, from $18.6 million for the first quarter of 2016 to $18.1 million for the first quarter of 2017. This decrease was primarily due to 1) a decrease of $1.1 million in personnel related expenses due primarily to lower bonus expense and lower non-cash share-based compensation expense related to lower performance against targets and 2) a decrease of $0.6 million in non-cash barter expense related to the nature and timing of these expenses. These decreases to selling and marketing costs were partially offset by a $1.4 million non-cash impairment charge recorded during the first quarter of 2017 on an investment obtained in prior years in exchange for advertising services.</w:t>
      </w:r>
    </w:p>
    <w:p>
      <w:pPr>
        <w:spacing w:after="0" w:line="85" w:lineRule="exact"/>
        <w:rPr>
          <w:sz w:val="20"/>
          <w:szCs w:val="20"/>
          <w:color w:val="auto"/>
        </w:rPr>
      </w:pPr>
    </w:p>
    <w:p>
      <w:pPr>
        <w:ind w:left="560" w:right="100"/>
        <w:spacing w:after="0" w:line="297"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decreased $5.6 million, or 37.6%, from $14.9 million for the first quarter of 2016 to $9.3 million for the first quarter of 2017 due primarily to 1) $2.7 million lower CEO transition costs because of severance expense that occurred during the first quarter of 2016 and 2) $2.3 million of expense related to the modification of the former CEO’s equity awards that occurred during the first quarter of 2016. In addition, personnel related expenses decreased approximately $0.8 million during the first quarter of 2017, compared to the first quarter of 2016 due to lower bonus expense and lower non-cash share-based compensation expense related to lower performance against targets.</w:t>
      </w:r>
    </w:p>
    <w:p>
      <w:pPr>
        <w:spacing w:after="0" w:line="50" w:lineRule="exact"/>
        <w:rPr>
          <w:sz w:val="20"/>
          <w:szCs w:val="20"/>
          <w:color w:val="auto"/>
        </w:rPr>
      </w:pPr>
    </w:p>
    <w:p>
      <w:pPr>
        <w:ind w:left="560" w:right="20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$0.9 million, or 10.3%, from $8.7 million for the first quarter of 2016 to $9.6 million for the first quarter of 2017 primarily due to an increase in depreciation expense as more assets were placed into service and an increase in amortization expense of intangible assets related primarily to common membership units issued to the founding members during the last year.</w:t>
      </w:r>
    </w:p>
    <w:p>
      <w:pPr>
        <w:spacing w:after="0" w:line="79"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decreased $0.3 million, or 1.8%, from $16.4 million for the first quarter of 2016 to $16.1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first quarter of 2017. The following table shows the changes in non-operating expense for the first quarter of 2017 and the first quarter of 2016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2017</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Q1 2016</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57"/>
              <w:spacing w:after="0" w:line="133" w:lineRule="exact"/>
              <w:rPr>
                <w:sz w:val="20"/>
                <w:szCs w:val="20"/>
                <w:color w:val="auto"/>
              </w:rPr>
            </w:pPr>
            <w:r>
              <w:rPr>
                <w:rFonts w:ascii="Arial" w:cs="Arial" w:eastAsia="Arial" w:hAnsi="Arial"/>
                <w:sz w:val="14"/>
                <w:szCs w:val="14"/>
                <w:b w:val="1"/>
                <w:bCs w:val="1"/>
                <w:color w:val="auto"/>
                <w:w w:val="93"/>
              </w:rPr>
              <w:t>Q1 2017 to</w:t>
            </w:r>
          </w:p>
        </w:tc>
        <w:tc>
          <w:tcPr>
            <w:tcW w:w="200" w:type="dxa"/>
            <w:vAlign w:val="bottom"/>
          </w:tcPr>
          <w:p>
            <w:pPr>
              <w:spacing w:after="0"/>
              <w:rPr>
                <w:sz w:val="11"/>
                <w:szCs w:val="11"/>
                <w:color w:val="auto"/>
              </w:rPr>
            </w:pPr>
          </w:p>
        </w:tc>
        <w:tc>
          <w:tcPr>
            <w:tcW w:w="13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Q1 2017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00" w:type="dxa"/>
            <w:vAlign w:val="bottom"/>
            <w:tcBorders>
              <w:bottom w:val="single" w:sz="8" w:color="CFF2FA"/>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CFF2FA"/>
            </w:tcBorders>
          </w:tcPr>
          <w:p>
            <w:pPr>
              <w:spacing w:after="0"/>
              <w:rPr>
                <w:sz w:val="14"/>
                <w:szCs w:val="14"/>
                <w:color w:val="auto"/>
              </w:rPr>
            </w:pPr>
          </w:p>
        </w:tc>
        <w:tc>
          <w:tcPr>
            <w:tcW w:w="80" w:type="dxa"/>
            <w:vAlign w:val="bottom"/>
            <w:tcBorders>
              <w:bottom w:val="single" w:sz="8" w:color="CFF2FA"/>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2FA"/>
            </w:tcBorders>
            <w:vMerge w:val="continue"/>
          </w:tcPr>
          <w:p>
            <w:pPr>
              <w:spacing w:after="0"/>
              <w:rPr>
                <w:sz w:val="14"/>
                <w:szCs w:val="14"/>
                <w:color w:val="auto"/>
              </w:rPr>
            </w:pPr>
          </w:p>
        </w:tc>
        <w:tc>
          <w:tcPr>
            <w:tcW w:w="80" w:type="dxa"/>
            <w:vAlign w:val="bottom"/>
            <w:tcBorders>
              <w:bottom w:val="single" w:sz="8" w:color="CFF2FA"/>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Q1 2016</w:t>
            </w:r>
          </w:p>
        </w:tc>
        <w:tc>
          <w:tcPr>
            <w:tcW w:w="200" w:type="dxa"/>
            <w:vAlign w:val="bottom"/>
            <w:tcBorders>
              <w:bottom w:val="single" w:sz="8" w:color="CFF2FA"/>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2016</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2FA"/>
          </w:tcPr>
          <w:p>
            <w:pPr>
              <w:spacing w:after="0"/>
              <w:rPr>
                <w:sz w:val="20"/>
                <w:szCs w:val="20"/>
                <w:color w:val="auto"/>
              </w:rPr>
            </w:pPr>
            <w:r>
              <w:rPr>
                <w:rFonts w:ascii="Arial" w:cs="Arial" w:eastAsia="Arial" w:hAnsi="Arial"/>
                <w:sz w:val="18"/>
                <w:szCs w:val="18"/>
                <w:color w:val="auto"/>
              </w:rPr>
              <w:t>Interest on borrowings</w:t>
            </w:r>
          </w:p>
        </w:tc>
        <w:tc>
          <w:tcPr>
            <w:tcW w:w="960" w:type="dxa"/>
            <w:vAlign w:val="bottom"/>
            <w:shd w:val="clear" w:color="auto" w:fill="CFF2FA"/>
          </w:tcPr>
          <w:p>
            <w:pPr>
              <w:jc w:val="right"/>
              <w:ind w:right="8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w w:val="96"/>
              </w:rPr>
              <w:t>13.2</w:t>
            </w:r>
          </w:p>
        </w:tc>
        <w:tc>
          <w:tcPr>
            <w:tcW w:w="1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40" w:type="dxa"/>
            <w:vAlign w:val="bottom"/>
            <w:shd w:val="clear" w:color="auto" w:fill="CFF2FA"/>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0" w:type="dxa"/>
            <w:vAlign w:val="bottom"/>
            <w:shd w:val="clear" w:color="auto" w:fill="CFF2FA"/>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(0.2)</w:t>
            </w:r>
          </w:p>
        </w:tc>
        <w:tc>
          <w:tcPr>
            <w:tcW w:w="156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5"/>
        </w:trPr>
        <w:tc>
          <w:tcPr>
            <w:tcW w:w="4100" w:type="dxa"/>
            <w:vAlign w:val="bottom"/>
            <w:shd w:val="clear" w:color="auto" w:fill="CFF2FA"/>
          </w:tcPr>
          <w:p>
            <w:pPr>
              <w:spacing w:after="0"/>
              <w:rPr>
                <w:sz w:val="20"/>
                <w:szCs w:val="20"/>
                <w:color w:val="auto"/>
              </w:rPr>
            </w:pPr>
            <w:r>
              <w:rPr>
                <w:rFonts w:ascii="Arial" w:cs="Arial" w:eastAsia="Arial" w:hAnsi="Arial"/>
                <w:sz w:val="18"/>
                <w:szCs w:val="18"/>
                <w:color w:val="auto"/>
              </w:rPr>
              <w:t>Accretion of interest on the discounted</w:t>
            </w:r>
          </w:p>
        </w:tc>
        <w:tc>
          <w:tcPr>
            <w:tcW w:w="96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110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14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32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2FA"/>
          </w:tcPr>
          <w:p>
            <w:pPr>
              <w:ind w:left="140"/>
              <w:spacing w:after="0"/>
              <w:rPr>
                <w:sz w:val="20"/>
                <w:szCs w:val="20"/>
                <w:color w:val="auto"/>
              </w:rPr>
            </w:pPr>
            <w:r>
              <w:rPr>
                <w:rFonts w:ascii="Arial" w:cs="Arial" w:eastAsia="Arial" w:hAnsi="Arial"/>
                <w:sz w:val="18"/>
                <w:szCs w:val="18"/>
                <w:color w:val="auto"/>
              </w:rPr>
              <w:t>payable to founding members under</w:t>
            </w:r>
          </w:p>
        </w:tc>
        <w:tc>
          <w:tcPr>
            <w:tcW w:w="96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110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14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32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2FA"/>
          </w:tcPr>
          <w:p>
            <w:pPr>
              <w:ind w:left="140"/>
              <w:spacing w:after="0"/>
              <w:rPr>
                <w:sz w:val="20"/>
                <w:szCs w:val="20"/>
                <w:color w:val="auto"/>
              </w:rPr>
            </w:pPr>
            <w:r>
              <w:rPr>
                <w:rFonts w:ascii="Arial" w:cs="Arial" w:eastAsia="Arial" w:hAnsi="Arial"/>
                <w:sz w:val="18"/>
                <w:szCs w:val="18"/>
                <w:color w:val="auto"/>
              </w:rPr>
              <w:t>tax receivable agreement</w:t>
            </w:r>
          </w:p>
        </w:tc>
        <w:tc>
          <w:tcPr>
            <w:tcW w:w="960" w:type="dxa"/>
            <w:vAlign w:val="bottom"/>
            <w:shd w:val="clear" w:color="auto" w:fill="CFF2FA"/>
          </w:tcPr>
          <w:p>
            <w:pPr>
              <w:spacing w:after="0"/>
              <w:rPr>
                <w:sz w:val="20"/>
                <w:szCs w:val="20"/>
                <w:color w:val="auto"/>
              </w:rPr>
            </w:pP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240" w:type="dxa"/>
            <w:vAlign w:val="bottom"/>
            <w:shd w:val="clear" w:color="auto" w:fill="CFF2FA"/>
          </w:tcPr>
          <w:p>
            <w:pPr>
              <w:spacing w:after="0"/>
              <w:rPr>
                <w:sz w:val="20"/>
                <w:szCs w:val="20"/>
                <w:color w:val="auto"/>
              </w:rPr>
            </w:pPr>
          </w:p>
        </w:tc>
        <w:tc>
          <w:tcPr>
            <w:tcW w:w="11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200" w:type="dxa"/>
            <w:vAlign w:val="bottom"/>
            <w:shd w:val="clear" w:color="auto" w:fill="CFF2FA"/>
          </w:tcPr>
          <w:p>
            <w:pPr>
              <w:spacing w:after="0"/>
              <w:rPr>
                <w:sz w:val="20"/>
                <w:szCs w:val="20"/>
                <w:color w:val="auto"/>
              </w:rPr>
            </w:pPr>
          </w:p>
        </w:tc>
        <w:tc>
          <w:tcPr>
            <w:tcW w:w="134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(0.2)</w:t>
            </w:r>
          </w:p>
        </w:tc>
        <w:tc>
          <w:tcPr>
            <w:tcW w:w="156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9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FF2FA"/>
          </w:tcPr>
          <w:p>
            <w:pPr>
              <w:ind w:left="240"/>
              <w:spacing w:after="0"/>
              <w:rPr>
                <w:sz w:val="20"/>
                <w:szCs w:val="20"/>
                <w:color w:val="auto"/>
              </w:rPr>
            </w:pPr>
            <w:r>
              <w:rPr>
                <w:rFonts w:ascii="Arial" w:cs="Arial" w:eastAsia="Arial" w:hAnsi="Arial"/>
                <w:sz w:val="18"/>
                <w:szCs w:val="18"/>
                <w:color w:val="auto"/>
              </w:rPr>
              <w:t>Total non-operating expenses</w:t>
            </w: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2FA"/>
          </w:tcPr>
          <w:p>
            <w:pPr>
              <w:spacing w:after="0" w:line="20" w:lineRule="exact"/>
              <w:rPr>
                <w:sz w:val="1"/>
                <w:szCs w:val="1"/>
                <w:color w:val="auto"/>
              </w:rPr>
            </w:pPr>
          </w:p>
        </w:tc>
        <w:tc>
          <w:tcPr>
            <w:tcW w:w="80" w:type="dxa"/>
            <w:vAlign w:val="bottom"/>
            <w:vMerge w:val="restart"/>
            <w:shd w:val="clear" w:color="auto" w:fill="CFF2F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2FA"/>
          </w:tcPr>
          <w:p>
            <w:pPr>
              <w:spacing w:after="0" w:line="20" w:lineRule="exact"/>
              <w:rPr>
                <w:sz w:val="1"/>
                <w:szCs w:val="1"/>
                <w:color w:val="auto"/>
              </w:rPr>
            </w:pPr>
          </w:p>
        </w:tc>
        <w:tc>
          <w:tcPr>
            <w:tcW w:w="80" w:type="dxa"/>
            <w:vAlign w:val="bottom"/>
            <w:vMerge w:val="restart"/>
            <w:shd w:val="clear" w:color="auto" w:fill="CFF2FA"/>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2FA"/>
          </w:tcPr>
          <w:p>
            <w:pPr>
              <w:spacing w:after="0" w:line="20" w:lineRule="exact"/>
              <w:rPr>
                <w:sz w:val="1"/>
                <w:szCs w:val="1"/>
                <w:color w:val="auto"/>
              </w:rPr>
            </w:pPr>
          </w:p>
        </w:tc>
        <w:tc>
          <w:tcPr>
            <w:tcW w:w="1560" w:type="dxa"/>
            <w:vAlign w:val="bottom"/>
            <w:gridSpan w:val="2"/>
            <w:vMerge w:val="restart"/>
            <w:shd w:val="clear" w:color="auto" w:fill="CFF2FA"/>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shd w:val="clear" w:color="auto" w:fill="CFF2FA"/>
          </w:tcPr>
          <w:p>
            <w:pPr>
              <w:spacing w:after="0"/>
              <w:rPr>
                <w:sz w:val="19"/>
                <w:szCs w:val="19"/>
                <w:color w:val="auto"/>
              </w:rPr>
            </w:pPr>
          </w:p>
        </w:tc>
        <w:tc>
          <w:tcPr>
            <w:tcW w:w="960" w:type="dxa"/>
            <w:vAlign w:val="bottom"/>
            <w:shd w:val="clear" w:color="auto" w:fill="CFF2FA"/>
          </w:tcPr>
          <w:p>
            <w:pPr>
              <w:jc w:val="right"/>
              <w:ind w:right="8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w w:val="96"/>
              </w:rPr>
              <w:t>16.1</w:t>
            </w:r>
          </w:p>
        </w:tc>
        <w:tc>
          <w:tcPr>
            <w:tcW w:w="120" w:type="dxa"/>
            <w:vAlign w:val="bottom"/>
            <w:shd w:val="clear" w:color="auto" w:fill="CFF2FA"/>
          </w:tcPr>
          <w:p>
            <w:pPr>
              <w:spacing w:after="0"/>
              <w:rPr>
                <w:sz w:val="19"/>
                <w:szCs w:val="19"/>
                <w:color w:val="auto"/>
              </w:rPr>
            </w:pPr>
          </w:p>
        </w:tc>
        <w:tc>
          <w:tcPr>
            <w:tcW w:w="80" w:type="dxa"/>
            <w:vAlign w:val="bottom"/>
            <w:vMerge w:val="continue"/>
            <w:shd w:val="clear" w:color="auto" w:fill="CFF2FA"/>
          </w:tcPr>
          <w:p>
            <w:pPr>
              <w:spacing w:after="0"/>
              <w:rPr>
                <w:sz w:val="19"/>
                <w:szCs w:val="19"/>
                <w:color w:val="auto"/>
              </w:rPr>
            </w:pPr>
          </w:p>
        </w:tc>
        <w:tc>
          <w:tcPr>
            <w:tcW w:w="240" w:type="dxa"/>
            <w:vAlign w:val="bottom"/>
            <w:shd w:val="clear" w:color="auto" w:fill="CFF2FA"/>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2FA"/>
          </w:tcPr>
          <w:p>
            <w:pPr>
              <w:spacing w:after="0"/>
              <w:rPr>
                <w:sz w:val="19"/>
                <w:szCs w:val="19"/>
                <w:color w:val="auto"/>
              </w:rPr>
            </w:pPr>
          </w:p>
        </w:tc>
        <w:tc>
          <w:tcPr>
            <w:tcW w:w="80" w:type="dxa"/>
            <w:vAlign w:val="bottom"/>
            <w:vMerge w:val="continue"/>
            <w:shd w:val="clear" w:color="auto" w:fill="CFF2FA"/>
          </w:tcPr>
          <w:p>
            <w:pPr>
              <w:spacing w:after="0"/>
              <w:rPr>
                <w:sz w:val="19"/>
                <w:szCs w:val="19"/>
                <w:color w:val="auto"/>
              </w:rPr>
            </w:pPr>
          </w:p>
        </w:tc>
        <w:tc>
          <w:tcPr>
            <w:tcW w:w="200" w:type="dxa"/>
            <w:vAlign w:val="bottom"/>
            <w:shd w:val="clear" w:color="auto" w:fill="CFF2FA"/>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(0.3)</w:t>
            </w:r>
          </w:p>
        </w:tc>
        <w:tc>
          <w:tcPr>
            <w:tcW w:w="1560" w:type="dxa"/>
            <w:vAlign w:val="bottom"/>
            <w:gridSpan w:val="2"/>
            <w:vMerge w:val="continue"/>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FF2FA"/>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2FA"/>
            </w:tcBorders>
          </w:tcPr>
          <w:p>
            <w:pPr>
              <w:spacing w:after="0" w:line="20" w:lineRule="exact"/>
              <w:rPr>
                <w:sz w:val="1"/>
                <w:szCs w:val="1"/>
                <w:color w:val="auto"/>
              </w:rPr>
            </w:pPr>
          </w:p>
        </w:tc>
        <w:tc>
          <w:tcPr>
            <w:tcW w:w="13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560" w:firstLine="555"/>
        <w:spacing w:after="0" w:line="277" w:lineRule="auto"/>
        <w:rPr>
          <w:sz w:val="20"/>
          <w:szCs w:val="20"/>
          <w:color w:val="auto"/>
        </w:rPr>
      </w:pPr>
      <w:r>
        <w:rPr>
          <w:rFonts w:ascii="Arial" w:cs="Arial" w:eastAsia="Arial" w:hAnsi="Arial"/>
          <w:sz w:val="18"/>
          <w:szCs w:val="18"/>
          <w:color w:val="auto"/>
        </w:rPr>
        <w:t>The decrease in non-operating expense was due primarily to a $0.2 million decrease in interest on borrowings related to a lower balance on our revolving credit facility, partially offset by a higher LIBOR rate on our term loans.</w:t>
      </w:r>
    </w:p>
    <w:p>
      <w:pPr>
        <w:spacing w:after="0" w:line="6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i w:val="1"/>
          <w:iCs w:val="1"/>
          <w:color w:val="auto"/>
        </w:rPr>
        <w:t>Net Loss</w:t>
      </w:r>
      <w:r>
        <w:rPr>
          <w:rFonts w:ascii="Arial" w:cs="Arial" w:eastAsia="Arial" w:hAnsi="Arial"/>
          <w:sz w:val="18"/>
          <w:szCs w:val="18"/>
          <w:color w:val="auto"/>
        </w:rPr>
        <w:t>. Net loss increased $0.7 million from $4.3 million for the first quarter of 2016 to $5.0 million for the first quarter of 2017. The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net loss was due to a decrease in operating income of $0.7 million and a decrease in the income tax benefit of $0.6 million, partially offset by an increase in net loss attributable to noncontrolling interests of $0.3 million due primarily to an increase in founding member ownership and a decrease in non-operating expenses of $0.3 million, as described above.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121"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b w:val="1"/>
          <w:bCs w:val="1"/>
          <w:i w:val="1"/>
          <w:iCs w:val="1"/>
          <w:color w:val="auto"/>
        </w:rPr>
        <w:t>Our Marketplace</w:t>
      </w:r>
      <w:r>
        <w:rPr>
          <w:rFonts w:ascii="Arial" w:cs="Arial" w:eastAsia="Arial" w:hAnsi="Arial"/>
          <w:sz w:val="17"/>
          <w:szCs w:val="17"/>
          <w:color w:val="auto"/>
        </w:rPr>
        <w:t>—Changes in the current macro-economic environment and changes in the national, regional and local advertising markets 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uncertainties that could impact our results of operations, including the timing and amount of spending from our advertising clients. In the current environment, it is difficult to know if these changes are short-term or temporary in nature or are long-term trends and changes. These changes include increased competition related to the expansion of online and mobile advertising platforms as well as fluctuations from quarter to quarter of the demand from national and local advertisers. Further, we could negatively be impacted by factors that could reduce the viewership of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such as the expansion of reserve seating (utilized in approximately 36% of our network as of April 27, 2017), an increase in the number and length of trailers for upcoming films and lower network attendance, which could result from shortening of release windows, more alternative methods of delivering movies to consumers, lower consumer confidence and disposable income and a decline in the motion picture box office. The impact to our business associated with these issues could be mitigated over time due to factors including the increase in salable advertising impressions, better geographic coverage related to the expansion of our network, diversification and growth of our advertising client base, improvements in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engagement and upgrades to our inventory management and data management systems. We could also benefit if the effectiveness of cinema advertising improves relative to other advertising mediums. We continue to participate in the television upfront advertising selling process and believe that over time, a shift toward more upfront commitments, would allow us to bundle several client flights throughout the year in an effort to stabilize month-to-month and quarter-to-quarter volatility. Consistent with the television industry upfront booking practices, a portion of our upfront commitments have cancellation options or options to reduce the amount that advertisers may purchase and we would need to rely on the scatter market to replace those commitments. In addition, advertising sold through our upfront commitments may be placed throughout the period very irregularly which may affect our overall sales; for example, if a substantial portion of advertising from our upfront commitments is scheduled for peak periods of advertising demand, we will have fewer peak period advertising slots available for sale into the scatter market. We experienced lower demand in the scatter market during the first quarter of 2017, which if it continues may adversely impact our operating results.</w:t>
      </w:r>
    </w:p>
    <w:p>
      <w:pPr>
        <w:spacing w:after="0" w:line="82"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first quarter of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as follows.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 of screens</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00" w:type="dxa"/>
            <w:vAlign w:val="bottom"/>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Founding</w:t>
            </w: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Network Affiliates</w:t>
            </w: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Members</w:t>
            </w:r>
          </w:p>
        </w:tc>
        <w:tc>
          <w:tcPr>
            <w:tcW w:w="13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December 29, 2016</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17,022</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ind w:left="80"/>
              <w:spacing w:after="0"/>
              <w:rPr>
                <w:sz w:val="20"/>
                <w:szCs w:val="20"/>
                <w:color w:val="auto"/>
              </w:rPr>
            </w:pPr>
            <w:r>
              <w:rPr>
                <w:rFonts w:ascii="Arial" w:cs="Arial" w:eastAsia="Arial" w:hAnsi="Arial"/>
                <w:sz w:val="18"/>
                <w:szCs w:val="18"/>
                <w:color w:val="auto"/>
              </w:rPr>
              <w:t xml:space="preserve">New affiliates </w:t>
            </w:r>
            <w:r>
              <w:rPr>
                <w:rFonts w:ascii="Arial" w:cs="Arial" w:eastAsia="Arial" w:hAnsi="Arial"/>
                <w:sz w:val="18"/>
                <w:szCs w:val="18"/>
                <w:i w:val="1"/>
                <w:iCs w:val="1"/>
                <w:color w:val="auto"/>
              </w:rPr>
              <w:t>(1)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 xml:space="preserve">AMC screen transfers </w:t>
            </w:r>
            <w:r>
              <w:rPr>
                <w:rFonts w:ascii="Arial" w:cs="Arial" w:eastAsia="Arial" w:hAnsi="Arial"/>
                <w:sz w:val="18"/>
                <w:szCs w:val="18"/>
                <w:i w:val="1"/>
                <w:iCs w:val="1"/>
                <w:color w:val="auto"/>
              </w:rPr>
              <w:t>(2)</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(318)</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ind w:left="80"/>
              <w:spacing w:after="0"/>
              <w:rPr>
                <w:sz w:val="20"/>
                <w:szCs w:val="20"/>
                <w:color w:val="auto"/>
              </w:rPr>
            </w:pPr>
            <w:r>
              <w:rPr>
                <w:rFonts w:ascii="Arial" w:cs="Arial" w:eastAsia="Arial" w:hAnsi="Arial"/>
                <w:sz w:val="18"/>
                <w:szCs w:val="18"/>
                <w:color w:val="auto"/>
              </w:rPr>
              <w:t>Closures, net of openings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March 30, 2017</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540" w:hanging="398"/>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three new affiliates added to our network during the first quarter of 2017.</w:t>
      </w:r>
    </w:p>
    <w:p>
      <w:pPr>
        <w:spacing w:after="0" w:line="23" w:lineRule="exact"/>
        <w:rPr>
          <w:rFonts w:ascii="Arial" w:cs="Arial" w:eastAsia="Arial" w:hAnsi="Arial"/>
          <w:sz w:val="18"/>
          <w:szCs w:val="18"/>
          <w:color w:val="auto"/>
        </w:rPr>
      </w:pPr>
    </w:p>
    <w:p>
      <w:pPr>
        <w:ind w:left="1540" w:hanging="398"/>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Memorandum of Understanding with AMC</w:t>
      </w:r>
      <w:r>
        <w:rPr>
          <w:rFonts w:ascii="Arial" w:cs="Arial" w:eastAsia="Arial" w:hAnsi="Arial"/>
          <w:sz w:val="18"/>
          <w:szCs w:val="18"/>
          <w:color w:val="auto"/>
        </w:rPr>
        <w:t xml:space="preserve"> below for further information.</w:t>
      </w:r>
    </w:p>
    <w:p>
      <w:pPr>
        <w:spacing w:after="0" w:line="103"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Thus far in 2017, we have also contracted with two other new network affiliates for 77 screens that will be added to our network later in 2017. We believe that adding screens and attendees to our network will provide our advertising clients with a better marketing product with increased reach and improved geographic coverage. We have begun to offer our advertising clients better audience targeting capabilities and more robust campaign data analytics that we believe will provide a better product offering and should expand our overall national client base.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70"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b w:val="1"/>
          <w:bCs w:val="1"/>
          <w:i w:val="1"/>
          <w:iCs w:val="1"/>
          <w:color w:val="auto"/>
        </w:rPr>
        <w:t>Memorandum of Understanding with AMC</w:t>
      </w:r>
      <w:r>
        <w:rPr>
          <w:rFonts w:ascii="Arial" w:cs="Arial" w:eastAsia="Arial" w:hAnsi="Arial"/>
          <w:sz w:val="16"/>
          <w:szCs w:val="16"/>
          <w:color w:val="auto"/>
        </w:rPr>
        <w:t>—During the first quarter of 2017, NCM, Inc. and NCM LLC entered into a binding MOU with AMC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effectuate aspects of the Final Judgment entered into by the DOJ in connection with AMC’s acquisition of Carmike. Pursuant to the MOU, AMC received NCM LLC common membership units in respect of the annual attendance at such Carmike theaters in accordance with the Common Unit Adjustment Agreement during the first quarter of 2017. Because these theaters are subject to an existing on-screen advertising agreement with an alternative provider, AMC will make integration payments to us reflecting the estimated advertising cash flow that we would have generated if we had exclusive access to sell advertising in those theaters. The integration payments will continue until the earlier of (i) the date the theaters are transferred to our network or (ii) the expiration of the ESA.</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7" w:name="page28"/>
    <w:bookmarkEnd w:id="27"/>
    <w:p>
      <w:pPr>
        <w:ind w:right="20" w:firstLine="555"/>
        <w:spacing w:after="0" w:line="273" w:lineRule="auto"/>
        <w:rPr>
          <w:sz w:val="20"/>
          <w:szCs w:val="20"/>
          <w:color w:val="auto"/>
        </w:rPr>
      </w:pPr>
      <w:r>
        <w:rPr>
          <w:rFonts w:ascii="Arial" w:cs="Arial" w:eastAsia="Arial" w:hAnsi="Arial"/>
          <w:sz w:val="17"/>
          <w:szCs w:val="17"/>
          <w:color w:val="auto"/>
        </w:rPr>
        <w:t xml:space="preserve">Further, during the first quarter of 2017, AMC transferred 17 theaters (318 screens) to another advertising provider in accordance with the Final Judgment, for which AMC surrendered NCM LLC common membership units during the first quarter of 2017. At the end of the 10-year term of the Final Judgment, these theaters will revert back to us. Also, in April 2017, AMC completed a sale of five theaters on our network pursuant to the Final Judgment. AMC will surrender NCM LLC common unit membership units to NCM LLC for these divestures pursuant to the Common Unit Adjustment Agreement at the next Adjustment Date. These 22 transferred and sold theaters represent approximately 1.3% of our total theater network as of March 30, 2017. The Common Unit Adjustments are discussed further within </w:t>
      </w:r>
      <w:r>
        <w:rPr>
          <w:rFonts w:ascii="Arial" w:cs="Arial" w:eastAsia="Arial" w:hAnsi="Arial"/>
          <w:sz w:val="17"/>
          <w:szCs w:val="17"/>
          <w:i w:val="1"/>
          <w:iCs w:val="1"/>
          <w:color w:val="auto"/>
        </w:rPr>
        <w:t>Trends Related to Ownership in NCM LLC</w:t>
      </w:r>
      <w:r>
        <w:rPr>
          <w:rFonts w:ascii="Arial" w:cs="Arial" w:eastAsia="Arial" w:hAnsi="Arial"/>
          <w:sz w:val="17"/>
          <w:szCs w:val="17"/>
          <w:color w:val="auto"/>
        </w:rPr>
        <w:t xml:space="preserve"> below.</w:t>
      </w:r>
    </w:p>
    <w:p>
      <w:pPr>
        <w:spacing w:after="0" w:line="70" w:lineRule="exact"/>
        <w:rPr>
          <w:sz w:val="20"/>
          <w:szCs w:val="20"/>
          <w:color w:val="auto"/>
        </w:rPr>
      </w:pPr>
    </w:p>
    <w:p>
      <w:pPr>
        <w:jc w:val="both"/>
        <w:ind w:right="240" w:firstLine="555"/>
        <w:spacing w:after="0" w:line="312" w:lineRule="auto"/>
        <w:rPr>
          <w:sz w:val="20"/>
          <w:szCs w:val="20"/>
          <w:color w:val="auto"/>
        </w:rPr>
      </w:pPr>
      <w:r>
        <w:rPr>
          <w:rFonts w:ascii="Arial" w:cs="Arial" w:eastAsia="Arial" w:hAnsi="Arial"/>
          <w:sz w:val="16"/>
          <w:szCs w:val="16"/>
          <w:color w:val="auto"/>
        </w:rPr>
        <w:t>Lastly, AMC also agreed to reimburse us for our incurred and ongoing costs and expenses in connection with the Final Judgment including, but not limited to, our financial advisor and legal fees up to $1.0 million of such costs and expenses. During the first quarter of 2017, we incurred $0.8 million of these costs, which were recorded as a reduction to “Amounts due to founding members” within the Condensed Consolidated Balance Sheets.</w:t>
      </w:r>
    </w:p>
    <w:p>
      <w:pPr>
        <w:spacing w:after="0" w:line="39"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b w:val="1"/>
          <w:bCs w:val="1"/>
          <w:i w:val="1"/>
          <w:iCs w:val="1"/>
          <w:color w:val="auto"/>
        </w:rPr>
        <w:t>Utilization and Pricing</w:t>
      </w:r>
      <w:r>
        <w:rPr>
          <w:rFonts w:ascii="Arial" w:cs="Arial" w:eastAsia="Arial" w:hAnsi="Arial"/>
          <w:sz w:val="17"/>
          <w:szCs w:val="17"/>
          <w:color w:val="auto"/>
        </w:rPr>
        <w:t>— We have experienced volatility in our pricing (CPMs) over the years, with annual national CPM increases (decreases)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ranging from (16.4%) to 9.6% over the last four years. In the first quarter of 2017, we experienced a decline of 13.7%, in national advertising CPMs (excluding beverage revenue) compared to the first quarter of 2016. This volatility in pricing can be driven by increased competition from other national video networks, including online and mobile advertising platforms, television networks and other out-of-home video networks and seasonal marketplace supply and demand characteristics. We have also experienced volatility in our utilization over the years, with annual national inventory utilization ranging from 109.3% to 128.3% over the last four years. We experience even more substantial volatility quarter-to-quarter. This volatility in utilization can be driven by the loss or addition of one or more significant national contracts, whereby the timing and amount of these national contracts can be based upon the advertising budgets of our customers, product launches, the financial performance of our customers or other industry or macro-economic factors. We expect our CPMs and utilization to continue to be impacted period to period based upon the factors described above.</w:t>
      </w:r>
    </w:p>
    <w:p>
      <w:pPr>
        <w:spacing w:after="0" w:line="74"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FirstLook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 can be sold to the founding members to satisfy their on-screen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advertising commitments under their beverage concessionaire agreements. For the first quarter of 2017 and the first quarter of 2016,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NCM LLC to unaffiliated third parties during segment one (closest to showtime)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limited to the highest advertising CPM being then-charged by NCM LLC. Due to a 10.2% increase in segment one CPMs in 2017, the CPM on our beverage concessionaire revenue increased during the first quarter of 2017 by 10.2% and the remainder of 2017 will increase by an equivalent percentage.</w:t>
      </w:r>
    </w:p>
    <w:p>
      <w:pPr>
        <w:spacing w:after="0" w:line="70"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b w:val="1"/>
          <w:bCs w:val="1"/>
          <w:i w:val="1"/>
          <w:iCs w:val="1"/>
          <w:color w:val="auto"/>
        </w:rPr>
        <w:t>Theater Access Fees</w:t>
      </w:r>
      <w:r>
        <w:rPr>
          <w:rFonts w:ascii="Arial" w:cs="Arial" w:eastAsia="Arial" w:hAnsi="Arial"/>
          <w:sz w:val="17"/>
          <w:szCs w:val="17"/>
          <w:color w:val="auto"/>
        </w:rPr>
        <w:t>—In consideration for NCM LLC’s access to the founding members’ theater attendees for on-screen advertising and use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this increase occurring for fiscal year 2017 and the payment per digital screen increases annually by 5%. Pursuant to the ESAs, the theater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March 30, 2017, 90% of our founding member network screens were showing advertising on digital cinema projectors, and thus the future impact on the theater access fee related to additional digital cinema installations within existing founding member theaters is expected to be minimal. The theater access fee paid in the aggregate to all founding members cannot be less than 12% of NCM LLC’s aggregate advertising revenue (as defined in the ESA), or it will be adjusted upward to reach this minimum payment. As of March 30, 2017 and December 29, 2016, we had no liabilities recorded for the minimum payment, as the theater access fee was in excess of the minimum.</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121"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b w:val="1"/>
          <w:bCs w:val="1"/>
          <w:i w:val="1"/>
          <w:iCs w:val="1"/>
          <w:color w:val="auto"/>
        </w:rPr>
        <w:t>Debt</w:t>
      </w:r>
      <w:r>
        <w:rPr>
          <w:rFonts w:ascii="Arial" w:cs="Arial" w:eastAsia="Arial" w:hAnsi="Arial"/>
          <w:sz w:val="17"/>
          <w:szCs w:val="17"/>
          <w:color w:val="auto"/>
        </w:rPr>
        <w:t>—During the past several years, we amended our senior secured credit facility to extend the maturity, expand the revolver availability and reduce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interest rate spreads. In August 2016, we completed a private placement of $250.0 million in aggregate principal amount of 5.750% Senior Unsecured Notes due in 2026. A portion of the proceeds were used to redeem our $200.0 million 7.875% Senior Unsecured Notes due in 2021. The remaining proceeds, after the payment of fees and the redemption premium were used to pay down the balance on our revolving credit facility. As a result of these financing transactions on our revolving credit facility and senior notes, we extended the average maturities of our debt and as of March 30, 2017 the weighted average remaining maturity was 5.4 years. As of March 30, 2017, approximately 68% of our total borrowings bear interest at fixed rates. The remaining 32% of our borrowings bear interest at variable rates and as such, our net income and earnings per share could fluctuate with market interest rate fluctuations that could increase the interest paid on our borrowings.</w:t>
      </w:r>
    </w:p>
    <w:p>
      <w:pPr>
        <w:spacing w:after="0" w:line="71"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The senior secured credit facility contains a number of covenants and financial ratio requirements, with which NCM LLC was in compliance at March 30, 2017, including a consolidated net senior secured leverage ratio as of March 30, 2017 of 3.1 versus a covenant of 6.5 times for each quarterly period. For purposes of calculating the net consolidated senior secured leverage ratio (senior secured debt divided by Adjusted OIBDA), Adjusted OIBDA includes integration payments by the founding members. NCM LLC is permitted to make quarterly dividend payments and other payments based on leverage ratios for NCM LLC and its subsidiary so long as no default or event of default has occurred and continues to occur. The quarterly dividend payments and other distributions are made if the consolidated net senior secured leverage ratio is less than or equal to 6.5 times. Refer to Note 5—</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Consolidated Financial Statements in Item 1 of this Form 10-Q for more information regarding the Company’s borrowings.</w:t>
      </w:r>
    </w:p>
    <w:p>
      <w:pPr>
        <w:spacing w:after="0" w:line="59"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At times our cash flow available for the payment of dividends (NCM LLC’s Adjusted OIBDA, less capital expenditures,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distributions to NCM LLC’s founding members, income taxes, tax receivable agreement payments to NCM LLC’s founding members and plus integration payments and certain other cash items) has been less than our regular dividend payment. Any deficit has been funded by NCM, Inc.’s cash and marketable securities balances. We expect that such deficits may occur in the future depending on factors such as future operating performance and the number of shares of NCM, Inc. common stock outstanding. We expect to fund any future deficits with NCM, Inc.’s cash and marketable securities balances. As of March 30, 2017, these cash and marketable securities balances totaled $74.1 million (excluding NCM LLC). We intend to pay a regular quarterly dividend for the foreseeable future at the discretion of the Board of Directors consistent with our intention to distribute over time a substantial portion of our free cash flow.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 in NCM LLC</w:t>
      </w:r>
    </w:p>
    <w:p>
      <w:pPr>
        <w:spacing w:after="0" w:line="121"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NCM LLC’s Common Unit Adjustment Agreement with its founding members, on an annual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first quarter of 2017, the following Common Unit Adjustments occurred.</w:t>
      </w:r>
    </w:p>
    <w:p>
      <w:pPr>
        <w:spacing w:after="0" w:line="117" w:lineRule="exact"/>
        <w:rPr>
          <w:sz w:val="20"/>
          <w:szCs w:val="20"/>
          <w:color w:val="auto"/>
        </w:rPr>
      </w:pPr>
    </w:p>
    <w:p>
      <w:pPr>
        <w:jc w:val="both"/>
        <w:ind w:left="1220" w:right="460" w:hanging="402"/>
        <w:spacing w:after="0" w:line="256"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Annual Common Unit Adjustment for 2016 Fiscal Year</w:t>
      </w:r>
      <w:r>
        <w:rPr>
          <w:rFonts w:ascii="Arial" w:cs="Arial" w:eastAsia="Arial" w:hAnsi="Arial"/>
          <w:sz w:val="18"/>
          <w:szCs w:val="18"/>
          <w:color w:val="auto"/>
        </w:rPr>
        <w:t>—During the first quarter of 2017, NCM LLC issued approximately 2.4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membership units to its founding members for the rights to exclusive access to the theater screens and attendees added, net of dispositions by the founding members to NCM LLC’s network during the 2016 fiscal year.</w:t>
      </w:r>
    </w:p>
    <w:p>
      <w:pPr>
        <w:ind w:left="1220" w:right="40" w:hanging="402"/>
        <w:spacing w:after="0" w:line="273" w:lineRule="auto"/>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Extraordinary Common Unit Adjustment for AMC’s Acquisition of Carmike</w:t>
      </w:r>
      <w:r>
        <w:rPr>
          <w:rFonts w:ascii="Arial" w:cs="Arial" w:eastAsia="Arial" w:hAnsi="Arial"/>
          <w:sz w:val="17"/>
          <w:szCs w:val="17"/>
          <w:color w:val="auto"/>
        </w:rPr>
        <w:t>—Pursuant to the MOU, NCM LLC issued approximately 18.4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NCM LLC common membership units to AMC in respect of the annual attendance at Carmike theaters in accordance with the Common Unit Adjustment Agreement. AMC’s acquisition of Carmike meets the criteria for a Common Unit Adjustment for this acquisition because it resulted in an extraordinary attendance increase of approximately 9.5%.</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9" w:name="page30"/>
    <w:bookmarkEnd w:id="29"/>
    <w:p>
      <w:pPr>
        <w:ind w:left="1220" w:right="120" w:hanging="402"/>
        <w:spacing w:after="0" w:line="255"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Surrendered Units for AMC Screen Transfers</w:t>
      </w:r>
      <w:r>
        <w:rPr>
          <w:rFonts w:ascii="Arial" w:cs="Arial" w:eastAsia="Arial" w:hAnsi="Arial"/>
          <w:sz w:val="18"/>
          <w:szCs w:val="18"/>
          <w:color w:val="auto"/>
        </w:rPr>
        <w:t>—The Final Judgment required AMC to transfer advertising rights to 17 theaters from NCM LLC</w:t>
      </w:r>
      <w:r>
        <w:rPr>
          <w:rFonts w:ascii="Arial" w:cs="Arial" w:eastAsia="Arial" w:hAnsi="Arial"/>
          <w:sz w:val="18"/>
          <w:szCs w:val="18"/>
          <w:i w:val="1"/>
          <w:iCs w:val="1"/>
          <w:color w:val="auto"/>
        </w:rPr>
        <w:t xml:space="preserve"> </w:t>
      </w:r>
      <w:r>
        <w:rPr>
          <w:rFonts w:ascii="Arial" w:cs="Arial" w:eastAsia="Arial" w:hAnsi="Arial"/>
          <w:sz w:val="18"/>
          <w:szCs w:val="18"/>
          <w:color w:val="auto"/>
        </w:rPr>
        <w:t>to another advertising provider. Pursuant to the MOU, AMC surrendered approximately 4.7 million NCM LLC common membership units in respect of such theaters. The 4.7 million NCM LLC common membership units were comprised of (i) approximately 2.9 million NCM LLC common membership units pursuant to the adjustment for divested theaters in the Common Unit Adjustment Agreement and (ii) approximately 1.8 million NCM LLC common membership units valued at $25.0 million to compensate for lost operating income for these theaters during the 10-year term of the Final Judgment.</w:t>
      </w:r>
    </w:p>
    <w:p>
      <w:pPr>
        <w:spacing w:after="0" w:line="85"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Overall, NCM, Inc.’s ownership in NCM LLC decreased to 39.3% as of March 30, 2017 compared to 43.7% at December 29, 2016 due primarily to the common unit adjustments described above, which has proportionally increased net income attributable to noncontrolling interests and decreased net income attributable to NCM, Inc.</w:t>
      </w:r>
    </w:p>
    <w:p>
      <w:pPr>
        <w:spacing w:after="0" w:line="73" w:lineRule="exact"/>
        <w:rPr>
          <w:sz w:val="20"/>
          <w:szCs w:val="20"/>
          <w:color w:val="auto"/>
        </w:rPr>
      </w:pPr>
    </w:p>
    <w:p>
      <w:pPr>
        <w:ind w:right="180" w:firstLine="555"/>
        <w:spacing w:after="0" w:line="270" w:lineRule="auto"/>
        <w:rPr>
          <w:sz w:val="20"/>
          <w:szCs w:val="20"/>
          <w:color w:val="auto"/>
        </w:rPr>
      </w:pPr>
      <w:r>
        <w:rPr>
          <w:rFonts w:ascii="Arial" w:cs="Arial" w:eastAsia="Arial" w:hAnsi="Arial"/>
          <w:sz w:val="17"/>
          <w:szCs w:val="17"/>
          <w:b w:val="1"/>
          <w:bCs w:val="1"/>
          <w:i w:val="1"/>
          <w:iCs w:val="1"/>
          <w:color w:val="auto"/>
        </w:rPr>
        <w:t>AMC Mandatory Ownership Divestitures</w:t>
      </w:r>
      <w:r>
        <w:rPr>
          <w:rFonts w:ascii="Arial" w:cs="Arial" w:eastAsia="Arial" w:hAnsi="Arial"/>
          <w:sz w:val="17"/>
          <w:szCs w:val="17"/>
          <w:color w:val="auto"/>
        </w:rPr>
        <w:t>—Pursuant to the Final Judgment, AMC is required to divest the majority of its equity interests in NCM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and NCM, Inc., so that by June 20, 2019 it owns no more than 4.99% of NCM LLC’s common membership units and NCM, Inc. common stock, taken together, on a fully converted basis (“NCM’s outstanding equity interests”). AMC must complete the divestiture per the following schedule: (i) on or before December 20, 2017, AMC must own no more than 15.0% of NCM’s outstanding equity interests, (ii) on or before December 20, 2018, AMC must own no more than 7.5% of NCM’s outstanding equity interests and (iii) on or before June 20, 2019, AMC must own no more than 4.99% of NCM’s outstanding equity interests. Pursuant to the MOU, AMC also has agreed, among other things, subject to limited exceptions to retain at least 4.5% of NCM’s outstanding equity interests during the term of the Final Judgment, subject to certain exceptions which allow for certain sell downs after the 30-month anniversary of the MOU. When AMC redeems its common membership units for NCM, Inc. common stock, NCM, Inc.’s ownership would increase proportionally and the number of shares outstanding of NCM, Inc. common stock would increase.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right="100" w:firstLine="555"/>
        <w:spacing w:after="0" w:line="302" w:lineRule="auto"/>
        <w:rPr>
          <w:sz w:val="20"/>
          <w:szCs w:val="20"/>
          <w:color w:val="auto"/>
        </w:rPr>
      </w:pPr>
      <w:r>
        <w:rPr>
          <w:rFonts w:ascii="Arial" w:cs="Arial" w:eastAsia="Arial" w:hAnsi="Arial"/>
          <w:sz w:val="16"/>
          <w:szCs w:val="16"/>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NCM LLC’s founding members, interest or principal payments on our term loan and the Senior Secured Notes and Senior Unsecured Notes, income tax payments, tax receivable agreement payments to NCM LLC’s founding members and amount of quarterly dividends to NCM, Inc.’s common stockholders (including special dividends).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r>
      <w:tr>
        <w:trPr>
          <w:trHeight w:val="133"/>
        </w:trPr>
        <w:tc>
          <w:tcPr>
            <w:tcW w:w="50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December 29,</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99"/>
              <w:spacing w:after="0" w:line="133" w:lineRule="exact"/>
              <w:rPr>
                <w:sz w:val="20"/>
                <w:szCs w:val="20"/>
                <w:color w:val="auto"/>
              </w:rPr>
            </w:pPr>
            <w:r>
              <w:rPr>
                <w:rFonts w:ascii="Arial" w:cs="Arial" w:eastAsia="Arial" w:hAnsi="Arial"/>
                <w:sz w:val="14"/>
                <w:szCs w:val="14"/>
                <w:b w:val="1"/>
                <w:bCs w:val="1"/>
                <w:color w:val="auto"/>
                <w:w w:val="93"/>
              </w:rPr>
              <w:t>Q1 2017 to</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3"/>
              </w:rPr>
              <w:t>Q1 2017 to</w:t>
            </w:r>
          </w:p>
        </w:tc>
        <w:tc>
          <w:tcPr>
            <w:tcW w:w="100" w:type="dxa"/>
            <w:vAlign w:val="bottom"/>
          </w:tcPr>
          <w:p>
            <w:pPr>
              <w:spacing w:after="0"/>
              <w:rPr>
                <w:sz w:val="11"/>
                <w:szCs w:val="11"/>
                <w:color w:val="auto"/>
              </w:rPr>
            </w:pPr>
          </w:p>
        </w:tc>
      </w:tr>
      <w:tr>
        <w:trPr>
          <w:trHeight w:val="17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YE 2016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Q1 2016</w:t>
            </w: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 xml:space="preserve">NCM LLC revolver availability </w:t>
            </w:r>
            <w:r>
              <w:rPr>
                <w:rFonts w:ascii="Arial" w:cs="Arial" w:eastAsia="Arial" w:hAnsi="Arial"/>
                <w:sz w:val="18"/>
                <w:szCs w:val="18"/>
                <w:i w:val="1"/>
                <w:iCs w:val="1"/>
                <w:color w:val="auto"/>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r>
      <w:tr>
        <w:trPr>
          <w:trHeight w:val="223"/>
        </w:trPr>
        <w:tc>
          <w:tcPr>
            <w:tcW w:w="50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liquidity</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560" w:right="260" w:hanging="552"/>
        <w:spacing w:after="0" w:line="256" w:lineRule="auto"/>
        <w:tabs>
          <w:tab w:leader="none" w:pos="5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Included in cash and cash equivalents as of March 30, 2017, December 29, 2016 and March 31, 2016, was $6.8 million, $10.7 million and $4.9 million, respectively, of cash held by NCM LLC that is not available to satisfy NCM, Inc.’s dividend, income tax, tax receivable payments to NCM LLC’s founding members and other obligations.</w:t>
      </w:r>
    </w:p>
    <w:p>
      <w:pPr>
        <w:ind w:left="560" w:right="40" w:hanging="552"/>
        <w:spacing w:after="0" w:line="254" w:lineRule="auto"/>
        <w:tabs>
          <w:tab w:leader="none" w:pos="5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March 30, 2017 and December 29, 2016 and $135.0 million as of March 31, 2016.</w:t>
      </w:r>
    </w:p>
    <w:p>
      <w:pPr>
        <w:spacing w:after="0" w:line="81"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We have generated and used cash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-1159510</wp:posOffset>
            </wp:positionV>
            <wp:extent cx="10375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Q1 2017</w:t>
            </w: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Q1 2016</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2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Investing cash flow</w:t>
            </w:r>
          </w:p>
        </w:tc>
        <w:tc>
          <w:tcPr>
            <w:tcW w:w="28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28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w:t>
            </w:r>
          </w:p>
        </w:tc>
        <w:tc>
          <w:tcPr>
            <w:tcW w:w="1740" w:type="dxa"/>
            <w:vAlign w:val="bottom"/>
          </w:tcPr>
          <w:p>
            <w:pPr>
              <w:spacing w:after="0"/>
              <w:rPr>
                <w:sz w:val="19"/>
                <w:szCs w:val="19"/>
                <w:color w:val="auto"/>
              </w:rPr>
            </w:pPr>
          </w:p>
        </w:tc>
      </w:tr>
      <w:tr>
        <w:trPr>
          <w:trHeight w:val="864"/>
        </w:trPr>
        <w:tc>
          <w:tcPr>
            <w:tcW w:w="1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560" w:type="dxa"/>
            <w:vAlign w:val="bottom"/>
          </w:tcPr>
          <w:p>
            <w:pPr>
              <w:jc w:val="right"/>
              <w:ind w:right="107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0" w:name="page31"/>
    <w:bookmarkEnd w:id="30"/>
    <w:p>
      <w:pPr>
        <w:ind w:left="1640" w:hanging="403"/>
        <w:spacing w:after="0" w:line="271" w:lineRule="auto"/>
        <w:tabs>
          <w:tab w:leader="none" w:pos="1640" w:val="left"/>
        </w:tabs>
        <w:numPr>
          <w:ilvl w:val="1"/>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The $33.3 million increase in cash provided by operating activities for the first quarter of 2017,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first quarter of 2016 was due primarily to 1) a $23.5 million decline in the payments to founding members under the tax receivable agreement due to timing because the 2017 payment will occur in the second quarter of 2017, whereas the 2016 payment occurred in the first quarter of 2016 and 2) an increase in the change in accounts receivable of approximately $18.2 million related to higher collections primarily from higher fourth quarter of 2016 revenue, compared to fourth quarter of 2015. These increases to cash provided by operating activities were partially offset by 1) a $2.9 million larger decline in accounts payable and accrued expenses related to lower accrued bonus expense and a lower makegood liability during the first quarter of 2017, compared to the first quarter of 2016 and 2) a larger decline in deferred revenue of $2.8 million during the period.</w:t>
      </w:r>
    </w:p>
    <w:p>
      <w:pPr>
        <w:spacing w:after="0" w:line="70" w:lineRule="exact"/>
        <w:rPr>
          <w:rFonts w:ascii="Arial" w:cs="Arial" w:eastAsia="Arial" w:hAnsi="Arial"/>
          <w:sz w:val="17"/>
          <w:szCs w:val="17"/>
          <w:color w:val="auto"/>
        </w:rPr>
      </w:pPr>
    </w:p>
    <w:p>
      <w:pPr>
        <w:ind w:left="1660" w:right="280" w:hanging="545"/>
        <w:spacing w:after="0" w:line="264"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$2.7 million decrease in cash used in investing activities for the first quarter of 2017, compared to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2016 was due primarily to $1.4 million of higher proceeds from founding member notes receivable due to timing of the payments and $1.0 million lower purchases of property, plant and equipment.</w:t>
      </w:r>
    </w:p>
    <w:p>
      <w:pPr>
        <w:spacing w:after="0" w:line="73" w:lineRule="exact"/>
        <w:rPr>
          <w:rFonts w:ascii="Arial" w:cs="Arial" w:eastAsia="Arial" w:hAnsi="Arial"/>
          <w:sz w:val="18"/>
          <w:szCs w:val="18"/>
          <w:color w:val="auto"/>
        </w:rPr>
      </w:pPr>
    </w:p>
    <w:p>
      <w:pPr>
        <w:jc w:val="both"/>
        <w:ind w:left="1660" w:right="180" w:hanging="545"/>
        <w:spacing w:after="0" w:line="264"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$11.3 million increase in cash used in financing activities during the first quarter of 2017,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quarter of 2016 was due primarily to a $7.5 million increase in distributions to founding members and a $4.0 million decrease in proceeds from borrowings, net of repayments under our revolving credit facility.</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120" w:firstLine="555"/>
        <w:spacing w:after="0" w:line="286" w:lineRule="auto"/>
        <w:rPr>
          <w:sz w:val="20"/>
          <w:szCs w:val="20"/>
          <w:color w:val="auto"/>
        </w:rPr>
      </w:pPr>
      <w:r>
        <w:rPr>
          <w:rFonts w:ascii="Arial" w:cs="Arial" w:eastAsia="Arial" w:hAnsi="Arial"/>
          <w:sz w:val="17"/>
          <w:szCs w:val="17"/>
          <w:color w:val="auto"/>
        </w:rPr>
        <w:t>NCM, Inc.’s primary source of liquidity and capital resources is the quarterly available cash distributions from NCM LLC as well as its existing cash balances and marketable securities, which as of March 30, 2017 were $74.1 million (excluding NCM LLC). NCM LLC’s primary sources of liquidity and capital resources are its cash provided by operating activities, availability under its revolving credit facility and cash on hand.</w:t>
      </w:r>
    </w:p>
    <w:p>
      <w:pPr>
        <w:spacing w:after="0" w:line="57"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twelve months. Cash flows generated by NCM LLC’s distributions to NCM, Inc. and the founding members can be impacted by the seasonality of advertising sales, stock option exercises, interest on borrowings under our revolving credit agreement and to a lesser extent theater attendance. NCM LLC is required pursuant to the terms of the NCM LLC Operating Agreement to distribute its available cash, as defined in the operating agreement, quarterly to its members (NCM LLC’s founding members and NCM, Inc.). The available cash distribution to the members of NCM LLC for the three months ended March 30, 2017 was approximately $8.2 million, of which approximately $3.2 million was distributed to NCM, Inc. NCM, Inc. expects to use cash received from future available cash distributions and its cash balances to fund income taxes, payments associated with the tax receivable agreement with the founding members and current and future dividends as declared by the Board of Directors, including a dividend declared on April 28, 2017 of $0.22 per share (approximately $13.3 million) on each share of the Company’s common stock (not including outstanding restricted stock) to stockholders of record on May 18, 2017 to be paid on June 1, 2017. Distributions from NCM LLC and NCM, Inc. cash balances should be sufficient to fund payments associated with the tax receivable agreement with NCM LLC’s founding members, income taxes and its regular dividend for the foreseeable future at the discretion of the Board of Directors dependent on anticipated cash needs, overall financial condition, future prospects for earnings, available cash and cash flows, as well as other relevant factors.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filed for the fiscal year ended December 29, 2016 and incorporated by reference herein. As of March 30, 2017, there were no significant changes in those critical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60" w:firstLine="555"/>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Consolidated Financial Statements in Item 1 of this Form 10-Q.</w:t>
      </w:r>
    </w:p>
    <w:p>
      <w:pPr>
        <w:spacing w:after="0" w:line="62"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4—</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Consolidated Financial Statements in Item 1 of this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29, 2016 and incorporated by reference herein. We do not believe these arrangements are material to our current or future financial condition, results of operations, liquidity, capital resources or capital expenditures.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material changes to our contractual obligations during the three months ended March 30,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0" w:firstLine="555"/>
        <w:spacing w:after="0" w:line="272"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theater industry attendance levels. Accordingly, there can be no assurances that seasonal variations will not materially affect our results of operations in the future.</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2014, 2015 and 2016.</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First</w:t>
            </w: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Second</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Third</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Fourth</w:t>
            </w:r>
          </w:p>
        </w:tc>
      </w:tr>
      <w:tr>
        <w:trPr>
          <w:trHeight w:val="171"/>
        </w:trPr>
        <w:tc>
          <w:tcPr>
            <w:tcW w:w="38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2014</w:t>
            </w:r>
          </w:p>
        </w:tc>
        <w:tc>
          <w:tcPr>
            <w:tcW w:w="880" w:type="dxa"/>
            <w:vAlign w:val="bottom"/>
            <w:tcBorders>
              <w:top w:val="single" w:sz="8" w:color="auto"/>
            </w:tcBorders>
            <w:shd w:val="clear" w:color="auto" w:fill="CFF0FC"/>
          </w:tcPr>
          <w:p>
            <w:pPr>
              <w:jc w:val="right"/>
              <w:ind w:right="97"/>
              <w:spacing w:after="0"/>
              <w:rPr>
                <w:sz w:val="20"/>
                <w:szCs w:val="20"/>
                <w:color w:val="auto"/>
              </w:rPr>
            </w:pPr>
            <w:r>
              <w:rPr>
                <w:rFonts w:ascii="Arial" w:cs="Arial" w:eastAsia="Arial" w:hAnsi="Arial"/>
                <w:sz w:val="18"/>
                <w:szCs w:val="18"/>
                <w:color w:val="auto"/>
              </w:rPr>
              <w:t>17.8%</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25.6%</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31.2%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FY 2015</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FY 2016</w:t>
            </w:r>
          </w:p>
        </w:tc>
        <w:tc>
          <w:tcPr>
            <w:tcW w:w="88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FF0FC"/>
          </w:tcPr>
          <w:p>
            <w:pPr>
              <w:spacing w:after="0"/>
              <w:rPr>
                <w:sz w:val="19"/>
                <w:szCs w:val="19"/>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The primary market risk to which we are exposed is interest rate risk. The Notes due 2022 and the Notes due 2026 are at fixed rates, and therefore are not subject to market risk. As of March 30, 2017, the only interest rate risk that we are exposed to is related to our $175.0 million revolving credit facility and our $270.0 million term loan. A 100-basis point fluctuation in market interest rates underlying our term loan and revolving credit facility would have the effect of increasing or decreasing our cash interest expense by approximately $3.0 million for an annual period on the $30.0 million revolving credit balance and $270.0 million term loan outstanding as of March 30, 2017. For a discussion of market risks, see Item 7A. “Quantitative and Qualitative Disclosures About Market Risk” contained in our annual report on Form 10-K for the fiscal year ended December 29, 2016 and incorporated by reference herein.</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March 30, 2017,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March 30, 2017 were effective.</w:t>
      </w:r>
    </w:p>
    <w:p>
      <w:pPr>
        <w:spacing w:after="0" w:line="70" w:lineRule="exact"/>
        <w:rPr>
          <w:sz w:val="20"/>
          <w:szCs w:val="20"/>
          <w:color w:val="auto"/>
        </w:rPr>
      </w:pPr>
    </w:p>
    <w:p>
      <w:pPr>
        <w:ind w:right="240" w:firstLine="555"/>
        <w:spacing w:after="0" w:line="308" w:lineRule="auto"/>
        <w:rPr>
          <w:sz w:val="20"/>
          <w:szCs w:val="20"/>
          <w:color w:val="auto"/>
        </w:rPr>
      </w:pPr>
      <w:r>
        <w:rPr>
          <w:rFonts w:ascii="Arial" w:cs="Arial" w:eastAsia="Arial" w:hAnsi="Arial"/>
          <w:sz w:val="17"/>
          <w:szCs w:val="17"/>
          <w:color w:val="auto"/>
        </w:rPr>
        <w:t>There have been no changes in the Company’s internal controls over financial reporting that occurred during the quarter ended March 30, 2017 that have materially affected, or are reasonably likely to materially affect, the Company’s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February 24, 2017 for the fiscal year ended December 29,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purpose of funding the recipient’s tax withholding obligations.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Total Number</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Shares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4"/>
              </w:rPr>
              <w:t>Dollar Value)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Purchased as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of Shares that</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Part of</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may yet be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Publicly</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Paid Per</w:t>
            </w: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Plans or</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5080" w:type="dxa"/>
            <w:vAlign w:val="bottom"/>
            <w:gridSpan w:val="2"/>
          </w:tcPr>
          <w:p>
            <w:pPr>
              <w:ind w:left="2220"/>
              <w:spacing w:after="0"/>
              <w:rPr>
                <w:sz w:val="20"/>
                <w:szCs w:val="20"/>
                <w:color w:val="auto"/>
              </w:rPr>
            </w:pPr>
            <w:r>
              <w:rPr>
                <w:rFonts w:ascii="Arial" w:cs="Arial" w:eastAsia="Arial" w:hAnsi="Arial"/>
                <w:sz w:val="18"/>
                <w:szCs w:val="18"/>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Programs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23"/>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31, 2016 through January 26, 2017</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209,942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2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rPr>
              <w:t>N/A</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January 27, 2017 through February 23, 2017</w:t>
            </w:r>
          </w:p>
        </w:tc>
        <w:tc>
          <w:tcPr>
            <w:tcW w:w="1140" w:type="dxa"/>
            <w:vAlign w:val="bottom"/>
          </w:tcPr>
          <w:p>
            <w:pPr>
              <w:jc w:val="right"/>
              <w:spacing w:after="0"/>
              <w:rPr>
                <w:sz w:val="20"/>
                <w:szCs w:val="20"/>
                <w:color w:val="auto"/>
              </w:rPr>
            </w:pPr>
            <w:r>
              <w:rPr>
                <w:rFonts w:ascii="Arial" w:cs="Arial" w:eastAsia="Arial" w:hAnsi="Arial"/>
                <w:sz w:val="18"/>
                <w:szCs w:val="18"/>
                <w:color w:val="auto"/>
              </w:rPr>
              <w:t>588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13.96</w:t>
            </w:r>
          </w:p>
        </w:tc>
        <w:tc>
          <w:tcPr>
            <w:tcW w:w="220" w:type="dxa"/>
            <w:vAlign w:val="bottom"/>
          </w:tcPr>
          <w:p>
            <w:pPr>
              <w:spacing w:after="0"/>
              <w:rPr>
                <w:sz w:val="19"/>
                <w:szCs w:val="19"/>
                <w:color w:val="auto"/>
              </w:rPr>
            </w:pP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0" w:type="dxa"/>
            <w:vAlign w:val="bottom"/>
          </w:tcPr>
          <w:p>
            <w:pPr>
              <w:ind w:left="860"/>
              <w:spacing w:after="0"/>
              <w:rPr>
                <w:sz w:val="20"/>
                <w:szCs w:val="20"/>
                <w:color w:val="auto"/>
              </w:rPr>
            </w:pPr>
            <w:r>
              <w:rPr>
                <w:rFonts w:ascii="Arial" w:cs="Arial" w:eastAsia="Arial" w:hAnsi="Arial"/>
                <w:sz w:val="18"/>
                <w:szCs w:val="18"/>
                <w:color w:val="auto"/>
              </w:rPr>
              <w:t>N/A</w:t>
            </w: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24, 2017 through March 30, 2017</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105,290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ind w:left="860"/>
              <w:spacing w:after="0"/>
              <w:rPr>
                <w:sz w:val="20"/>
                <w:szCs w:val="20"/>
                <w:color w:val="auto"/>
              </w:rPr>
            </w:pPr>
            <w:r>
              <w:rPr>
                <w:rFonts w:ascii="Arial" w:cs="Arial" w:eastAsia="Arial" w:hAnsi="Arial"/>
                <w:sz w:val="18"/>
                <w:szCs w:val="18"/>
                <w:color w:val="auto"/>
              </w:rPr>
              <w:t>N/A</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Reference</w:t>
            </w:r>
          </w:p>
        </w:tc>
        <w:tc>
          <w:tcPr>
            <w:tcW w:w="9080" w:type="dxa"/>
            <w:vAlign w:val="bottom"/>
            <w:gridSpan w:val="3"/>
          </w:tcPr>
          <w:p>
            <w:pPr>
              <w:ind w:left="3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31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1"/>
              </w:rPr>
              <w:t>Amendment to Exhibitor Services Agreement dated as of March 9, 2017, by and between National CineMedia, LLC and</w:t>
            </w:r>
          </w:p>
        </w:tc>
      </w:tr>
      <w:tr>
        <w:trPr>
          <w:trHeight w:val="216"/>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American Multi-Cinema, Inc.</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7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w w:val="91"/>
              </w:rPr>
              <w:t>Amendment to Exhibitor Services Agreement dated as of March 9, 2017, by and between National CineMedia, LLC and</w:t>
            </w:r>
          </w:p>
        </w:tc>
      </w:tr>
      <w:tr>
        <w:trPr>
          <w:trHeight w:val="216"/>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Regal Cinemas, Inc.</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w w:val="95"/>
              </w:rPr>
              <w:t>Waiver of Section 12.06 of the Exhibitor Services Agreement dated as of March 14, 2017, by and between National</w:t>
            </w:r>
          </w:p>
        </w:tc>
      </w:tr>
      <w:tr>
        <w:trPr>
          <w:trHeight w:val="216"/>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CineMedia, LLC and Cinemark USA, Inc.</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w w:val="92"/>
              </w:rPr>
              <w:t>Director Service Agreement dated April 28, 2017, among National CineMedia, Inc., National CineMedia, LLC and Scott</w:t>
            </w:r>
          </w:p>
        </w:tc>
      </w:tr>
      <w:tr>
        <w:trPr>
          <w:trHeight w:val="216"/>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Schneider.</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7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Rule 13a-14(a) Certification of Chief Executive Officer.</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7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Rule 13a-14(a) Certification of Chief Financial Officer.</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7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7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Certification of Chief Financial Officer Pursuant to 18 U.S.C. Section 1350.</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94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 No. 001-33296) filed on March 15, 2017.</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Current Report on Form 8-K (File No. 001-33296) filed on March 15, 2017.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10.3 to the Registrant’s Current Report on Form 8-K (File No. 001-33296) filed on March 15, 2017.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 No. 001-33296) filed on May 4, 2017.</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445" w:right="4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NATIONAL CINEMEDIA, INC.</w:t>
            </w:r>
          </w:p>
        </w:tc>
      </w:tr>
      <w:tr>
        <w:trPr>
          <w:trHeight w:val="230"/>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gridSpan w:val="2"/>
          </w:tcPr>
          <w:p>
            <w:pPr>
              <w:spacing w:after="0"/>
              <w:rPr>
                <w:sz w:val="20"/>
                <w:szCs w:val="20"/>
                <w:color w:val="auto"/>
              </w:rPr>
            </w:pPr>
            <w:r>
              <w:rPr>
                <w:rFonts w:ascii="Arial" w:cs="Arial" w:eastAsia="Arial" w:hAnsi="Arial"/>
                <w:sz w:val="18"/>
                <w:szCs w:val="18"/>
                <w:color w:val="auto"/>
              </w:rPr>
              <w:t>May 5, 2017</w:t>
            </w:r>
          </w:p>
        </w:tc>
        <w:tc>
          <w:tcPr>
            <w:tcW w:w="5140" w:type="dxa"/>
            <w:vAlign w:val="bottom"/>
          </w:tcPr>
          <w:p>
            <w:pPr>
              <w:spacing w:after="0"/>
              <w:rPr>
                <w:sz w:val="20"/>
                <w:szCs w:val="20"/>
                <w:color w:val="auto"/>
              </w:rPr>
            </w:pPr>
            <w:r>
              <w:rPr>
                <w:rFonts w:ascii="Arial" w:cs="Arial" w:eastAsia="Arial" w:hAnsi="Arial"/>
                <w:sz w:val="18"/>
                <w:szCs w:val="18"/>
                <w:color w:val="auto"/>
              </w:rPr>
              <w:t>/s/ Andrew J. England</w:t>
            </w:r>
          </w:p>
        </w:tc>
      </w:tr>
      <w:tr>
        <w:trPr>
          <w:trHeight w:val="195"/>
        </w:trPr>
        <w:tc>
          <w:tcPr>
            <w:tcW w:w="580" w:type="dxa"/>
            <w:vAlign w:val="bottom"/>
          </w:tcPr>
          <w:p>
            <w:pPr>
              <w:spacing w:after="0"/>
              <w:rPr>
                <w:sz w:val="16"/>
                <w:szCs w:val="16"/>
                <w:color w:val="auto"/>
              </w:rPr>
            </w:pPr>
          </w:p>
        </w:tc>
        <w:tc>
          <w:tcPr>
            <w:tcW w:w="51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J. England</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gridSpan w:val="2"/>
          </w:tcPr>
          <w:p>
            <w:pPr>
              <w:spacing w:after="0"/>
              <w:rPr>
                <w:sz w:val="20"/>
                <w:szCs w:val="20"/>
                <w:color w:val="auto"/>
              </w:rPr>
            </w:pPr>
            <w:r>
              <w:rPr>
                <w:rFonts w:ascii="Arial" w:cs="Arial" w:eastAsia="Arial" w:hAnsi="Arial"/>
                <w:sz w:val="18"/>
                <w:szCs w:val="18"/>
                <w:color w:val="auto"/>
              </w:rPr>
              <w:t>May 5, 2017</w:t>
            </w:r>
          </w:p>
        </w:tc>
        <w:tc>
          <w:tcPr>
            <w:tcW w:w="5140" w:type="dxa"/>
            <w:vAlign w:val="bottom"/>
          </w:tcPr>
          <w:p>
            <w:pPr>
              <w:spacing w:after="0"/>
              <w:rPr>
                <w:sz w:val="20"/>
                <w:szCs w:val="20"/>
                <w:color w:val="auto"/>
              </w:rPr>
            </w:pPr>
            <w:r>
              <w:rPr>
                <w:rFonts w:ascii="Arial" w:cs="Arial" w:eastAsia="Arial" w:hAnsi="Arial"/>
                <w:sz w:val="18"/>
                <w:szCs w:val="18"/>
                <w:color w:val="auto"/>
              </w:rPr>
              <w:t>/s/ Katherine L. Scherping</w:t>
            </w:r>
          </w:p>
        </w:tc>
      </w:tr>
      <w:tr>
        <w:trPr>
          <w:trHeight w:val="195"/>
        </w:trPr>
        <w:tc>
          <w:tcPr>
            <w:tcW w:w="580" w:type="dxa"/>
            <w:vAlign w:val="bottom"/>
          </w:tcPr>
          <w:p>
            <w:pPr>
              <w:spacing w:after="0"/>
              <w:rPr>
                <w:sz w:val="16"/>
                <w:szCs w:val="16"/>
                <w:color w:val="auto"/>
              </w:rPr>
            </w:pPr>
          </w:p>
        </w:tc>
        <w:tc>
          <w:tcPr>
            <w:tcW w:w="51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Katherine L. Scherping</w:t>
            </w:r>
          </w:p>
        </w:tc>
      </w:tr>
      <w:tr>
        <w:trPr>
          <w:trHeight w:val="230"/>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w w:val="97"/>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J. England, certify that:</w:t>
      </w:r>
    </w:p>
    <w:p>
      <w:pPr>
        <w:spacing w:after="0" w:line="225" w:lineRule="exact"/>
        <w:rPr>
          <w:sz w:val="20"/>
          <w:szCs w:val="20"/>
          <w:color w:val="auto"/>
        </w:rPr>
      </w:pPr>
    </w:p>
    <w:p>
      <w:pPr>
        <w:ind w:left="700" w:hanging="17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60" w:firstLine="3"/>
        <w:spacing w:after="0" w:line="264" w:lineRule="auto"/>
        <w:tabs>
          <w:tab w:leader="none" w:pos="12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00" w:firstLine="3"/>
        <w:spacing w:after="0" w:line="264" w:lineRule="auto"/>
        <w:tabs>
          <w:tab w:leader="none" w:pos="12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20" w:firstLine="3"/>
        <w:spacing w:after="0" w:line="342" w:lineRule="auto"/>
        <w:tabs>
          <w:tab w:leader="none" w:pos="128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firstLine="3"/>
        <w:spacing w:after="0" w:line="264" w:lineRule="auto"/>
        <w:tabs>
          <w:tab w:leader="none" w:pos="12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640" w:firstLine="3"/>
        <w:spacing w:after="0" w:line="308" w:lineRule="auto"/>
        <w:tabs>
          <w:tab w:leader="none" w:pos="1285"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320" w:firstLine="3"/>
        <w:spacing w:after="0" w:line="277" w:lineRule="auto"/>
        <w:tabs>
          <w:tab w:leader="none" w:pos="12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60" w:type="dxa"/>
            <w:vAlign w:val="bottom"/>
          </w:tcPr>
          <w:p>
            <w:pPr>
              <w:spacing w:after="0"/>
              <w:rPr>
                <w:sz w:val="20"/>
                <w:szCs w:val="20"/>
                <w:color w:val="auto"/>
              </w:rPr>
            </w:pPr>
            <w:r>
              <w:rPr>
                <w:rFonts w:ascii="Arial" w:cs="Arial" w:eastAsia="Arial" w:hAnsi="Arial"/>
                <w:sz w:val="18"/>
                <w:szCs w:val="18"/>
                <w:color w:val="auto"/>
              </w:rPr>
              <w:t>Date: May 5, 2017</w:t>
            </w: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J. England</w:t>
            </w:r>
          </w:p>
        </w:tc>
      </w:tr>
      <w:tr>
        <w:trPr>
          <w:trHeight w:val="209"/>
        </w:trPr>
        <w:tc>
          <w:tcPr>
            <w:tcW w:w="5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Andrew J. England</w:t>
            </w:r>
          </w:p>
        </w:tc>
      </w:tr>
      <w:tr>
        <w:trPr>
          <w:trHeight w:val="230"/>
        </w:trPr>
        <w:tc>
          <w:tcPr>
            <w:tcW w:w="51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1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225" w:lineRule="exact"/>
        <w:rPr>
          <w:sz w:val="20"/>
          <w:szCs w:val="20"/>
          <w:color w:val="auto"/>
        </w:rPr>
      </w:pPr>
    </w:p>
    <w:p>
      <w:pPr>
        <w:ind w:left="700" w:hanging="17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60" w:firstLine="3"/>
        <w:spacing w:after="0" w:line="264" w:lineRule="auto"/>
        <w:tabs>
          <w:tab w:leader="none" w:pos="12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00" w:firstLine="3"/>
        <w:spacing w:after="0" w:line="264" w:lineRule="auto"/>
        <w:tabs>
          <w:tab w:leader="none" w:pos="12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20" w:firstLine="3"/>
        <w:spacing w:after="0" w:line="342" w:lineRule="auto"/>
        <w:tabs>
          <w:tab w:leader="none" w:pos="128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firstLine="3"/>
        <w:spacing w:after="0" w:line="264" w:lineRule="auto"/>
        <w:tabs>
          <w:tab w:leader="none" w:pos="12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640" w:firstLine="3"/>
        <w:spacing w:after="0" w:line="308" w:lineRule="auto"/>
        <w:tabs>
          <w:tab w:leader="none" w:pos="1285"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320" w:firstLine="3"/>
        <w:spacing w:after="0" w:line="277" w:lineRule="auto"/>
        <w:tabs>
          <w:tab w:leader="none" w:pos="12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Date: May 5, 2017</w:t>
            </w: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L. Scherping</w:t>
            </w:r>
          </w:p>
        </w:tc>
      </w:tr>
      <w:tr>
        <w:trPr>
          <w:trHeight w:val="215"/>
        </w:trPr>
        <w:tc>
          <w:tcPr>
            <w:tcW w:w="5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Katherine L. Scherping</w:t>
            </w:r>
          </w:p>
        </w:tc>
      </w:tr>
      <w:tr>
        <w:trPr>
          <w:trHeight w:val="230"/>
        </w:trPr>
        <w:tc>
          <w:tcPr>
            <w:tcW w:w="51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1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March 30, 2017 (the “Report”) of National CineMedia, Inc. (the “Registrant”) as filed with the Securities and Exchange Commission on the date hereof, I, Andrew J. England, the Chief Executive Officer and Director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00" w:hanging="174"/>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Date: May 5, 2017</w:t>
            </w: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J. England</w:t>
            </w:r>
          </w:p>
        </w:tc>
      </w:tr>
      <w:tr>
        <w:trPr>
          <w:trHeight w:val="215"/>
        </w:trPr>
        <w:tc>
          <w:tcPr>
            <w:tcW w:w="5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Andrew J. England</w:t>
            </w:r>
          </w:p>
        </w:tc>
      </w:tr>
      <w:tr>
        <w:trPr>
          <w:trHeight w:val="230"/>
        </w:trPr>
        <w:tc>
          <w:tcPr>
            <w:tcW w:w="51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1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72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March 30, 2017 (the “Report”) of National CineMedia, Inc.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00" w:hanging="174"/>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Date: May 5, 2017</w:t>
            </w: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L. Scherping</w:t>
            </w:r>
          </w:p>
        </w:tc>
      </w:tr>
      <w:tr>
        <w:trPr>
          <w:trHeight w:val="215"/>
        </w:trPr>
        <w:tc>
          <w:tcPr>
            <w:tcW w:w="5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Katherine L. Scherping</w:t>
            </w:r>
          </w:p>
        </w:tc>
      </w:tr>
      <w:tr>
        <w:trPr>
          <w:trHeight w:val="230"/>
        </w:trPr>
        <w:tc>
          <w:tcPr>
            <w:tcW w:w="51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1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lvl w:ilvl="1">
      <w:lvlJc w:val="left"/>
      <w:lvlText w:val="(%2)"/>
      <w:numFmt w:val="decimal"/>
      <w:start w:val="1"/>
    </w:lvl>
  </w:abstractNum>
  <w:abstractNum w:abstractNumId="9">
    <w:nsid w:val="519B500D"/>
    <w:multiLevelType w:val="hybridMultilevel"/>
    <w:lvl w:ilvl="0">
      <w:lvlJc w:val="left"/>
      <w:lvlText w:val="%1."/>
      <w:numFmt w:val="decimal"/>
      <w:start w:val="9"/>
    </w:lvl>
    <w:lvl w:ilvl="1">
      <w:lvlJc w:val="left"/>
      <w:lvlText w:val="%2"/>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lvl w:ilvl="1">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2019-12-29T06:09:01Z</dcterms:created>
  <dcterms:modified xsi:type="dcterms:W3CDTF">2019-12-29T06:09:01Z</dcterms:modified>
</cp:coreProperties>
</file>