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57"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71" w:lineRule="exact"/>
        <w:rPr>
          <w:sz w:val="24"/>
          <w:szCs w:val="24"/>
          <w:color w:val="auto"/>
        </w:rPr>
      </w:pPr>
    </w:p>
    <w:p>
      <w:pPr>
        <w:ind w:left="1360" w:hanging="1116"/>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6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June 25, 2020</w:t>
      </w:r>
    </w:p>
    <w:p>
      <w:pPr>
        <w:spacing w:after="0" w:line="11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4320" w:right="480" w:hanging="4110"/>
        <w:spacing w:after="0" w:line="579" w:lineRule="auto"/>
        <w:tabs>
          <w:tab w:leader="none" w:pos="132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 .</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81280</wp:posOffset>
            </wp:positionV>
            <wp:extent cx="13887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2743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0960"/>
          </w:cols>
          <w:pgMar w:left="320" w:top="935" w:right="619" w:bottom="1440" w:gutter="0" w:footer="0" w:header="0"/>
        </w:sectPr>
      </w:pPr>
    </w:p>
    <w:p>
      <w:pPr>
        <w:spacing w:after="0" w:line="158"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82" w:lineRule="exact"/>
        <w:rPr>
          <w:sz w:val="24"/>
          <w:szCs w:val="24"/>
          <w:color w:val="auto"/>
        </w:rPr>
      </w:pPr>
    </w:p>
    <w:p>
      <w:pPr>
        <w:sectPr>
          <w:pgSz w:w="11900" w:h="16838" w:orient="portrait"/>
          <w:cols w:equalWidth="0" w:num="2">
            <w:col w:w="7480" w:space="720"/>
            <w:col w:w="2760"/>
          </w:cols>
          <w:pgMar w:left="320" w:top="935" w:right="619" w:bottom="1440" w:gutter="0" w:footer="0" w:header="0"/>
          <w:type w:val="continuous"/>
        </w:sectPr>
      </w:pPr>
    </w:p>
    <w:p>
      <w:pPr>
        <w:ind w:left="15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2880"/>
          </w:cols>
          <w:pgMar w:left="320" w:top="935" w:right="619" w:bottom="1440" w:gutter="0" w:footer="0" w:header="0"/>
          <w:type w:val="continuous"/>
        </w:sectPr>
      </w:pPr>
    </w:p>
    <w:p>
      <w:pPr>
        <w:spacing w:after="0" w:line="3"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5"/>
          <w:szCs w:val="15"/>
          <w:b w:val="1"/>
          <w:bCs w:val="1"/>
          <w:color w:val="auto"/>
        </w:rPr>
        <w:t>80111</w:t>
      </w:r>
    </w:p>
    <w:p>
      <w:pPr>
        <w:spacing w:after="0" w:line="160" w:lineRule="exact"/>
        <w:rPr>
          <w:sz w:val="24"/>
          <w:szCs w:val="24"/>
          <w:color w:val="auto"/>
        </w:rPr>
      </w:pPr>
    </w:p>
    <w:p>
      <w:pPr>
        <w:sectPr>
          <w:pgSz w:w="11900" w:h="16838" w:orient="portrait"/>
          <w:cols w:equalWidth="0" w:num="4">
            <w:col w:w="3940" w:space="720"/>
            <w:col w:w="840" w:space="280"/>
            <w:col w:w="1920" w:space="720"/>
            <w:col w:w="2540"/>
          </w:cols>
          <w:pgMar w:left="320" w:top="935" w:right="619" w:bottom="1440" w:gutter="0" w:footer="0" w:header="0"/>
          <w:type w:val="continuous"/>
        </w:sectPr>
      </w:pPr>
    </w:p>
    <w:p>
      <w:pPr>
        <w:ind w:left="12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8" w:lineRule="exact"/>
        <w:rPr>
          <w:sz w:val="24"/>
          <w:szCs w:val="24"/>
          <w:color w:val="auto"/>
        </w:rPr>
      </w:pPr>
    </w:p>
    <w:p>
      <w:pPr>
        <w:sectPr>
          <w:pgSz w:w="11900" w:h="16838" w:orient="portrait"/>
          <w:cols w:equalWidth="0" w:num="2">
            <w:col w:w="7580" w:space="720"/>
            <w:col w:w="2660"/>
          </w:cols>
          <w:pgMar w:left="320" w:top="935" w:right="61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5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960"/>
          </w:cols>
          <w:pgMar w:left="320" w:top="935" w:right="619" w:bottom="1440" w:gutter="0" w:footer="0" w:header="0"/>
          <w:type w:val="continuous"/>
        </w:sectPr>
      </w:pPr>
    </w:p>
    <w:p>
      <w:pPr>
        <w:spacing w:after="0" w:line="17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NCMI</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The Nasdaq Stock Market LLC</w:t>
      </w:r>
    </w:p>
    <w:p>
      <w:pPr>
        <w:spacing w:after="0" w:line="85" w:lineRule="exact"/>
        <w:rPr>
          <w:sz w:val="24"/>
          <w:szCs w:val="24"/>
          <w:color w:val="auto"/>
        </w:rPr>
      </w:pPr>
    </w:p>
    <w:p>
      <w:pPr>
        <w:sectPr>
          <w:pgSz w:w="11900" w:h="16838" w:orient="portrait"/>
          <w:cols w:equalWidth="0" w:num="3">
            <w:col w:w="4560" w:space="720"/>
            <w:col w:w="1840" w:space="720"/>
            <w:col w:w="3120"/>
          </w:cols>
          <w:pgMar w:left="320" w:top="935" w:right="61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5" w:lineRule="exact"/>
        <w:rPr>
          <w:sz w:val="24"/>
          <w:szCs w:val="24"/>
          <w:color w:val="auto"/>
        </w:rPr>
      </w:pPr>
    </w:p>
    <w:p>
      <w:pPr>
        <w:sectPr>
          <w:pgSz w:w="11900" w:h="16838" w:orient="portrait"/>
          <w:cols w:equalWidth="0" w:num="3">
            <w:col w:w="4180" w:space="720"/>
            <w:col w:w="1700" w:space="720"/>
            <w:col w:w="3640"/>
          </w:cols>
          <w:pgMar w:left="320" w:top="935" w:right="619" w:bottom="1440" w:gutter="0" w:footer="0" w:header="0"/>
          <w:type w:val="continuous"/>
        </w:sectPr>
      </w:pPr>
    </w:p>
    <w:p>
      <w:pPr>
        <w:ind w:left="396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0960"/>
          </w:cols>
          <w:pgMar w:left="320" w:top="935" w:right="619" w:bottom="1440" w:gutter="0" w:footer="0" w:header="0"/>
          <w:type w:val="continuous"/>
        </w:sectPr>
      </w:pPr>
    </w:p>
    <w:p>
      <w:pPr>
        <w:spacing w:after="0" w:line="44" w:lineRule="exact"/>
        <w:rPr>
          <w:sz w:val="24"/>
          <w:szCs w:val="24"/>
          <w:color w:val="auto"/>
        </w:rPr>
      </w:pPr>
    </w:p>
    <w:p>
      <w:pPr>
        <w:ind w:right="2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5"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3"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8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0960"/>
          </w:cols>
          <w:pgMar w:left="320" w:top="935" w:right="61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July 31, 2020, 79,610,497 shares of the registrant’s common stock (including unvested restricted shares), par value of $0.01 per share, were outstanding.</w:t>
      </w:r>
    </w:p>
    <w:p>
      <w:pPr>
        <w:sectPr>
          <w:pgSz w:w="11900" w:h="16838" w:orient="portrait"/>
          <w:cols w:equalWidth="0" w:num="1">
            <w:col w:w="11080"/>
          </w:cols>
          <w:pgMar w:left="320" w:top="881"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3"/>
              </w:rPr>
              <w:t>Page</w:t>
            </w:r>
          </w:p>
        </w:tc>
      </w:tr>
      <w:tr>
        <w:trPr>
          <w:trHeight w:val="561"/>
        </w:trPr>
        <w:tc>
          <w:tcPr>
            <w:tcW w:w="1000" w:type="dxa"/>
            <w:vAlign w:val="bottom"/>
          </w:tcPr>
          <w:p>
            <w:pPr>
              <w:spacing w:after="0"/>
              <w:rPr>
                <w:sz w:val="24"/>
                <w:szCs w:val="24"/>
                <w:color w:val="auto"/>
              </w:rPr>
            </w:pPr>
          </w:p>
        </w:tc>
        <w:tc>
          <w:tcPr>
            <w:tcW w:w="9400" w:type="dxa"/>
            <w:vAlign w:val="bottom"/>
          </w:tcPr>
          <w:p>
            <w:pPr>
              <w:ind w:left="43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10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Financial Statements</w:t>
              </w:r>
            </w:hyperlink>
          </w:p>
        </w:tc>
        <w:tc>
          <w:tcPr>
            <w:tcW w:w="7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w:t>
              </w:r>
            </w:hyperlink>
          </w:p>
        </w:tc>
        <w:tc>
          <w:tcPr>
            <w:tcW w:w="7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Income and Comprehensive Income</w:t>
              </w:r>
            </w:hyperlink>
          </w:p>
        </w:tc>
        <w:tc>
          <w:tcPr>
            <w:tcW w:w="78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780" w:type="dxa"/>
            <w:vAlign w:val="bottom"/>
            <w:gridSpan w:val="2"/>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Equity/(Deficit)</w:t>
              </w:r>
            </w:hyperlink>
          </w:p>
        </w:tc>
        <w:tc>
          <w:tcPr>
            <w:tcW w:w="780" w:type="dxa"/>
            <w:vAlign w:val="bottom"/>
            <w:gridSpan w:val="2"/>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78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7</w:t>
              </w:r>
            </w:hyperlink>
          </w:p>
        </w:tc>
      </w:tr>
      <w:tr>
        <w:trPr>
          <w:trHeight w:val="270"/>
        </w:trPr>
        <w:tc>
          <w:tcPr>
            <w:tcW w:w="1000" w:type="dxa"/>
            <w:vAlign w:val="bottom"/>
          </w:tcPr>
          <w:p>
            <w:pPr>
              <w:spacing w:after="0"/>
              <w:rPr>
                <w:rFonts w:ascii="Arial" w:cs="Arial" w:eastAsia="Arial" w:hAnsi="Arial"/>
                <w:sz w:val="18"/>
                <w:szCs w:val="18"/>
                <w:color w:val="auto"/>
              </w:rPr>
            </w:pPr>
            <w:hyperlink w:anchor="page26">
              <w:r>
                <w:rPr>
                  <w:rFonts w:ascii="Arial" w:cs="Arial" w:eastAsia="Arial" w:hAnsi="Arial"/>
                  <w:sz w:val="18"/>
                  <w:szCs w:val="18"/>
                  <w:color w:val="auto"/>
                </w:rPr>
                <w:t>Item 2.</w:t>
              </w:r>
            </w:hyperlink>
          </w:p>
        </w:tc>
        <w:tc>
          <w:tcPr>
            <w:tcW w:w="940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70"/>
        </w:trPr>
        <w:tc>
          <w:tcPr>
            <w:tcW w:w="100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3.</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78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70"/>
        </w:trPr>
        <w:tc>
          <w:tcPr>
            <w:tcW w:w="100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4.</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78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540"/>
        </w:trPr>
        <w:tc>
          <w:tcPr>
            <w:tcW w:w="1000" w:type="dxa"/>
            <w:vAlign w:val="bottom"/>
          </w:tcPr>
          <w:p>
            <w:pPr>
              <w:spacing w:after="0"/>
              <w:rPr>
                <w:sz w:val="24"/>
                <w:szCs w:val="24"/>
                <w:color w:val="auto"/>
              </w:rPr>
            </w:pPr>
          </w:p>
        </w:tc>
        <w:tc>
          <w:tcPr>
            <w:tcW w:w="9400" w:type="dxa"/>
            <w:vAlign w:val="bottom"/>
          </w:tcPr>
          <w:p>
            <w:pPr>
              <w:ind w:left="426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w:t>
              </w:r>
            </w:hyperlink>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40"/>
        </w:trPr>
        <w:tc>
          <w:tcPr>
            <w:tcW w:w="10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1.</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78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70"/>
        </w:trPr>
        <w:tc>
          <w:tcPr>
            <w:tcW w:w="10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1A.</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78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70"/>
        </w:trPr>
        <w:tc>
          <w:tcPr>
            <w:tcW w:w="10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2.</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780" w:type="dxa"/>
            <w:vAlign w:val="bottom"/>
            <w:gridSpan w:val="2"/>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70"/>
        </w:trPr>
        <w:tc>
          <w:tcPr>
            <w:tcW w:w="10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Defaults Upon Senior Securities</w:t>
              </w:r>
            </w:hyperlink>
          </w:p>
        </w:tc>
        <w:tc>
          <w:tcPr>
            <w:tcW w:w="78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70"/>
        </w:trPr>
        <w:tc>
          <w:tcPr>
            <w:tcW w:w="10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78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70"/>
        </w:trPr>
        <w:tc>
          <w:tcPr>
            <w:tcW w:w="10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5.</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78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70"/>
        </w:trPr>
        <w:tc>
          <w:tcPr>
            <w:tcW w:w="100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6.</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78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r>
      <w:tr>
        <w:trPr>
          <w:trHeight w:val="540"/>
        </w:trPr>
        <w:tc>
          <w:tcPr>
            <w:tcW w:w="10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9400" w:type="dxa"/>
            <w:vAlign w:val="bottom"/>
          </w:tcPr>
          <w:p>
            <w:pPr>
              <w:spacing w:after="0"/>
              <w:rPr>
                <w:sz w:val="24"/>
                <w:szCs w:val="24"/>
                <w:color w:val="auto"/>
              </w:rPr>
            </w:pPr>
          </w:p>
        </w:tc>
        <w:tc>
          <w:tcPr>
            <w:tcW w:w="78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bl>
    <w:p>
      <w:pPr>
        <w:sectPr>
          <w:pgSz w:w="11900" w:h="16838" w:orient="portrait"/>
          <w:cols w:equalWidth="0" w:num="1">
            <w:col w:w="11180"/>
          </w:cols>
          <w:pgMar w:left="360" w:top="33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25, 2020</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December 26, 2019</w:t>
            </w:r>
          </w:p>
        </w:tc>
        <w:tc>
          <w:tcPr>
            <w:tcW w:w="0" w:type="dxa"/>
            <w:vAlign w:val="bottom"/>
          </w:tcPr>
          <w:p>
            <w:pPr>
              <w:spacing w:after="0"/>
              <w:rPr>
                <w:sz w:val="1"/>
                <w:szCs w:val="1"/>
                <w:color w:val="auto"/>
              </w:rPr>
            </w:pPr>
          </w:p>
        </w:tc>
      </w:tr>
      <w:tr>
        <w:trPr>
          <w:trHeight w:val="269"/>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Short-term marketable securities</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Receivables, net of allowance of $3.2 and $6.2, respectively</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Amounts due from founding members, net</w:t>
            </w:r>
          </w:p>
        </w:tc>
        <w:tc>
          <w:tcPr>
            <w:tcW w:w="26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0"/>
        </w:trPr>
        <w:tc>
          <w:tcPr>
            <w:tcW w:w="7780" w:type="dxa"/>
            <w:vAlign w:val="bottom"/>
          </w:tcPr>
          <w:p>
            <w:pPr>
              <w:ind w:left="720"/>
              <w:spacing w:after="0"/>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NON-CURRENT ASSETS: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Property and equipment, net of accumulated depreciation of $75.6 and $70.7, respectively</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Intangible assets, net of accumulated amortization of $211.0 and $198.9, respectively</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Deferred tax assets, net of valuation allowance of $72.4 and $81.6, respectively</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investments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Long-term marketable securities</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Debt issuance costs, net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assets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870.2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0" w:type="dxa"/>
            <w:vAlign w:val="bottom"/>
          </w:tcPr>
          <w:p>
            <w:pPr>
              <w:spacing w:after="0"/>
              <w:rPr>
                <w:sz w:val="1"/>
                <w:szCs w:val="1"/>
                <w:color w:val="auto"/>
              </w:rPr>
            </w:pPr>
          </w:p>
        </w:tc>
      </w:tr>
      <w:tr>
        <w:trPr>
          <w:trHeight w:val="281"/>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52"/>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EQUITY/(DEFICIT)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Amounts due to founding members, net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60" w:type="dxa"/>
            <w:vAlign w:val="bottom"/>
          </w:tcPr>
          <w:p>
            <w:pPr>
              <w:spacing w:after="0"/>
              <w:rPr>
                <w:sz w:val="12"/>
                <w:szCs w:val="12"/>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parties of $10.0 and $10.3, respectively)</w:t>
            </w:r>
          </w:p>
        </w:tc>
        <w:tc>
          <w:tcPr>
            <w:tcW w:w="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Accrued expenses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Accrued payroll and related expenses</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Short-term debt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current liabilities</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NON-CURRENT LIABILITIES: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Long-term debt, net of debt issuance costs of $8.7 and $9.0, respectively</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923.9</w:t>
            </w: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60" w:type="dxa"/>
            <w:vAlign w:val="bottom"/>
          </w:tcPr>
          <w:p>
            <w:pPr>
              <w:spacing w:after="0"/>
              <w:rPr>
                <w:sz w:val="12"/>
                <w:szCs w:val="12"/>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parties of $134.7 and $133.5, respectively)</w:t>
            </w:r>
          </w:p>
        </w:tc>
        <w:tc>
          <w:tcPr>
            <w:tcW w:w="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1,131.7</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1,322.9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3"/>
                <w:szCs w:val="13"/>
                <w:color w:val="auto"/>
              </w:rPr>
              <w:t>COMMITMENTS AND CONTINGENCIES (NOTE 8)</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EQUITY/(DEFICIT):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280"/>
              <w:spacing w:after="0"/>
              <w:rPr>
                <w:sz w:val="20"/>
                <w:szCs w:val="20"/>
                <w:color w:val="auto"/>
              </w:rPr>
            </w:pPr>
            <w:r>
              <w:rPr>
                <w:rFonts w:ascii="Arial" w:cs="Arial" w:eastAsia="Arial" w:hAnsi="Arial"/>
                <w:sz w:val="13"/>
                <w:szCs w:val="13"/>
                <w:color w:val="auto"/>
              </w:rPr>
              <w:t>NCM, Inc. Stockholders’ Equity/(Deficit):</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26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respectively</w:t>
            </w:r>
          </w:p>
        </w:tc>
        <w:tc>
          <w:tcPr>
            <w:tcW w:w="260" w:type="dxa"/>
            <w:vAlign w:val="bottom"/>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Common stock, $0.01 par value; 175,000,000 shares authorized, 78,000,338 and 77,568,986 issued</w:t>
            </w:r>
          </w:p>
        </w:tc>
        <w:tc>
          <w:tcPr>
            <w:tcW w:w="260" w:type="dxa"/>
            <w:vAlign w:val="bottom"/>
          </w:tcPr>
          <w:p>
            <w:pPr>
              <w:spacing w:after="0"/>
              <w:rPr>
                <w:sz w:val="12"/>
                <w:szCs w:val="12"/>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and outstanding, respectively</w:t>
            </w:r>
          </w:p>
        </w:tc>
        <w:tc>
          <w:tcPr>
            <w:tcW w:w="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Additional paid in capital/(deficit)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Retained earnings (distributions in excess of earnings)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NCM, Inc. stockholders’ equity/(deficit)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equity/(deficit)</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41"/>
        </w:trPr>
        <w:tc>
          <w:tcPr>
            <w:tcW w:w="7780" w:type="dxa"/>
            <w:vAlign w:val="bottom"/>
          </w:tcPr>
          <w:p>
            <w:pPr>
              <w:ind w:left="40"/>
              <w:spacing w:after="0"/>
              <w:rPr>
                <w:sz w:val="20"/>
                <w:szCs w:val="20"/>
                <w:color w:val="auto"/>
              </w:rPr>
            </w:pPr>
            <w:r>
              <w:rPr>
                <w:rFonts w:ascii="Arial" w:cs="Arial" w:eastAsia="Arial" w:hAnsi="Arial"/>
                <w:sz w:val="13"/>
                <w:szCs w:val="13"/>
                <w:color w:val="auto"/>
              </w:rPr>
              <w:t>TOTAL LIABILITIES AND EQUITY/(DEFICIT)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1,147.9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ectPr>
          <w:pgSz w:w="11900" w:h="16838" w:orient="portrait"/>
          <w:cols w:equalWidth="0" w:num="1">
            <w:col w:w="11240"/>
          </w:cols>
          <w:pgMar w:left="320" w:top="526" w:right="339" w:bottom="757"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526" w:right="339" w:bottom="7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25, 2020</w:t>
            </w:r>
          </w:p>
        </w:tc>
        <w:tc>
          <w:tcPr>
            <w:tcW w:w="22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14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25, 2020</w:t>
            </w:r>
          </w:p>
        </w:tc>
        <w:tc>
          <w:tcPr>
            <w:tcW w:w="220" w:type="dxa"/>
            <w:vAlign w:val="bottom"/>
          </w:tcPr>
          <w:p>
            <w:pPr>
              <w:spacing w:after="0"/>
              <w:rPr>
                <w:sz w:val="13"/>
                <w:szCs w:val="13"/>
                <w:color w:val="auto"/>
              </w:rPr>
            </w:pPr>
          </w:p>
        </w:tc>
        <w:tc>
          <w:tcPr>
            <w:tcW w:w="100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 (including revenue from related parties of $0.0, $6.5, $4.3 and $11.8, respectively)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 operating costs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Network costs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Theater access fees and revenue share to founding members (including fees to related parties of</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$0.0, $14.5, $12.5 and $27.4, respectively)</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Selling and marketing costs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 and other costs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Impairment of long-lived assets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69"/>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Interest on borrowings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Loss (gain) on modification and retirement of debt, net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Loss on re-measurement of the payable to founding members under the tax receivable agreement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Other non-operating expense (income)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4"/>
                <w:szCs w:val="14"/>
                <w:color w:val="auto"/>
              </w:rPr>
              <w:t>(LOSS) INCOME BEFORE INCOME TAXES</w:t>
            </w:r>
          </w:p>
        </w:tc>
        <w:tc>
          <w:tcPr>
            <w:tcW w:w="16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4"/>
                <w:szCs w:val="14"/>
                <w:color w:val="auto"/>
              </w:rPr>
              <w:t>CONSOLIDATED NET (LOSS) INCOME</w:t>
            </w:r>
          </w:p>
        </w:tc>
        <w:tc>
          <w:tcPr>
            <w:tcW w:w="16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Net (loss) income attributable to noncontrolling interests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INCOME ATTRIBUTABLE TO NCM,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 INCOME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PER NCM, INC. COMMON SHARE:</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77,995,951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77,343,093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77,879,959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77,261,435</w:t>
            </w:r>
          </w:p>
        </w:tc>
        <w:tc>
          <w:tcPr>
            <w:tcW w:w="0" w:type="dxa"/>
            <w:vAlign w:val="bottom"/>
          </w:tcPr>
          <w:p>
            <w:pPr>
              <w:spacing w:after="0"/>
              <w:rPr>
                <w:sz w:val="1"/>
                <w:szCs w:val="1"/>
                <w:color w:val="auto"/>
              </w:rPr>
            </w:pPr>
          </w:p>
        </w:tc>
      </w:tr>
      <w:tr>
        <w:trPr>
          <w:trHeight w:val="258"/>
        </w:trPr>
        <w:tc>
          <w:tcPr>
            <w:tcW w:w="5960" w:type="dxa"/>
            <w:vAlign w:val="bottom"/>
          </w:tcPr>
          <w:p>
            <w:pPr>
              <w:ind w:left="2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77,995,951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77,636,096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77,879,959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77,575,081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6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25, 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8"/>
              </w:rPr>
              <w:t>June 27, 2019</w:t>
            </w:r>
          </w:p>
        </w:tc>
      </w:tr>
      <w:tr>
        <w:trPr>
          <w:trHeight w:val="269"/>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Consolidated net (loss) income</w:t>
            </w:r>
          </w:p>
        </w:tc>
        <w:tc>
          <w:tcPr>
            <w:tcW w:w="1640" w:type="dxa"/>
            <w:vAlign w:val="bottom"/>
          </w:tcPr>
          <w:p>
            <w:pPr>
              <w:jc w:val="right"/>
              <w:ind w:right="14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18.4</w:t>
            </w: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consolidated net (loss) income to net cash provided by operating activities: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Deferred income tax (benefit) expense</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expense</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share-based compensation</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Impairment of long-lived assets</w:t>
            </w:r>
          </w:p>
        </w:tc>
        <w:tc>
          <w:tcPr>
            <w:tcW w:w="16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Loss (gain) on modification and retirement of debt, net</w:t>
            </w:r>
          </w:p>
        </w:tc>
        <w:tc>
          <w:tcPr>
            <w:tcW w:w="16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63"/>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loss on re-measurement of the payable to founding members under</w:t>
            </w:r>
          </w:p>
        </w:tc>
        <w:tc>
          <w:tcPr>
            <w:tcW w:w="1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94"/>
        </w:trPr>
        <w:tc>
          <w:tcPr>
            <w:tcW w:w="6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the tax receivable agreement</w:t>
            </w: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Other</w:t>
            </w:r>
          </w:p>
        </w:tc>
        <w:tc>
          <w:tcPr>
            <w:tcW w:w="164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disposition of intangible assets by network affiliates</w:t>
            </w:r>
          </w:p>
        </w:tc>
        <w:tc>
          <w:tcPr>
            <w:tcW w:w="16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157"/>
        </w:trPr>
        <w:tc>
          <w:tcPr>
            <w:tcW w:w="6640" w:type="dxa"/>
            <w:vAlign w:val="bottom"/>
          </w:tcPr>
          <w:p>
            <w:pPr>
              <w:ind w:left="280"/>
              <w:spacing w:after="0" w:line="157" w:lineRule="exact"/>
              <w:rPr>
                <w:sz w:val="20"/>
                <w:szCs w:val="20"/>
                <w:color w:val="auto"/>
              </w:rPr>
            </w:pPr>
            <w:r>
              <w:rPr>
                <w:rFonts w:ascii="Arial" w:cs="Arial" w:eastAsia="Arial" w:hAnsi="Arial"/>
                <w:sz w:val="14"/>
                <w:szCs w:val="14"/>
                <w:color w:val="auto"/>
              </w:rPr>
              <w:t>Founding member integration and other encumbered theater payments (including</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8"/>
        </w:trPr>
        <w:tc>
          <w:tcPr>
            <w:tcW w:w="6640" w:type="dxa"/>
            <w:vAlign w:val="bottom"/>
          </w:tcPr>
          <w:p>
            <w:pPr>
              <w:ind w:left="380"/>
              <w:spacing w:after="0"/>
              <w:rPr>
                <w:sz w:val="20"/>
                <w:szCs w:val="20"/>
                <w:color w:val="auto"/>
              </w:rPr>
            </w:pPr>
            <w:r>
              <w:rPr>
                <w:rFonts w:ascii="Arial" w:cs="Arial" w:eastAsia="Arial" w:hAnsi="Arial"/>
                <w:sz w:val="14"/>
                <w:szCs w:val="14"/>
                <w:color w:val="auto"/>
              </w:rPr>
              <w:t>payments from related parties of $0.1 and $0.6, respectively)</w:t>
            </w:r>
          </w:p>
        </w:tc>
        <w:tc>
          <w:tcPr>
            <w:tcW w:w="1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163"/>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to the founding members under tax receivable agreement (including</w:t>
            </w:r>
          </w:p>
        </w:tc>
        <w:tc>
          <w:tcPr>
            <w:tcW w:w="1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94"/>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to related parties of $0.0 and $9.8, respectively)</w:t>
            </w:r>
          </w:p>
        </w:tc>
        <w:tc>
          <w:tcPr>
            <w:tcW w:w="16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Other cash flows from operating activities</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0F7F40"/>
              </w:rPr>
              <w:t>—</w:t>
            </w: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Receivables, net</w:t>
            </w:r>
          </w:p>
        </w:tc>
        <w:tc>
          <w:tcPr>
            <w:tcW w:w="16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expenses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Amounts due to/from founding members, net</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net</w:t>
            </w:r>
          </w:p>
        </w:tc>
        <w:tc>
          <w:tcPr>
            <w:tcW w:w="1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56"/>
        </w:trPr>
        <w:tc>
          <w:tcPr>
            <w:tcW w:w="66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and maturities of marketable securities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157"/>
        </w:trPr>
        <w:tc>
          <w:tcPr>
            <w:tcW w:w="6640" w:type="dxa"/>
            <w:vAlign w:val="bottom"/>
          </w:tcPr>
          <w:p>
            <w:pPr>
              <w:ind w:left="380"/>
              <w:spacing w:after="0" w:line="157" w:lineRule="exact"/>
              <w:rPr>
                <w:sz w:val="20"/>
                <w:szCs w:val="20"/>
                <w:color w:val="auto"/>
              </w:rPr>
            </w:pPr>
            <w:r>
              <w:rPr>
                <w:rFonts w:ascii="Arial" w:cs="Arial" w:eastAsia="Arial" w:hAnsi="Arial"/>
                <w:sz w:val="14"/>
                <w:szCs w:val="14"/>
                <w:color w:val="auto"/>
              </w:rPr>
              <w:t>Proceeds from notes receivable - founding members (including payments from</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8"/>
        </w:trPr>
        <w:tc>
          <w:tcPr>
            <w:tcW w:w="6640" w:type="dxa"/>
            <w:vAlign w:val="bottom"/>
          </w:tcPr>
          <w:p>
            <w:pPr>
              <w:ind w:left="380"/>
              <w:spacing w:after="0"/>
              <w:rPr>
                <w:sz w:val="20"/>
                <w:szCs w:val="20"/>
                <w:color w:val="auto"/>
              </w:rPr>
            </w:pPr>
            <w:r>
              <w:rPr>
                <w:rFonts w:ascii="Arial" w:cs="Arial" w:eastAsia="Arial" w:hAnsi="Arial"/>
                <w:sz w:val="14"/>
                <w:szCs w:val="14"/>
                <w:color w:val="auto"/>
              </w:rPr>
              <w:t>related parties of $0.0 and $1.4, respectively)</w:t>
            </w:r>
          </w:p>
        </w:tc>
        <w:tc>
          <w:tcPr>
            <w:tcW w:w="16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56"/>
        </w:trPr>
        <w:tc>
          <w:tcPr>
            <w:tcW w:w="66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investing activities</w:t>
            </w:r>
          </w:p>
        </w:tc>
        <w:tc>
          <w:tcPr>
            <w:tcW w:w="164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dividends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Proceeds from revolving credit facility</w:t>
            </w:r>
          </w:p>
        </w:tc>
        <w:tc>
          <w:tcPr>
            <w:tcW w:w="16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71.0</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revolving credit facility</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Repayment of term loan facility</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Senior Notes due 2026</w:t>
            </w:r>
          </w:p>
        </w:tc>
        <w:tc>
          <w:tcPr>
            <w:tcW w:w="16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Payment of debt issuance costs</w:t>
            </w:r>
          </w:p>
        </w:tc>
        <w:tc>
          <w:tcPr>
            <w:tcW w:w="1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0F7F40"/>
              </w:rPr>
              <w:t>—</w:t>
            </w: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founding members</w:t>
            </w:r>
          </w:p>
        </w:tc>
        <w:tc>
          <w:tcPr>
            <w:tcW w:w="16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264"/>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Repurchase of stock for restricted stock tax withholding</w:t>
            </w:r>
          </w:p>
        </w:tc>
        <w:tc>
          <w:tcPr>
            <w:tcW w:w="1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66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16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r>
      <w:tr>
        <w:trPr>
          <w:trHeight w:val="250"/>
        </w:trPr>
        <w:tc>
          <w:tcPr>
            <w:tcW w:w="66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16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16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r>
      <w:tr>
        <w:trPr>
          <w:trHeight w:val="243"/>
        </w:trPr>
        <w:tc>
          <w:tcPr>
            <w:tcW w:w="6640" w:type="dxa"/>
            <w:vAlign w:val="bottom"/>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r>
      <w:tr>
        <w:trPr>
          <w:trHeight w:val="20"/>
        </w:trPr>
        <w:tc>
          <w:tcPr>
            <w:tcW w:w="66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6" w:right="339" w:bottom="1440" w:gutter="0" w:footer="0" w:header="0"/>
          <w:type w:val="continuous"/>
        </w:sectPr>
      </w:pPr>
    </w:p>
    <w:bookmarkStart w:id="6" w:name="page7"/>
    <w:bookmarkEnd w:id="6"/>
    <w:p>
      <w:pPr>
        <w:jc w:val="center"/>
        <w:ind w:right="-11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1120" w:type="dxa"/>
            <w:vAlign w:val="bottom"/>
            <w:tcBorders>
              <w:bottom w:val="single" w:sz="8" w:color="auto"/>
            </w:tcBorders>
          </w:tcPr>
          <w:p>
            <w:pPr>
              <w:spacing w:after="0"/>
              <w:rPr>
                <w:sz w:val="16"/>
                <w:szCs w:val="16"/>
                <w:color w:val="auto"/>
              </w:rPr>
            </w:pPr>
          </w:p>
        </w:tc>
      </w:tr>
      <w:tr>
        <w:trPr>
          <w:trHeight w:val="152"/>
        </w:trPr>
        <w:tc>
          <w:tcPr>
            <w:tcW w:w="768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25,</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508"/>
              <w:spacing w:after="0" w:line="153" w:lineRule="exact"/>
              <w:rPr>
                <w:sz w:val="20"/>
                <w:szCs w:val="20"/>
                <w:color w:val="auto"/>
              </w:rPr>
            </w:pPr>
            <w:r>
              <w:rPr>
                <w:rFonts w:ascii="Arial" w:cs="Arial" w:eastAsia="Arial" w:hAnsi="Arial"/>
                <w:sz w:val="14"/>
                <w:szCs w:val="14"/>
                <w:b w:val="1"/>
                <w:bCs w:val="1"/>
                <w:color w:val="auto"/>
                <w:w w:val="92"/>
              </w:rPr>
              <w:t>June 27,</w:t>
            </w:r>
          </w:p>
        </w:tc>
      </w:tr>
      <w:tr>
        <w:trPr>
          <w:trHeight w:val="192"/>
        </w:trPr>
        <w:tc>
          <w:tcPr>
            <w:tcW w:w="76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269"/>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7680" w:type="dxa"/>
            <w:vAlign w:val="bottom"/>
          </w:tcPr>
          <w:p>
            <w:pPr>
              <w:ind w:left="280"/>
              <w:spacing w:after="0"/>
              <w:rPr>
                <w:sz w:val="20"/>
                <w:szCs w:val="20"/>
                <w:color w:val="auto"/>
              </w:rPr>
            </w:pPr>
            <w:r>
              <w:rPr>
                <w:rFonts w:ascii="Arial" w:cs="Arial" w:eastAsia="Arial" w:hAnsi="Arial"/>
                <w:sz w:val="14"/>
                <w:szCs w:val="14"/>
                <w:color w:val="auto"/>
              </w:rPr>
              <w:t>Purchase of an intangible asset with NCM LLC equity</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163"/>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distributions to founding members (including accrued distributions to related parties of $0.0</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4"/>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$15.4, respectively)</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157"/>
        </w:trPr>
        <w:tc>
          <w:tcPr>
            <w:tcW w:w="7680" w:type="dxa"/>
            <w:vAlign w:val="bottom"/>
          </w:tcPr>
          <w:p>
            <w:pPr>
              <w:ind w:left="280"/>
              <w:spacing w:after="0" w:line="157" w:lineRule="exact"/>
              <w:rPr>
                <w:sz w:val="20"/>
                <w:szCs w:val="20"/>
                <w:color w:val="auto"/>
              </w:rPr>
            </w:pPr>
            <w:r>
              <w:rPr>
                <w:rFonts w:ascii="Arial" w:cs="Arial" w:eastAsia="Arial" w:hAnsi="Arial"/>
                <w:sz w:val="14"/>
                <w:szCs w:val="14"/>
                <w:color w:val="auto"/>
              </w:rPr>
              <w:t>Accrued integration and other encumbered theater payments due from founding members (including</w:t>
            </w: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7680" w:type="dxa"/>
            <w:vAlign w:val="bottom"/>
          </w:tcPr>
          <w:p>
            <w:pPr>
              <w:ind w:left="380"/>
              <w:spacing w:after="0"/>
              <w:rPr>
                <w:sz w:val="20"/>
                <w:szCs w:val="20"/>
                <w:color w:val="auto"/>
              </w:rPr>
            </w:pPr>
            <w:r>
              <w:rPr>
                <w:rFonts w:ascii="Arial" w:cs="Arial" w:eastAsia="Arial" w:hAnsi="Arial"/>
                <w:sz w:val="14"/>
                <w:szCs w:val="14"/>
                <w:color w:val="auto"/>
              </w:rPr>
              <w:t>accrued payments due from related parties of $0.0 and $0.2, respectively)</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276"/>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(Decrease) increase in dividend equivalent accrual not requiring cash in the period</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7680" w:type="dxa"/>
            <w:vAlign w:val="bottom"/>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r>
      <w:tr>
        <w:trPr>
          <w:trHeight w:val="258"/>
        </w:trPr>
        <w:tc>
          <w:tcPr>
            <w:tcW w:w="768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r>
    </w:tbl>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126"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ind w:left="500"/>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Paid in</w:t>
            </w:r>
          </w:p>
        </w:tc>
        <w:tc>
          <w:tcPr>
            <w:tcW w:w="12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(Distribution in</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4"/>
                <w:szCs w:val="4"/>
                <w:color w:val="auto"/>
              </w:rPr>
            </w:pPr>
          </w:p>
        </w:tc>
        <w:tc>
          <w:tcPr>
            <w:tcW w:w="104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4"/>
                <w:szCs w:val="4"/>
                <w:color w:val="auto"/>
              </w:rPr>
            </w:pPr>
          </w:p>
        </w:tc>
        <w:tc>
          <w:tcPr>
            <w:tcW w:w="11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65"/>
        </w:trPr>
        <w:tc>
          <w:tcPr>
            <w:tcW w:w="4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6"/>
                <w:szCs w:val="16"/>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6"/>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Balance—March 28,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77,318,971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$0.17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Balance—June 27,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(110.5)</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77,349,628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273.2</w:t>
            </w:r>
          </w:p>
        </w:tc>
        <w:tc>
          <w:tcPr>
            <w:tcW w:w="0" w:type="dxa"/>
            <w:vAlign w:val="bottom"/>
          </w:tcPr>
          <w:p>
            <w:pPr>
              <w:spacing w:after="0"/>
              <w:rPr>
                <w:sz w:val="1"/>
                <w:szCs w:val="1"/>
                <w:color w:val="auto"/>
              </w:rPr>
            </w:pPr>
          </w:p>
        </w:tc>
      </w:tr>
      <w:tr>
        <w:trPr>
          <w:trHeight w:val="264"/>
        </w:trPr>
        <w:tc>
          <w:tcPr>
            <w:tcW w:w="4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Balance—March 26,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77,973,648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Comprehensive loss, net of tax</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$0.07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4"/>
                <w:szCs w:val="14"/>
                <w:color w:val="auto"/>
              </w:rPr>
              <w:t>Balance—June 25,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78,000,338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500"/>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Paid in</w:t>
            </w:r>
          </w:p>
        </w:tc>
        <w:tc>
          <w:tcPr>
            <w:tcW w:w="12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(Distribution in</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88"/>
              </w:rPr>
              <w:t>Excess of</w:t>
            </w:r>
          </w:p>
        </w:tc>
        <w:tc>
          <w:tcPr>
            <w:tcW w:w="120" w:type="dxa"/>
            <w:vAlign w:val="bottom"/>
          </w:tcPr>
          <w:p>
            <w:pPr>
              <w:spacing w:after="0"/>
              <w:rPr>
                <w:sz w:val="4"/>
                <w:szCs w:val="4"/>
                <w:color w:val="auto"/>
              </w:rPr>
            </w:pPr>
          </w:p>
        </w:tc>
        <w:tc>
          <w:tcPr>
            <w:tcW w:w="1100" w:type="dxa"/>
            <w:vAlign w:val="bottom"/>
            <w:vMerge w:val="restart"/>
          </w:tcPr>
          <w:p>
            <w:pPr>
              <w:jc w:val="right"/>
              <w:ind w:right="88"/>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65"/>
        </w:trPr>
        <w:tc>
          <w:tcPr>
            <w:tcW w:w="4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27,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76,976,398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Distributions to founding members</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net of tax</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Share-based compensation issued</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373,230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Cash dividends declared $0.34 per share</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27,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77,349,628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26,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77,568,986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Cumulative-effect adjustment for adoption of ASU 2016-13, net of tax</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431,352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$0.26 per share</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Balance—June 25,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78,000,338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60" w:top="126" w:right="3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124" w:lineRule="exact"/>
        <w:rPr>
          <w:sz w:val="20"/>
          <w:szCs w:val="20"/>
          <w:color w:val="auto"/>
        </w:rPr>
      </w:pPr>
    </w:p>
    <w:p>
      <w:pPr>
        <w:ind w:right="120" w:firstLine="540"/>
        <w:spacing w:after="0" w:line="293" w:lineRule="auto"/>
        <w:rPr>
          <w:sz w:val="20"/>
          <w:szCs w:val="20"/>
          <w:color w:val="auto"/>
        </w:rPr>
      </w:pPr>
      <w:r>
        <w:rPr>
          <w:rFonts w:ascii="Arial" w:cs="Arial" w:eastAsia="Arial" w:hAnsi="Arial"/>
          <w:sz w:val="16"/>
          <w:szCs w:val="16"/>
          <w:color w:val="auto"/>
        </w:rPr>
        <w:t>The Company operates the largest cinema advertising network reaching movie audiences in the U.S., allowing NCM LLC to sell advertising under long-term exhibitor services agreements (“ESAs”) with the founding members and certain third-party theater circuits, referred to in this document as “network affiliates” under long-term network affiliate agreements. Beginning in mid-March 2020, each of our founding members and all of our network affiliates announced that their theaters would be temporarily closed to address the COVID-19 Pandemic. As of June 25, 2020, almost all of the theaters within our network remained closed. The Company was unable to advertise in the theaters, and thus did not generate any in-theater revenue, during the three months ended June 25, 2020 and are not able to advertise in theaters for the duration of time that the theaters remain closed.</w:t>
      </w:r>
    </w:p>
    <w:p>
      <w:pPr>
        <w:spacing w:after="0" w:line="110"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on attendance) of approximately 19.3 years as of June 25, 2020. The network affiliate agreements expire at various dates between September 2020 and July 2031. The weighted average remaining term (based on 2019 attendance) of the ESAs and the network affiliate agreements together is 16.8 years as of June 25, 2020.</w:t>
      </w:r>
    </w:p>
    <w:p>
      <w:pPr>
        <w:spacing w:after="0" w:line="134" w:lineRule="exact"/>
        <w:rPr>
          <w:sz w:val="20"/>
          <w:szCs w:val="20"/>
          <w:color w:val="auto"/>
        </w:rPr>
      </w:pPr>
    </w:p>
    <w:p>
      <w:pPr>
        <w:ind w:firstLine="540"/>
        <w:spacing w:after="0" w:line="263" w:lineRule="auto"/>
        <w:rPr>
          <w:sz w:val="20"/>
          <w:szCs w:val="20"/>
          <w:color w:val="auto"/>
        </w:rPr>
      </w:pPr>
      <w:r>
        <w:rPr>
          <w:rFonts w:ascii="Arial" w:cs="Arial" w:eastAsia="Arial" w:hAnsi="Arial"/>
          <w:sz w:val="18"/>
          <w:szCs w:val="18"/>
          <w:color w:val="auto"/>
        </w:rPr>
        <w:t>As of June 25, 2020, NCM LLC had 162,531,666 common membership units outstanding, of which 78,000,338 (48.0%) were owned by NCM, Inc., 42,290,694 (26.0%) were owned by Regal, 40,850,068 (25.1%) were owned by Cinemark and 1,390,566 (0.9%) were owned by AMC. The membership units held by the founding members are exchangeable into NCM, Inc. common stock on a one-for-one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2019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26, 2019.</w:t>
      </w:r>
    </w:p>
    <w:p>
      <w:pPr>
        <w:spacing w:after="0" w:line="124" w:lineRule="exact"/>
        <w:rPr>
          <w:sz w:val="20"/>
          <w:szCs w:val="20"/>
          <w:color w:val="auto"/>
        </w:rPr>
      </w:pPr>
    </w:p>
    <w:p>
      <w:pPr>
        <w:ind w:right="20" w:firstLine="540"/>
        <w:spacing w:after="0" w:line="293" w:lineRule="auto"/>
        <w:rPr>
          <w:sz w:val="20"/>
          <w:szCs w:val="20"/>
          <w:color w:val="auto"/>
        </w:rPr>
      </w:pPr>
      <w:r>
        <w:rPr>
          <w:rFonts w:ascii="Arial" w:cs="Arial" w:eastAsia="Arial" w:hAnsi="Arial"/>
          <w:sz w:val="16"/>
          <w:szCs w:val="16"/>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Given the temporary closure of the theaters within the Company's network, management expects the Company's 2020 quarterly results to vary from historical trends. As a result of the various related party agreements discussed in Note 5—</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10" w:lineRule="exact"/>
        <w:rPr>
          <w:sz w:val="20"/>
          <w:szCs w:val="20"/>
          <w:color w:val="auto"/>
        </w:rPr>
      </w:pPr>
    </w:p>
    <w:p>
      <w:pPr>
        <w:ind w:right="80" w:firstLine="540"/>
        <w:spacing w:after="0" w:line="263"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and disclosure of contingent assets and liabilities at the date of the financial statements and the reported amounts of revenues and expenses during the reporting period.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Significant estimates include those related to the reserve for uncollectible accounts receivable, share-based compensation and income taxes. Actual results could differ from those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540"/>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26, 2019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advertising and lobby promotions and advertising on websites and mobile applications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03" w:lineRule="exact"/>
        <w:rPr>
          <w:sz w:val="20"/>
          <w:szCs w:val="20"/>
          <w:color w:val="auto"/>
        </w:rPr>
      </w:pPr>
    </w:p>
    <w:p>
      <w:pPr>
        <w:ind w:right="60" w:firstLine="540"/>
        <w:spacing w:after="0" w:line="268"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—The risk of credit loss related to the Company's trade receivables and unbilled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higher historical and expected credit loss patterns. The Company has smaller contracts with thousands of local clients that are not individually significant. The Company also considers current economic conditions and trends to determine whether adjustments to historical loss rates are necessary. The Company increased the expected rate of default related to local and regional customers within the calculation of the allowance for doubtful accounts as of June 25, 2020 given the adverse impact of the COVID-19 Pandemic on certain businesses, in particular, categories of small businesses (i.e. restaurants, travel, etc.) which the Company expects could lead to an increased rate of default.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30"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color w:val="auto"/>
        </w:rPr>
        <w:t>As of June 25, 2020 and December 26, 2019, there were no advertising agency groups or individual customers through which the Company sources advertising revenue representing more than 10% of the Company’s outstanding gross receivable balance. During the three months ended June 25, 2020, the Company had one customer that accounted for approximately 18% of the Company's revenue. During the six months ended June 25, 2020 and the three and six months ended June 27, 2019, the Company had no customers that accounted for more than 10% of revenue.</w:t>
      </w:r>
    </w:p>
    <w:p>
      <w:pPr>
        <w:spacing w:after="0" w:line="117" w:lineRule="exact"/>
        <w:rPr>
          <w:sz w:val="20"/>
          <w:szCs w:val="20"/>
          <w:color w:val="auto"/>
        </w:rPr>
      </w:pPr>
    </w:p>
    <w:p>
      <w:pPr>
        <w:ind w:right="200" w:firstLine="540"/>
        <w:spacing w:after="0" w:line="279"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—The Company assesses impairment of long-lived assets pursuant to ASC 360 –</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This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determining whether certain triggering events have occurred that could affect the value of an asset. The Company recorded losses of $1.7 million, $0.0 million, $1.7 million and $0.0 million related to the write-off of certain internally developed software during the three months ended June 25, 2020 and June 27, 2019 and the six months ended June 25, 2020 and June 27, 2019, respectively.</w:t>
      </w:r>
    </w:p>
    <w:p>
      <w:pPr>
        <w:spacing w:after="0" w:line="117" w:lineRule="exact"/>
        <w:rPr>
          <w:sz w:val="20"/>
          <w:szCs w:val="20"/>
          <w:color w:val="auto"/>
        </w:rPr>
      </w:pPr>
    </w:p>
    <w:p>
      <w:pPr>
        <w:ind w:right="20" w:firstLine="540"/>
        <w:spacing w:after="0" w:line="289"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has issued stock options and restricted stock to certain employees and restricted stock units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directors. The restricted stock grants for Company management vest upon the achievement of Company performance measures and/or service conditions, while non-management grants vest only upon the achievement of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 During the three months ended June 25, 2020 and June 27, 2019 and the six months ended June 25, 2020 and June 27, 2019, 33,378, 37,699, 557,681 and 549,695 shares of restricted stock and restricted stock units vested, respectively.</w:t>
      </w:r>
    </w:p>
    <w:p>
      <w:pPr>
        <w:spacing w:after="0" w:line="1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provisions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810”).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presents the changes in NCM, Inc.’s equity resulting from net income attributable to NCM,</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Inc. and transfers to or from noncontrolling interests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46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June 25,</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25, 2020</w:t>
            </w:r>
          </w:p>
        </w:tc>
        <w:tc>
          <w:tcPr>
            <w:tcW w:w="260" w:type="dxa"/>
            <w:vAlign w:val="bottom"/>
          </w:tcPr>
          <w:p>
            <w:pPr>
              <w:spacing w:after="0"/>
              <w:rPr>
                <w:sz w:val="13"/>
                <w:szCs w:val="13"/>
                <w:color w:val="auto"/>
              </w:rPr>
            </w:pPr>
          </w:p>
        </w:tc>
        <w:tc>
          <w:tcPr>
            <w:tcW w:w="110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NCM, Inc.</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NCM LLC equity issued for purchase of intangible asset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and other impacts of subsidiary ownership changes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520" w:type="dxa"/>
            <w:vAlign w:val="bottom"/>
          </w:tcPr>
          <w:p>
            <w:pPr>
              <w:ind w:left="40"/>
              <w:spacing w:after="0"/>
              <w:rPr>
                <w:sz w:val="20"/>
                <w:szCs w:val="20"/>
                <w:color w:val="auto"/>
              </w:rPr>
            </w:pPr>
            <w:r>
              <w:rPr>
                <w:rFonts w:ascii="Arial" w:cs="Arial" w:eastAsia="Arial" w:hAnsi="Arial"/>
                <w:sz w:val="18"/>
                <w:szCs w:val="18"/>
                <w:color w:val="auto"/>
                <w:w w:val="98"/>
              </w:rPr>
              <w:t>Change from net (loss) income attributable to NCM, Inc. and transfers</w:t>
            </w:r>
          </w:p>
        </w:tc>
        <w:tc>
          <w:tcPr>
            <w:tcW w:w="840" w:type="dxa"/>
            <w:vAlign w:val="bottom"/>
            <w:tcBorders>
              <w:top w:val="single" w:sz="8" w:color="auto"/>
            </w:tcBorders>
            <w:vMerge w:val="restart"/>
          </w:tcPr>
          <w:p>
            <w:pPr>
              <w:jc w:val="right"/>
              <w:ind w:right="64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(13.7)</w:t>
            </w:r>
          </w:p>
        </w:tc>
        <w:tc>
          <w:tcPr>
            <w:tcW w:w="12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2"/>
        </w:trPr>
        <w:tc>
          <w:tcPr>
            <w:tcW w:w="5520" w:type="dxa"/>
            <w:vAlign w:val="bottom"/>
          </w:tcPr>
          <w:p>
            <w:pPr>
              <w:ind w:left="40"/>
              <w:spacing w:after="0"/>
              <w:rPr>
                <w:sz w:val="20"/>
                <w:szCs w:val="20"/>
                <w:color w:val="auto"/>
              </w:rPr>
            </w:pPr>
            <w:r>
              <w:rPr>
                <w:rFonts w:ascii="Arial" w:cs="Arial" w:eastAsia="Arial" w:hAnsi="Arial"/>
                <w:sz w:val="18"/>
                <w:szCs w:val="18"/>
                <w:color w:val="auto"/>
              </w:rPr>
              <w:t>from noncontrolling interests</w:t>
            </w:r>
          </w:p>
        </w:tc>
        <w:tc>
          <w:tcPr>
            <w:tcW w:w="8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During the first quarter of 2020, the Company adopted Accounting Standards Update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Statements </w:t>
      </w:r>
      <w:r>
        <w:rPr>
          <w:rFonts w:ascii="Arial" w:cs="Arial" w:eastAsia="Arial" w:hAnsi="Arial"/>
          <w:sz w:val="17"/>
          <w:szCs w:val="17"/>
          <w:color w:val="auto"/>
        </w:rPr>
        <w:t>(“ASU 2016-13”), which requires a financial asset (or group of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Upon the adoption of ASU 2016-13 on December 27, 2019, the Company recorded a $3.2 million cumulative-effect adjustment to retained earnings related to the change in methodology surrounding the historical losses utilized in the calculation of the allowance for credit losses related to trade and unbilled accounts receivable reducing the allowance to $3.0 million as of the adoption date. The Company also recorded a corresponding $0.4 million reduction to the corresponding deferred tax asset with the offset also recorded to retained earnings. The other impacts upon adoption were immaterial to the unaudited Condensed Consolidated Financial Statements. The Company has incorporated additional disclosures in Note 1—</w:t>
      </w:r>
      <w:r>
        <w:rPr>
          <w:rFonts w:ascii="Arial" w:cs="Arial" w:eastAsia="Arial" w:hAnsi="Arial"/>
          <w:sz w:val="17"/>
          <w:szCs w:val="17"/>
          <w:i w:val="1"/>
          <w:iCs w:val="1"/>
          <w:color w:val="auto"/>
        </w:rPr>
        <w:t>The Company,</w:t>
      </w:r>
      <w:r>
        <w:rPr>
          <w:rFonts w:ascii="Arial" w:cs="Arial" w:eastAsia="Arial" w:hAnsi="Arial"/>
          <w:sz w:val="17"/>
          <w:szCs w:val="17"/>
          <w:color w:val="auto"/>
        </w:rPr>
        <w:t xml:space="preserve"> Note 2—</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and Accounts Receivable </w:t>
      </w:r>
      <w:r>
        <w:rPr>
          <w:rFonts w:ascii="Arial" w:cs="Arial" w:eastAsia="Arial" w:hAnsi="Arial"/>
          <w:sz w:val="17"/>
          <w:szCs w:val="17"/>
          <w:color w:val="auto"/>
        </w:rPr>
        <w:t>and Note 9—</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to its Condensed Consolidated Financial Statements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ASU 2016-13. The Company has also designed and implemented changes to certain processes and internal controls related to its adoption of ASU 2016-13.</w:t>
      </w:r>
    </w:p>
    <w:p>
      <w:pPr>
        <w:spacing w:after="0" w:line="233" w:lineRule="exact"/>
        <w:rPr>
          <w:sz w:val="20"/>
          <w:szCs w:val="20"/>
          <w:color w:val="auto"/>
        </w:rPr>
      </w:pPr>
    </w:p>
    <w:p>
      <w:pPr>
        <w:ind w:right="160" w:firstLine="540"/>
        <w:spacing w:after="0" w:line="259" w:lineRule="auto"/>
        <w:rPr>
          <w:sz w:val="20"/>
          <w:szCs w:val="20"/>
          <w:color w:val="auto"/>
        </w:rPr>
      </w:pPr>
      <w:r>
        <w:rPr>
          <w:rFonts w:ascii="Arial" w:cs="Arial" w:eastAsia="Arial" w:hAnsi="Arial"/>
          <w:sz w:val="18"/>
          <w:szCs w:val="18"/>
          <w:color w:val="auto"/>
        </w:rPr>
        <w:t xml:space="preserve">During the first quarter of 2020, the Company adopted Accounting Standards Update 2018-13, Fair Value Measurement (Topic 820):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Fair Value Measurement </w:t>
      </w:r>
      <w:r>
        <w:rPr>
          <w:rFonts w:ascii="Arial" w:cs="Arial" w:eastAsia="Arial" w:hAnsi="Arial"/>
          <w:sz w:val="18"/>
          <w:szCs w:val="18"/>
          <w:color w:val="auto"/>
        </w:rPr>
        <w:t>(“ASU 2018-13”), which modifies the disclosure requirements on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The Company adoption of ASU 2018-13 did not have a material impact on the unaudited Condensed Consolidated Financial Statements or notes thereto.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firstLine="540"/>
        <w:spacing w:after="0" w:line="293" w:lineRule="auto"/>
        <w:rPr>
          <w:sz w:val="20"/>
          <w:szCs w:val="20"/>
          <w:color w:val="auto"/>
        </w:rPr>
      </w:pPr>
      <w:r>
        <w:rPr>
          <w:rFonts w:ascii="Arial" w:cs="Arial" w:eastAsia="Arial" w:hAnsi="Arial"/>
          <w:sz w:val="16"/>
          <w:szCs w:val="16"/>
          <w:color w:val="auto"/>
        </w:rPr>
        <w:t xml:space="preserve">In December 2019, the FASB issued Accounting Standards Update 2019-12, Income Taxes (Topic 740): </w:t>
      </w:r>
      <w:r>
        <w:rPr>
          <w:rFonts w:ascii="Arial" w:cs="Arial" w:eastAsia="Arial" w:hAnsi="Arial"/>
          <w:sz w:val="16"/>
          <w:szCs w:val="16"/>
          <w:i w:val="1"/>
          <w:iCs w:val="1"/>
          <w:color w:val="auto"/>
        </w:rPr>
        <w:t>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which removes the following exceptions for the Company to analyze in a given period: the exception to the incremental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for intraperiod tax allocation; the exception to accounting for basis differences when there are ownership changes in foreign investments; and the exception in interim periods income tax accounting for year-to-date losses that exceed anticipated losses. ASU 2019-12 is effective for fiscal years beginning after December 15, 2020, including interim periods within those fiscal years, with early adoption permitted. The Company does not expect the adoption of this guidance to have a material impact on the unaudited Condensed Consolidated Financial Statements or notes thereto.</w:t>
      </w:r>
    </w:p>
    <w:p>
      <w:pPr>
        <w:spacing w:after="0" w:line="110"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unaudited Condensed Consolidated Financial Statements.</w:t>
      </w:r>
    </w:p>
    <w:p>
      <w:pPr>
        <w:spacing w:after="0" w:line="138"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100" w:firstLine="540"/>
        <w:spacing w:after="0" w:line="255"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through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and NCM's digital gaming products including </w:t>
      </w:r>
      <w:r>
        <w:rPr>
          <w:rFonts w:ascii="Arial" w:cs="Arial" w:eastAsia="Arial" w:hAnsi="Arial"/>
          <w:sz w:val="18"/>
          <w:szCs w:val="18"/>
          <w:i w:val="1"/>
          <w:iCs w:val="1"/>
          <w:color w:val="auto"/>
        </w:rPr>
        <w:t>Noovie ARcade, Name That Movie, Noovie Shuffle</w:t>
      </w:r>
      <w:r>
        <w:rPr>
          <w:rFonts w:ascii="Arial" w:cs="Arial" w:eastAsia="Arial" w:hAnsi="Arial"/>
          <w:sz w:val="18"/>
          <w:szCs w:val="18"/>
          <w:color w:val="auto"/>
        </w:rPr>
        <w:t xml:space="preserve"> and </w:t>
      </w:r>
      <w:r>
        <w:rPr>
          <w:rFonts w:ascii="Arial" w:cs="Arial" w:eastAsia="Arial" w:hAnsi="Arial"/>
          <w:sz w:val="18"/>
          <w:szCs w:val="18"/>
          <w:i w:val="1"/>
          <w:iCs w:val="1"/>
          <w:color w:val="auto"/>
        </w:rPr>
        <w:t>Fantasy Movie League,</w:t>
      </w:r>
      <w:r>
        <w:rPr>
          <w:rFonts w:ascii="Arial" w:cs="Arial" w:eastAsia="Arial" w:hAnsi="Arial"/>
          <w:sz w:val="18"/>
          <w:szCs w:val="18"/>
          <w:color w:val="auto"/>
        </w:rPr>
        <w:t xml:space="preserve"> which can be played on the mobile apps or at </w:t>
      </w:r>
      <w:r>
        <w:rPr>
          <w:rFonts w:ascii="Arial" w:cs="Arial" w:eastAsia="Arial" w:hAnsi="Arial"/>
          <w:sz w:val="18"/>
          <w:szCs w:val="18"/>
          <w:i w:val="1"/>
          <w:iCs w:val="1"/>
          <w:color w:val="auto"/>
        </w:rPr>
        <w:t>Noovie.com</w:t>
      </w:r>
      <w:r>
        <w:rPr>
          <w:rFonts w:ascii="Arial" w:cs="Arial" w:eastAsia="Arial" w:hAnsi="Arial"/>
          <w:sz w:val="18"/>
          <w:szCs w:val="18"/>
          <w:color w:val="auto"/>
        </w:rPr>
        <w:t>. The Company also has a long-term agreement to exhibit the advertising of the founding members’ beverage suppliers.</w:t>
      </w:r>
    </w:p>
    <w:p>
      <w:pPr>
        <w:spacing w:after="0" w:line="84"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unaudited Condensed Consolidated Balance Sheet. As of June 25, 2020 and December 26, 2019, the Company had a make-good provision of $6.3 million and $8.7 million, respectively.</w:t>
      </w:r>
    </w:p>
    <w:p>
      <w:pPr>
        <w:spacing w:after="0" w:line="84" w:lineRule="exact"/>
        <w:rPr>
          <w:sz w:val="20"/>
          <w:szCs w:val="20"/>
          <w:color w:val="auto"/>
        </w:rPr>
      </w:pPr>
    </w:p>
    <w:p>
      <w:pPr>
        <w:ind w:right="80" w:firstLine="540"/>
        <w:spacing w:after="0" w:line="311" w:lineRule="auto"/>
        <w:rPr>
          <w:sz w:val="20"/>
          <w:szCs w:val="20"/>
          <w:color w:val="auto"/>
        </w:rPr>
      </w:pPr>
      <w:r>
        <w:rPr>
          <w:rFonts w:ascii="Arial" w:cs="Arial" w:eastAsia="Arial" w:hAnsi="Arial"/>
          <w:sz w:val="16"/>
          <w:szCs w:val="16"/>
          <w:color w:val="auto"/>
        </w:rPr>
        <w:t>The Company does not have any contracts with customers with terms in excess of one year that are noncancelable as of June 25, 2020.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560" w:firstLine="540"/>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local, regional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three months ended June 25, 2020 and June 27, 2019 and six months ended June 25, 2020 and June 27, 2019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15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980" w:type="dxa"/>
            <w:vAlign w:val="bottom"/>
          </w:tcPr>
          <w:p>
            <w:pPr>
              <w:jc w:val="right"/>
              <w:ind w:right="260"/>
              <w:spacing w:after="0" w:line="153" w:lineRule="exact"/>
              <w:rPr>
                <w:sz w:val="20"/>
                <w:szCs w:val="20"/>
                <w:color w:val="auto"/>
              </w:rPr>
            </w:pPr>
            <w:r>
              <w:rPr>
                <w:rFonts w:ascii="Arial" w:cs="Arial" w:eastAsia="Arial" w:hAnsi="Arial"/>
                <w:sz w:val="14"/>
                <w:szCs w:val="14"/>
                <w:b w:val="1"/>
                <w:bCs w:val="1"/>
                <w:color w:val="auto"/>
              </w:rPr>
              <w:t>June 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and regional advertising revenue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Founding member advertising revenue from beverage concessionaire</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agreements</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7"/>
        </w:trPr>
        <w:tc>
          <w:tcPr>
            <w:tcW w:w="55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110.2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gridSpan w:val="5"/>
          </w:tcPr>
          <w:p>
            <w:pPr>
              <w:spacing w:after="0"/>
              <w:rPr>
                <w:sz w:val="20"/>
                <w:szCs w:val="20"/>
                <w:color w:val="auto"/>
              </w:rPr>
            </w:pPr>
            <w:r>
              <w:rPr>
                <w:rFonts w:ascii="Arial" w:cs="Arial" w:eastAsia="Arial" w:hAnsi="Arial"/>
                <w:sz w:val="18"/>
                <w:szCs w:val="18"/>
                <w:color w:val="auto"/>
                <w:w w:val="95"/>
              </w:rPr>
              <w:t>The changes in deferred revenue for the six months ended June 25, 2020 were as follows (in millions):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19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right"/>
              <w:ind w:right="10"/>
              <w:spacing w:after="0" w:line="153" w:lineRule="exact"/>
              <w:rPr>
                <w:sz w:val="20"/>
                <w:szCs w:val="20"/>
                <w:color w:val="auto"/>
              </w:rPr>
            </w:pPr>
            <w:r>
              <w:rPr>
                <w:rFonts w:ascii="Arial" w:cs="Arial" w:eastAsia="Arial" w:hAnsi="Arial"/>
                <w:sz w:val="14"/>
                <w:szCs w:val="14"/>
                <w:b w:val="1"/>
                <w:bCs w:val="1"/>
                <w:color w:val="auto"/>
              </w:rPr>
              <w:t>June 25,</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Performance obligations satisfied</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contract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700" w:firstLine="540"/>
        <w:spacing w:after="0" w:line="344" w:lineRule="auto"/>
        <w:rPr>
          <w:sz w:val="20"/>
          <w:szCs w:val="20"/>
          <w:color w:val="auto"/>
        </w:rPr>
      </w:pPr>
      <w:r>
        <w:rPr>
          <w:rFonts w:ascii="Arial" w:cs="Arial" w:eastAsia="Arial" w:hAnsi="Arial"/>
          <w:sz w:val="18"/>
          <w:szCs w:val="18"/>
          <w:color w:val="auto"/>
        </w:rPr>
        <w:t xml:space="preserve">As of June 25, 2020 and December 26, 2019, the Company had $2.2 million and $8.0 million in unbilled accounts receivable, respectively. </w:t>
      </w:r>
      <w:r>
        <w:rPr>
          <w:rFonts w:ascii="Arial" w:cs="Arial" w:eastAsia="Arial" w:hAnsi="Arial"/>
          <w:sz w:val="18"/>
          <w:szCs w:val="18"/>
          <w:b w:val="1"/>
          <w:bCs w:val="1"/>
          <w:i w:val="1"/>
          <w:iCs w:val="1"/>
          <w:color w:val="auto"/>
        </w:rPr>
        <w:t>Allowance for Doubtful Accounts</w:t>
      </w:r>
    </w:p>
    <w:p>
      <w:pPr>
        <w:spacing w:after="0" w:line="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six months ended June 25, 2020 were as follows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4"/>
          </w:tcPr>
          <w:p>
            <w:pPr>
              <w:jc w:val="right"/>
              <w:ind w:right="24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6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June 25,</w:t>
            </w: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2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Allowance for National Customer Receivables</w:t>
            </w:r>
          </w:p>
        </w:tc>
        <w:tc>
          <w:tcPr>
            <w:tcW w:w="240" w:type="dxa"/>
            <w:vAlign w:val="bottom"/>
          </w:tcPr>
          <w:p>
            <w:pPr>
              <w:spacing w:after="0"/>
              <w:rPr>
                <w:sz w:val="13"/>
                <w:szCs w:val="13"/>
                <w:color w:val="auto"/>
              </w:rPr>
            </w:pPr>
          </w:p>
        </w:tc>
        <w:tc>
          <w:tcPr>
            <w:tcW w:w="28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3"/>
              </w:rPr>
              <w:t>Allowance for Local/ Regional Customer</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31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076"/>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Provision for bad debt</w:t>
            </w:r>
          </w:p>
        </w:tc>
        <w:tc>
          <w:tcPr>
            <w:tcW w:w="1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net</w:t>
            </w:r>
          </w:p>
        </w:tc>
        <w:tc>
          <w:tcPr>
            <w:tcW w:w="1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5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EARNINGS PER SHARE</w:t>
      </w:r>
    </w:p>
    <w:p>
      <w:pPr>
        <w:spacing w:after="0" w:line="121" w:lineRule="exact"/>
        <w:rPr>
          <w:sz w:val="20"/>
          <w:szCs w:val="20"/>
          <w:color w:val="auto"/>
        </w:rPr>
      </w:pPr>
    </w:p>
    <w:p>
      <w:pPr>
        <w:jc w:val="both"/>
        <w:ind w:right="220" w:firstLine="540"/>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25,</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25,</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NCM, Inc. (in millions)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77,995,951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77,343,093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77,879,959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77,261,435</w:t>
            </w:r>
          </w:p>
        </w:tc>
        <w:tc>
          <w:tcPr>
            <w:tcW w:w="0" w:type="dxa"/>
            <w:vAlign w:val="bottom"/>
          </w:tcPr>
          <w:p>
            <w:pPr>
              <w:spacing w:after="0"/>
              <w:rPr>
                <w:sz w:val="1"/>
                <w:szCs w:val="1"/>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w w:val="92"/>
              </w:rPr>
              <w:t>Add: Dilutive effect of stock options, restricted stock and exchangeable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membership units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293,003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313,646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77,995,951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77,636,096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77,879,959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77,575,081</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color w:val="auto"/>
              </w:rPr>
              <w:t>(Loss) earnings per NCM, Inc. share:</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firstLine="540"/>
        <w:spacing w:after="0" w:line="272" w:lineRule="auto"/>
        <w:rPr>
          <w:sz w:val="20"/>
          <w:szCs w:val="20"/>
          <w:color w:val="auto"/>
        </w:rPr>
      </w:pPr>
      <w:r>
        <w:rPr>
          <w:rFonts w:ascii="Arial" w:cs="Arial" w:eastAsia="Arial" w:hAnsi="Arial"/>
          <w:sz w:val="17"/>
          <w:szCs w:val="17"/>
          <w:color w:val="auto"/>
        </w:rPr>
        <w:t>The effect of 84,531,328, 81,705,487, 83,252,384 and 81,263,513 weighted average exchangeable NCM LLC common units held by the founding members for the three months ended June 25, 2020 and June 27, 2019 and six months ended June 25, 2020 and June 27, 2019, respectively, have been excluded from the calculation of diluted weighted average shares and loss per NCM, Inc. share as they were anti-dilutive. NCM LLC common units do not participate in dividends paid on NCM, Inc.’s common stock. In addition, there were 3,777,240, 1,969,086, 3,777,240 and 2,125,728 stock options and non-vested (restricted) shares for the three months ended June 25, 2020 and June 27, 2019 and six months ended June 25, 2020 and June 27, 2019, respectively, excluded from the calculation as they were anti-dilutive. The Company’s non-vested (restricted) shares do not meet the definition of a participating security as the dividends will not be paid if the shares do not vest.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20" w:firstLine="540"/>
        <w:spacing w:after="0" w:line="268" w:lineRule="auto"/>
        <w:rPr>
          <w:sz w:val="20"/>
          <w:szCs w:val="20"/>
          <w:color w:val="auto"/>
        </w:rPr>
      </w:pPr>
      <w:r>
        <w:rPr>
          <w:rFonts w:ascii="Arial" w:cs="Arial" w:eastAsia="Arial" w:hAnsi="Arial"/>
          <w:sz w:val="17"/>
          <w:szCs w:val="17"/>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The Company determined that recent adverse changes in macroeconomic trends, reduced cash flows as a consequence of the temporary closure of the theaters within the Company's network in response to the outbreak of the COVID-19 Pandemic, a decline in the fair value of NCM LLC’s debt and the further sustained decline in the market price of NCM, Inc.'s common stock as of June 25, 2020 constituted a triggering event for certain of its intangible assets under </w:t>
      </w:r>
      <w:r>
        <w:rPr>
          <w:rFonts w:ascii="Arial" w:cs="Arial" w:eastAsia="Arial" w:hAnsi="Arial"/>
          <w:sz w:val="17"/>
          <w:szCs w:val="17"/>
          <w:i w:val="1"/>
          <w:iCs w:val="1"/>
          <w:color w:val="auto"/>
        </w:rPr>
        <w:t>Accounting Standards Certification No. 360,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and Disposal of Long-Lived Assets. </w:t>
      </w:r>
      <w:r>
        <w:rPr>
          <w:rFonts w:ascii="Arial" w:cs="Arial" w:eastAsia="Arial" w:hAnsi="Arial"/>
          <w:sz w:val="17"/>
          <w:szCs w:val="17"/>
          <w:color w:val="auto"/>
        </w:rPr>
        <w:t>Management considered possible scenarios in a probability-weighted estimated future undiscounted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 analysis, including the potential extension of or a later recurrence of the temporary theater closures due to the COVID-19 Pandemic and potential adverse impacts to NCM LLC's founding members' and affiliates' financial liquidity related to the COVID-19 Pandemic theater closures. The estimated future</w:t>
      </w:r>
    </w:p>
    <w:p>
      <w:pPr>
        <w:sectPr>
          <w:pgSz w:w="11900" w:h="16838" w:orient="portrait"/>
          <w:cols w:equalWidth="0" w:num="1">
            <w:col w:w="11240"/>
          </w:cols>
          <w:pgMar w:left="320" w:top="121"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flows from the affiliate agreements and ESAs calculated within the probability-weighted analyses were in excess of the net book value of these intangible assets and thus, no impairment charges were recorded for the three and six months ended June 25,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8" w:lineRule="exact"/>
        <w:rPr>
          <w:sz w:val="20"/>
          <w:szCs w:val="20"/>
          <w:color w:val="auto"/>
        </w:rPr>
      </w:pPr>
    </w:p>
    <w:p>
      <w:pPr>
        <w:ind w:right="120" w:firstLine="540"/>
        <w:spacing w:after="0" w:line="296" w:lineRule="auto"/>
        <w:rPr>
          <w:sz w:val="20"/>
          <w:szCs w:val="20"/>
          <w:color w:val="auto"/>
        </w:rPr>
      </w:pPr>
      <w:r>
        <w:rPr>
          <w:rFonts w:ascii="Arial" w:cs="Arial" w:eastAsia="Arial" w:hAnsi="Arial"/>
          <w:sz w:val="16"/>
          <w:szCs w:val="16"/>
          <w:b w:val="1"/>
          <w:bCs w:val="1"/>
          <w:i w:val="1"/>
          <w:iCs w:val="1"/>
          <w:color w:val="auto"/>
        </w:rPr>
        <w:t>Common Unit Adjustments</w:t>
      </w:r>
      <w:r>
        <w:rPr>
          <w:rFonts w:ascii="Arial" w:cs="Arial" w:eastAsia="Arial" w:hAnsi="Arial"/>
          <w:sz w:val="16"/>
          <w:szCs w:val="16"/>
          <w:color w:val="auto"/>
        </w:rPr>
        <w:t>—In accordance with NCM LLC’s Common Unit Adjustment Agreement with its founding members, on an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07"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7"/>
          <w:szCs w:val="17"/>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111"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7"/>
          <w:szCs w:val="17"/>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111" w:lineRule="exact"/>
        <w:rPr>
          <w:sz w:val="20"/>
          <w:szCs w:val="20"/>
          <w:color w:val="auto"/>
        </w:rPr>
      </w:pPr>
    </w:p>
    <w:p>
      <w:pPr>
        <w:ind w:firstLine="540"/>
        <w:spacing w:after="0" w:line="282"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 2019, AMC and Cinemark also made integration payments to NCM LLC related to their respective acquisitions of theaters from Rave Cinemas. The advertising agreements with an alternative provider for these theaters ended during 2019 and the theaters were transferred to our network. Integration payments are no longer due related to these theaters.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 During the three months ended June 25, 2020 and June 27, 2019 and six months ended June 25, 2020 and June 27, 2019, the Company recorded a reduction to net intangible assets of $0.0 million, $5.7 million, $1.4 million and $8.1 million, respectively, related to integration and other encumbered theater payments. Because the encumbered theaters were temporarily closed during the three months ended June 25, 2020, no advertising cash flows could have been generated from the encumbered theaters during the period if the theaters were within NCM LLC's network and thus no integration payments were earned during the three months ended June 25, 2020. During the three months ended June 25, 2020 and June 27, 2019 and six months ended June 25, 2020 and June 27, 2019, AMC and Cinemark paid a total of $1.2 million, $2.5 million, $9.7 million and $10.6 million respectively, in integration and other encumbered theater payments (as payments are made one quarter and one month in arrears, respectively). The payments received during the three and six months ended</w:t>
      </w:r>
    </w:p>
    <w:p>
      <w:pPr>
        <w:spacing w:after="0" w:line="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June 25, 2020 primarily relate to AMC's acquisition of theaters from Carmike. The payments received during the three and six months ended June 27, 2019 relate to AMC's acquisitions of theaters from Carmike and Rave Cinemas and from Cinemark related primarily to its acquisition of theaters from Rave Cinemas.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40" w:firstLine="540"/>
        <w:spacing w:after="0" w:line="271"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—In connection with NCM, Inc.’s initial public offering (“IPO”), the Company entered into several agreements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 and regulate the relationships among NCM, Inc., NCM LLC and the founding members which are outlined below. As AMC owns less than 5% of NCM LLC as of June 25, 2020, AMC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080" w:hanging="330"/>
        <w:spacing w:after="0" w:line="269"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30 seconds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24" w:lineRule="exact"/>
        <w:rPr>
          <w:rFonts w:ascii="Arial" w:cs="Arial" w:eastAsia="Arial" w:hAnsi="Arial"/>
          <w:sz w:val="17"/>
          <w:szCs w:val="17"/>
          <w:color w:val="auto"/>
        </w:rPr>
      </w:pPr>
    </w:p>
    <w:p>
      <w:pPr>
        <w:ind w:left="1080" w:right="60" w:hanging="330"/>
        <w:spacing w:after="0" w:line="26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080" w:right="100" w:hanging="330"/>
        <w:spacing w:after="0" w:line="31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080" w:right="100" w:hanging="330"/>
        <w:spacing w:after="0" w:line="303"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25, 2020</w:t>
            </w:r>
          </w:p>
        </w:tc>
        <w:tc>
          <w:tcPr>
            <w:tcW w:w="22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25, 2020</w:t>
            </w:r>
          </w:p>
        </w:tc>
        <w:tc>
          <w:tcPr>
            <w:tcW w:w="220" w:type="dxa"/>
            <w:vAlign w:val="bottom"/>
          </w:tcPr>
          <w:p>
            <w:pPr>
              <w:spacing w:after="0"/>
              <w:rPr>
                <w:sz w:val="13"/>
                <w:szCs w:val="13"/>
                <w:color w:val="auto"/>
              </w:rPr>
            </w:pPr>
          </w:p>
        </w:tc>
        <w:tc>
          <w:tcPr>
            <w:tcW w:w="100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960" w:type="dxa"/>
            <w:vAlign w:val="bottom"/>
            <w:gridSpan w:val="5"/>
          </w:tcPr>
          <w:p>
            <w:pPr>
              <w:jc w:val="right"/>
              <w:ind w:right="1520"/>
              <w:spacing w:after="0"/>
              <w:rPr>
                <w:sz w:val="20"/>
                <w:szCs w:val="20"/>
                <w:color w:val="auto"/>
              </w:rPr>
            </w:pPr>
            <w:r>
              <w:rPr>
                <w:rFonts w:ascii="Arial" w:cs="Arial" w:eastAsia="Arial" w:hAnsi="Arial"/>
                <w:sz w:val="14"/>
                <w:szCs w:val="14"/>
                <w:b w:val="1"/>
                <w:bCs w:val="1"/>
                <w:i w:val="1"/>
                <w:iCs w:val="1"/>
                <w:color w:val="auto"/>
                <w:w w:val="89"/>
              </w:rPr>
              <w:t>Included in the unaudited Condensed Consolidated Statements of Income:</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Revenue:</w:t>
            </w:r>
          </w:p>
        </w:tc>
        <w:tc>
          <w:tcPr>
            <w:tcW w:w="500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680" w:type="dxa"/>
            <w:vAlign w:val="bottom"/>
            <w:gridSpan w:val="4"/>
          </w:tcPr>
          <w:p>
            <w:pPr>
              <w:ind w:left="160"/>
              <w:spacing w:after="0"/>
              <w:rPr>
                <w:sz w:val="20"/>
                <w:szCs w:val="20"/>
                <w:color w:val="auto"/>
              </w:rPr>
            </w:pPr>
            <w:r>
              <w:rPr>
                <w:rFonts w:ascii="Arial" w:cs="Arial" w:eastAsia="Arial" w:hAnsi="Arial"/>
                <w:sz w:val="18"/>
                <w:szCs w:val="18"/>
                <w:color w:val="auto"/>
                <w:w w:val="97"/>
              </w:rPr>
              <w:t xml:space="preserve">Beverage concessionaire revenue (included in advertising revenue) </w:t>
            </w:r>
            <w:r>
              <w:rPr>
                <w:rFonts w:ascii="Arial" w:cs="Arial" w:eastAsia="Arial" w:hAnsi="Arial"/>
                <w:sz w:val="18"/>
                <w:szCs w:val="18"/>
                <w:i w:val="1"/>
                <w:iCs w:val="1"/>
                <w:color w:val="auto"/>
                <w:w w:val="97"/>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5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5"/>
              </w:rPr>
              <w:t>Purchase of movie tickets and concession products and rental of theater</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xml:space="preserve">space (included in selling and marketing costs) </w:t>
            </w:r>
            <w:r>
              <w:rPr>
                <w:rFonts w:ascii="Arial" w:cs="Arial" w:eastAsia="Arial" w:hAnsi="Arial"/>
                <w:sz w:val="18"/>
                <w:szCs w:val="18"/>
                <w:i w:val="1"/>
                <w:iCs w:val="1"/>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680" w:type="dxa"/>
            <w:vAlign w:val="bottom"/>
            <w:gridSpan w:val="4"/>
          </w:tcPr>
          <w:p>
            <w:pPr>
              <w:spacing w:after="0" w:line="202" w:lineRule="exact"/>
              <w:rPr>
                <w:sz w:val="20"/>
                <w:szCs w:val="20"/>
                <w:color w:val="auto"/>
              </w:rPr>
            </w:pPr>
            <w:r>
              <w:rPr>
                <w:rFonts w:ascii="Arial" w:cs="Arial" w:eastAsia="Arial" w:hAnsi="Arial"/>
                <w:sz w:val="18"/>
                <w:szCs w:val="18"/>
                <w:color w:val="auto"/>
              </w:rPr>
              <w:t>Non-operating 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5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Interest income from notes receivable (included in interest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960" w:type="dxa"/>
            <w:vAlign w:val="bottom"/>
            <w:gridSpan w:val="5"/>
          </w:tcPr>
          <w:p>
            <w:pPr>
              <w:jc w:val="right"/>
              <w:ind w:right="2360"/>
              <w:spacing w:after="0"/>
              <w:rPr>
                <w:sz w:val="20"/>
                <w:szCs w:val="20"/>
                <w:color w:val="auto"/>
              </w:rPr>
            </w:pPr>
            <w:r>
              <w:rPr>
                <w:rFonts w:ascii="Arial" w:cs="Arial" w:eastAsia="Arial" w:hAnsi="Arial"/>
                <w:sz w:val="18"/>
                <w:szCs w:val="18"/>
                <w:color w:val="auto"/>
                <w:w w:val="89"/>
              </w:rPr>
              <w:t>________________________________________</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right="240" w:hanging="332"/>
        <w:spacing w:after="0" w:line="286"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For the three and six months ended June 25, 2020 and June 27, 2019, Cinemark and Regal purchased 60 seconds of on-screen advertising time from NCM LLC to satisfy their obligations under their beverage concessionaire agreements at a 30 seconds equivalent CPM rate specified by the ESA. There was no beverage revenue for the three months ended June 25, 2020 due to the temporary closure of all the founding member theaters within NCM LLC's network in response to the COVID-19 Pandemic and thus there not being any attendees upon which beverage revenue is based.</w:t>
      </w:r>
    </w:p>
    <w:p>
      <w:pPr>
        <w:spacing w:after="0" w:line="1" w:lineRule="exact"/>
        <w:rPr>
          <w:rFonts w:ascii="Arial" w:cs="Arial" w:eastAsia="Arial" w:hAnsi="Arial"/>
          <w:sz w:val="16"/>
          <w:szCs w:val="16"/>
          <w:i w:val="1"/>
          <w:iCs w:val="1"/>
          <w:color w:val="auto"/>
        </w:rPr>
      </w:pPr>
    </w:p>
    <w:p>
      <w:pPr>
        <w:ind w:left="340" w:right="80" w:hanging="332"/>
        <w:spacing w:after="0" w:line="250"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in September of 2019 this also includes payments to Cinemark and Regal for their share of the revenue from the sale of an additional single unit that is either 30 or 60 seconds of the </w:t>
      </w: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 in the trailer position directly prior to the “attached” trailers preceding the feature film (the “Platinum Spot”). There was no theater</w:t>
      </w:r>
      <w:r>
        <w:rPr>
          <w:rFonts w:ascii="Arial" w:cs="Arial" w:eastAsia="Arial" w:hAnsi="Arial"/>
          <w:sz w:val="18"/>
          <w:szCs w:val="18"/>
          <w:i w:val="1"/>
          <w:iCs w:val="1"/>
          <w:color w:val="auto"/>
        </w:rPr>
        <w:t xml:space="preserve"> </w:t>
      </w:r>
      <w:r>
        <w:rPr>
          <w:rFonts w:ascii="Arial" w:cs="Arial" w:eastAsia="Arial" w:hAnsi="Arial"/>
          <w:sz w:val="18"/>
          <w:szCs w:val="18"/>
          <w:color w:val="auto"/>
        </w:rPr>
        <w:t>access fee or revenue share expense for the three months ended June 25, 2020 due to the temporary closure of all the founding member theaters within NCM LLC's network.</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sz w:val="20"/>
          <w:szCs w:val="20"/>
          <w:color w:val="auto"/>
        </w:rPr>
      </w:pPr>
    </w:p>
    <w:p>
      <w:pPr>
        <w:ind w:left="340" w:right="60" w:hanging="323"/>
        <w:spacing w:after="0" w:line="253" w:lineRule="auto"/>
        <w:rPr>
          <w:sz w:val="20"/>
          <w:szCs w:val="20"/>
          <w:color w:val="auto"/>
        </w:rPr>
      </w:pPr>
      <w:r>
        <w:rPr>
          <w:rFonts w:ascii="Arial" w:cs="Arial" w:eastAsia="Arial" w:hAnsi="Arial"/>
          <w:sz w:val="18"/>
          <w:szCs w:val="18"/>
          <w:i w:val="1"/>
          <w:iCs w:val="1"/>
          <w:color w:val="auto"/>
        </w:rPr>
        <w:t>(4)</w:t>
      </w:r>
      <w:r>
        <w:rPr>
          <w:rFonts w:ascii="Arial" w:cs="Arial" w:eastAsia="Arial" w:hAnsi="Arial"/>
          <w:sz w:val="18"/>
          <w:szCs w:val="18"/>
          <w:color w:val="auto"/>
        </w:rPr>
        <w:t>On December 26, 2013, NCM LLC sold its Fathom Events business to a newly formed limited liability company (AC JV, LLC) owned 32% by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were due annually in six equal installments commencing on the first anniversary of the closing and ended on December 26, 2019.</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June 25, 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w w:val="98"/>
              </w:rPr>
              <w:t>December 26,</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Common unit adjustments and ESA extension costs, net of amortization and integration payments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 xml:space="preserve">(included in intangible assets) </w:t>
            </w:r>
            <w:r>
              <w:rPr>
                <w:rFonts w:ascii="Arial" w:cs="Arial" w:eastAsia="Arial" w:hAnsi="Arial"/>
                <w:sz w:val="18"/>
                <w:szCs w:val="18"/>
                <w:i w:val="1"/>
                <w:iCs w:val="1"/>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43"/>
        </w:trPr>
        <w:tc>
          <w:tcPr>
            <w:tcW w:w="79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960" w:right="400" w:hanging="318"/>
        <w:spacing w:after="0" w:line="255" w:lineRule="auto"/>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 w:lineRule="exact"/>
        <w:rPr>
          <w:rFonts w:ascii="Arial" w:cs="Arial" w:eastAsia="Arial" w:hAnsi="Arial"/>
          <w:sz w:val="18"/>
          <w:szCs w:val="18"/>
          <w:i w:val="1"/>
          <w:iCs w:val="1"/>
          <w:color w:val="auto"/>
        </w:rPr>
      </w:pPr>
    </w:p>
    <w:p>
      <w:pPr>
        <w:ind w:left="960" w:right="60" w:hanging="318"/>
        <w:spacing w:after="0" w:line="253" w:lineRule="auto"/>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$3.7 million and $6.7 million, respectively, in payments pursuant to the TRA during 2019 which was for the 2018 tax year. On March 21, 2020, a Treasury Department Notice postponed the original due date for the Company's U.S. federal income tax return to July 15, 2020 from April 15, 2020. The Company made the TRA payments to Cinemark and Regal on July 15, 2020 of $3.2 million and $5.8 million, respectively.</w:t>
      </w:r>
    </w:p>
    <w:p>
      <w:pPr>
        <w:spacing w:after="0" w:line="193"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Pursuant to the terms of the NCM LLC Operating Agreement in place since the completion of the Company’s IPO, NCM LLC is required to make mandatory distributions on a proportionate basis to its members of available cash, as defined in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NCM LLC Operating Agreement, on a quarterly basis in arrears. Mandatory distributions of available cash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25, 2020 and June 27, 2019 were as follows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June 25, 2020</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25,</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Cinemark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Regal</w:t>
            </w:r>
          </w:p>
        </w:tc>
        <w:tc>
          <w:tcPr>
            <w:tcW w:w="18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distributions to related parties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NCM, Inc.</w:t>
            </w:r>
          </w:p>
        </w:tc>
        <w:tc>
          <w:tcPr>
            <w:tcW w:w="18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Due to the temporary closure of the theaters within NCM LLC's network during the three months ended June 25, 2020, the mandatory distributions of available cash by NCM LLC to its related party founding members and NCM, Inc. for the three months ended June 25, 2020 were calculated as negative $29.8 million (including $7.6 million for Cinemark, $7.8 million for Regal and $14.4 million for NCM, Inc.). Therefore, there will be no payment made for the second quarter of 2020. Under the terms of the NCM LLC Operating Agreement, this negative amount will be netted against the available cash distributions for the second quarter of 2021, which will be paid in the third quarter of 2021, contingent upon the Company's compliance with the covenants outlined within the Credit Agreement Amendment defined within Note 6—</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and the Company's generation of future positive available cash to which the above negative amounts above can be applied.</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December 26, 2019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15"/>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Theater access fees and revenue share, net of beverage revenues and other encumbered theater</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32.4</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36.8</w:t>
            </w:r>
          </w:p>
        </w:tc>
      </w:tr>
      <w:tr>
        <w:trPr>
          <w:trHeight w:val="27"/>
        </w:trPr>
        <w:tc>
          <w:tcPr>
            <w:tcW w:w="7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40" w:firstLine="540"/>
        <w:spacing w:after="0" w:line="263" w:lineRule="auto"/>
        <w:rPr>
          <w:sz w:val="20"/>
          <w:szCs w:val="20"/>
          <w:color w:val="auto"/>
        </w:rPr>
      </w:pPr>
      <w:r>
        <w:rPr>
          <w:rFonts w:ascii="Arial" w:cs="Arial" w:eastAsia="Arial" w:hAnsi="Arial"/>
          <w:sz w:val="18"/>
          <w:szCs w:val="18"/>
          <w:b w:val="1"/>
          <w:bCs w:val="1"/>
          <w:i w:val="1"/>
          <w:iCs w:val="1"/>
          <w:color w:val="auto"/>
        </w:rPr>
        <w:t>Network Affiliate Transactions</w:t>
      </w:r>
      <w:r>
        <w:rPr>
          <w:rFonts w:ascii="Arial" w:cs="Arial" w:eastAsia="Arial" w:hAnsi="Arial"/>
          <w:sz w:val="18"/>
          <w:szCs w:val="18"/>
          <w:color w:val="auto"/>
        </w:rPr>
        <w:t>—NCM LLC paid a network affiliate owned by a family member of a director on the Company's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$0.1 million, $0.3 million and $0.2 million, in circuit share payments during the three months ended June 25, 2020 and June 27, 2019 and six months ended June 25, 2020 and June 27, 2019, respectively.</w:t>
      </w:r>
    </w:p>
    <w:p>
      <w:pPr>
        <w:spacing w:after="0" w:line="238" w:lineRule="exact"/>
        <w:rPr>
          <w:sz w:val="20"/>
          <w:szCs w:val="20"/>
          <w:color w:val="auto"/>
        </w:rPr>
      </w:pPr>
    </w:p>
    <w:p>
      <w:pPr>
        <w:ind w:right="120" w:firstLine="540"/>
        <w:spacing w:after="0" w:line="288"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$0.9 million and $0.9 million as of June 25, 2020 and December 26, 2019, respectively. Equity in (losses) earnings from AC JV, LLC of $(0.1) million, $0.1 million, $0.0 million and $0.3 million for the three months ended June 25, 2020 and June 27, 2019 and six months ended June 25, 2020 and June 27, 2019, respectively, is included in “Other non-operating income” in the unaudited Condensed Consolidated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380" w:firstLine="540"/>
        <w:spacing w:after="0" w:line="277" w:lineRule="auto"/>
        <w:rPr>
          <w:sz w:val="20"/>
          <w:szCs w:val="20"/>
          <w:color w:val="auto"/>
        </w:rPr>
      </w:pPr>
      <w:r>
        <w:rPr>
          <w:rFonts w:ascii="Arial" w:cs="Arial" w:eastAsia="Arial" w:hAnsi="Arial"/>
          <w:sz w:val="18"/>
          <w:szCs w:val="18"/>
          <w:color w:val="auto"/>
        </w:rPr>
        <w:t>The following table summarizes NCM LLC’s total outstanding debt as of June 25, 2020 and December 26, 2019 and the significant terms of its borrowing arrangements (in millions):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Outstanding Balance as of</w:t>
            </w: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June 25, 2020</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3"/>
                <w:szCs w:val="13"/>
                <w:color w:val="auto"/>
              </w:rPr>
            </w:pPr>
          </w:p>
        </w:tc>
        <w:tc>
          <w:tcPr>
            <w:tcW w:w="1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2023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Term loans</w:t>
            </w: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2025</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5.750%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Senior secured notes due 2028</w:t>
            </w: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15, 2028</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5.875%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related to term loans and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160"/>
              <w:spacing w:after="0"/>
              <w:rPr>
                <w:sz w:val="20"/>
                <w:szCs w:val="20"/>
                <w:color w:val="auto"/>
              </w:rPr>
            </w:pPr>
            <w:r>
              <w:rPr>
                <w:rFonts w:ascii="Arial" w:cs="Arial" w:eastAsia="Arial" w:hAnsi="Arial"/>
                <w:sz w:val="18"/>
                <w:szCs w:val="18"/>
                <w:color w:val="auto"/>
              </w:rPr>
              <w:t>Less: current portion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Carrying value of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923.9</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w w:val="92"/>
              </w:rPr>
              <w:t>___________________________________________________</w:t>
            </w: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315"/>
        <w:spacing w:after="0"/>
        <w:tabs>
          <w:tab w:leader="none" w:pos="6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—On June 20, 2018, NCM LLC entered into a credit agreement (the “Credit Agreement”) to replace NCM LLC's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secured credit facility, dated as of February 13, 2007, as amended (the “previous facility”). Consistent with the structure of the previous facility, the Credit Agreement consists of a term loan facility and a revolving credit facility. As of June 25, 2020, NCM LLC’s senior secured credit facility consisted of a $175.0 million revolving credit facility and a $265.3 million term loan. The obligations under the senior secured credit facility are secured by a lien on substantially all of the assets of NCM LLC.</w:t>
      </w:r>
    </w:p>
    <w:p>
      <w:pPr>
        <w:spacing w:after="0" w:line="296" w:lineRule="exact"/>
        <w:rPr>
          <w:sz w:val="20"/>
          <w:szCs w:val="20"/>
          <w:color w:val="auto"/>
        </w:rPr>
      </w:pPr>
    </w:p>
    <w:p>
      <w:pPr>
        <w:ind w:right="40" w:firstLine="540"/>
        <w:spacing w:after="0" w:line="289" w:lineRule="auto"/>
        <w:rPr>
          <w:sz w:val="20"/>
          <w:szCs w:val="20"/>
          <w:color w:val="auto"/>
        </w:rPr>
      </w:pPr>
      <w:r>
        <w:rPr>
          <w:rFonts w:ascii="Arial" w:cs="Arial" w:eastAsia="Arial" w:hAnsi="Arial"/>
          <w:sz w:val="16"/>
          <w:szCs w:val="16"/>
          <w:color w:val="auto"/>
        </w:rPr>
        <w:t>On April 30, 2020, NCM LLC amended the Credit Agreement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w:t>
      </w:r>
    </w:p>
    <w:p>
      <w:pPr>
        <w:spacing w:after="0" w:line="112"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NCM LLC’s total borrowings is available, subject to certain conditions,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to address the COVID-19 Pandemic. As of June 25, 2020, NCM LLC’s total availability under the $175.0 million revolving credit facility was $4.4 million, net of $167.0 million outstanding and $3.6 million in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revolving credit facility will mature on June 20, 2023. The weighted-average interest rate on the revolving credit facility as of June 25, 2020 was 3.00%.</w:t>
      </w:r>
    </w:p>
    <w:p>
      <w:pPr>
        <w:spacing w:after="0" w:line="114"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NCM LLC’s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interest rate on the term loans as of June 25, 2020 was 4.00%. The term loans amortize at a rate equal to 1.00% annually, to be paid in equal quarterly installments. As of June 25, 2020, NCM LLC has paid principal of $4.7 million, reducing the outstanding balance to $265.3 million. The term loans will mature on June 20, 2025.</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60" w:firstLine="540"/>
        <w:spacing w:after="0" w:line="289" w:lineRule="auto"/>
        <w:rPr>
          <w:sz w:val="20"/>
          <w:szCs w:val="20"/>
          <w:color w:val="auto"/>
        </w:rPr>
      </w:pPr>
      <w:r>
        <w:rPr>
          <w:rFonts w:ascii="Arial" w:cs="Arial" w:eastAsia="Arial" w:hAnsi="Arial"/>
          <w:sz w:val="16"/>
          <w:szCs w:val="16"/>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June 25, 2020, NCM LLC’s consolidated net senior secured leverage ratio was 4.58 times (versus the dividend payment restriction of 5.50 times and the covenant of 4.50 times) and NCM LLC's consolidated net total leverage ratio was 6.01 times (versus the covenant of 6.25 times). As of June 25, 2020, NCM LLC was in compliance with the requirements of the Credit Agreement Amendment described above and thus the noncompliance with the financial covenants was automatically waived.</w:t>
      </w:r>
    </w:p>
    <w:p>
      <w:pPr>
        <w:spacing w:after="0" w:line="112" w:lineRule="exact"/>
        <w:rPr>
          <w:sz w:val="20"/>
          <w:szCs w:val="20"/>
          <w:color w:val="auto"/>
        </w:rPr>
      </w:pPr>
    </w:p>
    <w:p>
      <w:pPr>
        <w:ind w:right="60" w:firstLine="540"/>
        <w:spacing w:after="0" w:line="285"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$5.0 million and $15.0 million of the Notes due 2026 during 2019 and 2018, respectively, reducing the principal amount to $230.0 million as of</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June 25, 2020. These repurchases were treated as partial debt extinguishments and resulted in the realization of a non-operating gain, net of written off debt issuance costs, of $0.0 million, $0.0 million, $0.0 million and $0.3 million during the three months and six months ended June 25, 2020 and June 27, 2019, respectively.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Senior Secured Notes due 2028</w:t>
      </w:r>
      <w:r>
        <w:rPr>
          <w:rFonts w:ascii="Arial" w:cs="Arial" w:eastAsia="Arial" w:hAnsi="Arial"/>
          <w:sz w:val="16"/>
          <w:szCs w:val="16"/>
          <w:color w:val="auto"/>
        </w:rPr>
        <w:t>—On October 8, 2019, NCM LLC completed a private offering of $400.0 million aggregate principal amount</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—The Company recorded an income tax benefit of $4.6 million for the six months ended June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compared to income tax expense of $1.7 million for the six months ended June 27, 2019 resulting in an effective tax rate of 20.8% for the six months ended June 25, 2020 as compared to 17.9% for the six months ended June 27, 2019. The increase in the effective tax rate was primarily due to the relative impact of the tax benefit recorded on pretax book losses attributable to NCM Inc. of $22.0 million for the six months ended June 25, 2020 compared to tax expense recorded on pretax book income of $9.4 million for the six months ended June 27, 2019. This increase in income tax benefit was partially offset by the 2019 impact of deferred state tax recorded during the six months ended June 27, 2019 that did not recur during the same period in 2020. The tax provision through June 25, 2020 was computed using the annual effective tax rate. The Company's current blended state and federal rate (net of federal benefit) was 24.4% as of June 25, 2020 and 24.5% as of June 27,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4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or in the aggregate on its financial position, results of operations or cash flows.</w:t>
      </w:r>
    </w:p>
    <w:p>
      <w:pPr>
        <w:spacing w:after="0" w:line="62"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$21.4 million and short-term and long-term lease liabilities of $1.7 million and $23.7 million, respectively, on the balance sheet as of June 25, 2020 for all material leases with terms longer than twelve months. These balances are included within “Other assets”, “Other current liabilities” and “Other liabilities”, respectively, on the unaudited Condensed Consolidated Balance Sheets. As of June 25, 2020, the Company had a weighted average remaining lease term of 9.6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environment. As of June 25, 2020, the Company’s weighted average annual discount rate used to establish the ROU assets and lease liabilities was 7.33%.</w:t>
      </w:r>
    </w:p>
    <w:p>
      <w:pPr>
        <w:spacing w:after="0" w:line="24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During the three and six months ended June 25, 2020 and June 27, 2019,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25,</w:t>
            </w:r>
          </w:p>
        </w:tc>
        <w:tc>
          <w:tcPr>
            <w:tcW w:w="18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25,</w:t>
            </w:r>
          </w:p>
        </w:tc>
        <w:tc>
          <w:tcPr>
            <w:tcW w:w="180" w:type="dxa"/>
            <w:vAlign w:val="bottom"/>
          </w:tcPr>
          <w:p>
            <w:pPr>
              <w:spacing w:after="0"/>
              <w:rPr>
                <w:sz w:val="13"/>
                <w:szCs w:val="13"/>
                <w:color w:val="auto"/>
              </w:rPr>
            </w:pPr>
          </w:p>
        </w:tc>
        <w:tc>
          <w:tcPr>
            <w:tcW w:w="88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w w:val="99"/>
              </w:rPr>
              <w:t>June 27,</w:t>
            </w:r>
          </w:p>
        </w:tc>
      </w:tr>
      <w:tr>
        <w:trPr>
          <w:trHeight w:val="192"/>
        </w:trPr>
        <w:tc>
          <w:tcPr>
            <w:tcW w:w="6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6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w:t>
            </w: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made total lease payments of $0.9 million, $0.8 million, $1.8 million and $1.6 million during the three months ended June 25, 2020 and June 27, 2019 and six months ended June 25, 2020 and June 27, 2019,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right="20" w:firstLine="540"/>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—The Company has entered into long-term ESAs with the founding members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18"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June 25, 2020 and December 26, 2019, the Company had no liabilities recorded for the minimum payment, as the theater access fee was in excess of the minimum.</w:t>
      </w:r>
    </w:p>
    <w:p>
      <w:pPr>
        <w:spacing w:after="0" w:line="124" w:lineRule="exact"/>
        <w:rPr>
          <w:sz w:val="20"/>
          <w:szCs w:val="20"/>
          <w:color w:val="auto"/>
        </w:rPr>
      </w:pPr>
    </w:p>
    <w:p>
      <w:pPr>
        <w:ind w:right="40" w:firstLine="540"/>
        <w:spacing w:after="0" w:line="288"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1" w:right="35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will be required to satisfy a minimum average CPM for that period of time. The Company does not owe the founding members any theater access fees or any Platinum Spot revenue share when the theaters are not displaying the Company's pre-show or when the Company does not have access to the theaters. As such, the Company did not owe these fees for the three months ended June 25, 2020 and will not owe these fees while the founding members' theaters are closed in connection with the COVID-19 Pandemic. The digital screen fee is calculated based upon average screens in use during each month. No digital screen fees were incurred for the three months ended June 25, 2020 and no fees will be incurred for months where no screens are in use and fees will be reduced for months where screens are in use for only part of the month.</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25, 2020, the maximum potential amount of future payments the Company could be required to make pursuant to the minimum revenue guarantees is $71.2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$0.4 million and $0.5 million related to affiliate agreements with guaranteed minimums in excess of the revenue share agreement as of June 25, 2020 and December 26, 2019, respectively. As the guaranteed minimums are based upon agreed upon minimum attendance or affiliate revenue levels, the Company did not incur minimum revenue share fees during the three months ended June 25, 2020 and will not for the remaining duration an affiliate's theaters are closed or during a period where theater attendance or affiliate revenue levels are low as the minimum levels must first be met by the affiliate.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260" w:firstLine="540"/>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20" w:firstLine="54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40" w:firstLine="540"/>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60" w:firstLine="540"/>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1" w:right="359" w:bottom="1440" w:gutter="0" w:footer="0" w:header="0"/>
        </w:sectPr>
      </w:pPr>
    </w:p>
    <w:bookmarkStart w:id="22" w:name="page23"/>
    <w:bookmarkEnd w:id="2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18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w w:val="98"/>
              </w:rPr>
              <w:t>December 26,</w:t>
            </w:r>
          </w:p>
        </w:tc>
      </w:tr>
      <w:tr>
        <w:trPr>
          <w:trHeight w:val="192"/>
        </w:trPr>
        <w:tc>
          <w:tcPr>
            <w:tcW w:w="8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4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0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0.1</w:t>
            </w: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June 25, 2020,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—The carrying amount of the revolving credit facility is considered a reasonable estimate of fair value due to its floating-rate terms.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values of the Company’s financial instruments where carrying values do not approximate fair value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As of June 25,</w:t>
            </w:r>
          </w:p>
        </w:tc>
        <w:tc>
          <w:tcPr>
            <w:tcW w:w="120" w:type="dxa"/>
            <w:vAlign w:val="bottom"/>
          </w:tcPr>
          <w:p>
            <w:pPr>
              <w:spacing w:after="0"/>
              <w:rPr>
                <w:sz w:val="14"/>
                <w:szCs w:val="14"/>
                <w:color w:val="auto"/>
              </w:rPr>
            </w:pPr>
          </w:p>
        </w:tc>
        <w:tc>
          <w:tcPr>
            <w:tcW w:w="244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rPr>
              <w:t>As of December 26,</w:t>
            </w:r>
          </w:p>
        </w:tc>
      </w:t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16"/>
                <w:szCs w:val="16"/>
                <w:color w:val="auto"/>
              </w:rPr>
            </w:pPr>
          </w:p>
        </w:tc>
      </w:tr>
      <w:tr>
        <w:trPr>
          <w:trHeight w:val="263"/>
        </w:trPr>
        <w:tc>
          <w:tcPr>
            <w:tcW w:w="5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Fair Value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Notes due 2026</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226.2</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2028</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426.7</w:t>
            </w: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 as of</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25,</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 as of</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20" w:right="80" w:hanging="315"/>
        <w:spacing w:after="0" w:line="281" w:lineRule="auto"/>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1" w:lineRule="exact"/>
        <w:rPr>
          <w:rFonts w:ascii="Arial" w:cs="Arial" w:eastAsia="Arial" w:hAnsi="Arial"/>
          <w:sz w:val="16"/>
          <w:szCs w:val="16"/>
          <w:i w:val="1"/>
          <w:iCs w:val="1"/>
          <w:color w:val="auto"/>
        </w:rPr>
      </w:pPr>
    </w:p>
    <w:p>
      <w:pPr>
        <w:ind w:left="620" w:hanging="315"/>
        <w:spacing w:after="0" w:line="284" w:lineRule="auto"/>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June 25, 2020, there was $2.0 million of Available-for-sale debt securities in unrealized loss positions without an allowance for credit losses. The Company has not recorded an allowance for credit losses for the marketable securities balance as of June 25, 2020 given the immaterial difference between the amortized cost basis and the aggregate fair value of the Company's securities. For the three and six months ended June 25, 2020 and June 27, 2019, there was an inconsequential amount of net realized gains (losses) recognized in interest income and an inconsequential amount of net unrealized holding gains (losses) included in interest income. Original cost of short-term marketable securities is based on the specific identification method. As of June 25, 2020 and December 26, 2019, there was $0.0 million and an inconsequential amount, respectively, of gross unrealized losses related to individual securities of $0.0 million and $6.5 million, respectively, that had been in a continuous loss position for 12 months or longer. The Company has not recorded an impairment because it has the intention and ability to hold these securities to maturity.</w:t>
      </w:r>
    </w:p>
    <w:p>
      <w:pPr>
        <w:spacing w:after="0" w:line="122"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June 25, 2020 and December 26, 2019 were as follows:</w:t>
      </w:r>
    </w:p>
    <w:p>
      <w:pPr>
        <w:spacing w:after="0" w:line="33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As of June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Amortized Cost</w:t>
            </w:r>
          </w:p>
        </w:tc>
        <w:tc>
          <w:tcPr>
            <w:tcW w:w="180" w:type="dxa"/>
            <w:vAlign w:val="bottom"/>
          </w:tcPr>
          <w:p>
            <w:pPr>
              <w:spacing w:after="0"/>
              <w:rPr>
                <w:sz w:val="14"/>
                <w:szCs w:val="14"/>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Aggregate Fair</w:t>
            </w:r>
          </w:p>
        </w:tc>
        <w:tc>
          <w:tcPr>
            <w:tcW w:w="120" w:type="dxa"/>
            <w:vAlign w:val="bottom"/>
          </w:tcPr>
          <w:p>
            <w:pPr>
              <w:spacing w:after="0"/>
              <w:rPr>
                <w:sz w:val="14"/>
                <w:szCs w:val="14"/>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Basis</w:t>
            </w:r>
          </w:p>
        </w:tc>
        <w:tc>
          <w:tcPr>
            <w:tcW w:w="180" w:type="dxa"/>
            <w:vAlign w:val="bottom"/>
          </w:tcPr>
          <w:p>
            <w:pPr>
              <w:spacing w:after="0"/>
              <w:rPr>
                <w:sz w:val="12"/>
                <w:szCs w:val="12"/>
                <w:color w:val="auto"/>
              </w:rPr>
            </w:pP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126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Short-term municipal bonds</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2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52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0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Long-term U.S. government agency bonds</w:t>
            </w: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2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520" w:type="dxa"/>
            <w:vAlign w:val="bottom"/>
          </w:tcPr>
          <w:p>
            <w:pPr>
              <w:ind w:left="820"/>
              <w:spacing w:after="0"/>
              <w:rPr>
                <w:sz w:val="20"/>
                <w:szCs w:val="20"/>
                <w:color w:val="auto"/>
              </w:rPr>
            </w:pPr>
            <w:r>
              <w:rPr>
                <w:rFonts w:ascii="Arial" w:cs="Arial" w:eastAsia="Arial" w:hAnsi="Arial"/>
                <w:sz w:val="18"/>
                <w:szCs w:val="18"/>
                <w:color w:val="auto"/>
              </w:rPr>
              <w:t>Total long-term marketable securities</w:t>
            </w:r>
          </w:p>
        </w:tc>
        <w:tc>
          <w:tcPr>
            <w:tcW w:w="20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26, 2019</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Aggregate Fair</w:t>
            </w:r>
          </w:p>
        </w:tc>
        <w:tc>
          <w:tcPr>
            <w:tcW w:w="14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U.S. government agency bonds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municipal bonds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56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Long-term U.S. government agency bonds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6560" w:type="dxa"/>
            <w:vAlign w:val="bottom"/>
          </w:tcPr>
          <w:p>
            <w:pPr>
              <w:ind w:left="72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___________________________________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20" w:right="360" w:hanging="316"/>
        <w:spacing w:after="0" w:line="260" w:lineRule="auto"/>
        <w:tabs>
          <w:tab w:leader="none" w:pos="1120"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2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August 3, 2020, the Company declared a cash dividend of $0.07 per share (approximately $5.5 million) on each share of the Company’s common stock (not including outstanding restricted stock which will accrue dividends until the shares vest) to stockholders of record on August 17, 2020 to be paid on August 31,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right="60" w:firstLine="540"/>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26, 2019 and as updated within our Form 10-Q filed with the SEC on May 5, 2020 the three months ended March 26, 2020.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26, 2019. In the following discussion and analysis, the term net income refers to net income attributable to NCM,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our cinema advertising and entertainment pre-show seen on movie screens across the U.S. Beginning in mid-March 2020, each of our founding members and all of our network affiliates announced that their theaters would be temporarily closed to address the COVID-19 Pandemic. As of June 25, 2020 almost all of the theaters within our network remained closed. We were unable to advertise in the theaters, and thus did not generate any in theater revenue, for the three months ended June 25, 2020 and will not for the duration of time that the theaters remain closed. Refer to the “Recent Developments” section below for further information regarding the impact of and the Company's response to the COVID-19 Pandemic.</w:t>
      </w:r>
    </w:p>
    <w:p>
      <w:pPr>
        <w:spacing w:after="0" w:line="112" w:lineRule="exact"/>
        <w:rPr>
          <w:sz w:val="20"/>
          <w:szCs w:val="20"/>
          <w:color w:val="auto"/>
        </w:rPr>
      </w:pPr>
    </w:p>
    <w:p>
      <w:pPr>
        <w:ind w:right="200" w:firstLine="540"/>
        <w:spacing w:after="0" w:line="286" w:lineRule="auto"/>
        <w:rPr>
          <w:sz w:val="20"/>
          <w:szCs w:val="20"/>
          <w:color w:val="auto"/>
        </w:rPr>
      </w:pPr>
      <w:r>
        <w:rPr>
          <w:rFonts w:ascii="Arial" w:cs="Arial" w:eastAsia="Arial" w:hAnsi="Arial"/>
          <w:sz w:val="16"/>
          <w:szCs w:val="16"/>
          <w:color w:val="auto"/>
        </w:rPr>
        <w:t xml:space="preserve">Beginning in November 2019 following the completion of the 2019 ESA Amendments, we now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14 of our network affiliates' theaters,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now includes advertising inventory after the advertised showtime consisting of (1) the lights down segment that runs for five minutes after the advertised showtime with trailer lighting and (2) the 30- or 60-second Platinum Spot (together, the “Post-Showtime Inventory”). As of June 25, 2020, theaters presenting the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new </w:t>
      </w:r>
      <w:r>
        <w:rPr>
          <w:rFonts w:ascii="Arial" w:cs="Arial" w:eastAsia="Arial" w:hAnsi="Arial"/>
          <w:sz w:val="18"/>
          <w:szCs w:val="18"/>
          <w:i w:val="1"/>
          <w:iCs w:val="1"/>
          <w:color w:val="auto"/>
        </w:rPr>
        <w:t>Noovie</w:t>
      </w:r>
      <w:r>
        <w:rPr>
          <w:rFonts w:ascii="Arial" w:cs="Arial" w:eastAsia="Arial" w:hAnsi="Arial"/>
          <w:sz w:val="18"/>
          <w:szCs w:val="18"/>
          <w:color w:val="auto"/>
        </w:rPr>
        <w:t xml:space="preserve"> format with Post-Showtime Inventory made up approximately 58% of our network based upon 2019 attendance. All other NCM network theater circuits, which make up the remaining 42% of our network, present the Classic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8"/>
          <w:szCs w:val="18"/>
          <w:i w:val="1"/>
          <w:iCs w:val="1"/>
          <w:color w:val="auto"/>
        </w:rPr>
        <w:t>Noovie</w:t>
      </w:r>
      <w:r>
        <w:rPr>
          <w:rFonts w:ascii="Arial" w:cs="Arial" w:eastAsia="Arial" w:hAnsi="Arial"/>
          <w:sz w:val="18"/>
          <w:szCs w:val="18"/>
          <w:color w:val="auto"/>
        </w:rPr>
        <w:t>.</w:t>
      </w:r>
    </w:p>
    <w:p>
      <w:pPr>
        <w:spacing w:after="0" w:line="136" w:lineRule="exact"/>
        <w:rPr>
          <w:sz w:val="20"/>
          <w:szCs w:val="20"/>
          <w:color w:val="auto"/>
        </w:rPr>
      </w:pPr>
    </w:p>
    <w:p>
      <w:pPr>
        <w:ind w:right="40" w:firstLine="540"/>
        <w:spacing w:after="0" w:line="269" w:lineRule="auto"/>
        <w:rPr>
          <w:sz w:val="20"/>
          <w:szCs w:val="20"/>
          <w:color w:val="auto"/>
        </w:rPr>
      </w:pPr>
      <w:r>
        <w:rPr>
          <w:rFonts w:ascii="Arial" w:cs="Arial" w:eastAsia="Arial" w:hAnsi="Arial"/>
          <w:sz w:val="17"/>
          <w:szCs w:val="17"/>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and across our suite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and </w:t>
      </w:r>
      <w:r>
        <w:rPr>
          <w:rFonts w:ascii="Arial" w:cs="Arial" w:eastAsia="Arial" w:hAnsi="Arial"/>
          <w:sz w:val="17"/>
          <w:szCs w:val="17"/>
          <w:i w:val="1"/>
          <w:iCs w:val="1"/>
          <w:color w:val="auto"/>
        </w:rPr>
        <w:t>Fantasy Movie League</w:t>
      </w:r>
      <w:r>
        <w:rPr>
          <w:rFonts w:ascii="Arial" w:cs="Arial" w:eastAsia="Arial" w:hAnsi="Arial"/>
          <w:sz w:val="17"/>
          <w:szCs w:val="17"/>
          <w:color w:val="auto"/>
        </w:rPr>
        <w:t xml:space="preserve"> in order to reach entertainment audiences beyond the theater. As of June 25, 2020, approximately 4.2 million moviegoers have downloaded our mobile apps. These downloads and the acquisition of second party data have resulted in first- and second-party data sets of over 146 million as of June 25, 2020. We have long-term ESAs (approximately 19.3 weighted average years remaining based on 2019 attendance) with the founding members and multi-year agreements with our network affiliates, which expire at various dates between September 2020 and July 2031. The weighted average remaining term (based on 2019 attendance) of the ESAs and the network affiliate agreements is 16.8 years as of June 25, 2020.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99%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(96% digital cinema projectors and 4% LCD projectors) as of June 25, 2020.</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6" w:name="page27"/>
    <w:bookmarkEnd w:id="26"/>
    <w:p>
      <w:pPr>
        <w:ind w:firstLine="540"/>
        <w:spacing w:after="0" w:line="269"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Factors” below and in our Form 10-K filed with the SEC on February 20, 2020 for our fiscal year ended December 26, 2019 and as updated within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filed with the SEC on May 5, 2020 the three months ended March 26,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right="20" w:firstLine="540"/>
        <w:spacing w:after="0" w:line="289" w:lineRule="auto"/>
        <w:rPr>
          <w:sz w:val="20"/>
          <w:szCs w:val="20"/>
          <w:color w:val="auto"/>
        </w:rPr>
      </w:pPr>
      <w:r>
        <w:rPr>
          <w:rFonts w:ascii="Arial" w:cs="Arial" w:eastAsia="Arial" w:hAnsi="Arial"/>
          <w:sz w:val="16"/>
          <w:szCs w:val="16"/>
          <w:b w:val="1"/>
          <w:bCs w:val="1"/>
          <w:i w:val="1"/>
          <w:iCs w:val="1"/>
          <w:color w:val="auto"/>
        </w:rPr>
        <w:t>COVID-19</w:t>
      </w:r>
      <w:r>
        <w:rPr>
          <w:rFonts w:ascii="Arial" w:cs="Arial" w:eastAsia="Arial" w:hAnsi="Arial"/>
          <w:sz w:val="16"/>
          <w:szCs w:val="16"/>
          <w:color w:val="auto"/>
        </w:rPr>
        <w:t>— Following the World Health Organization’s declaration of the COVID-19 virus as a pandemic, the United States’ government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to address this pandemic. As of June 25, 2020, almost all of the theaters within our network remained closed. Major motion picture releases expected to occur during the temporary closure period were delayed until later in 2020 or 2021 or have been released directly to alternative delivery methods bypassing the theater entirely. The results of the three and six months ended June 25, 2020 were significantly impacted by these temporary closures as theater attendance was less than expected beginning in March, as the public was told to practice social distancing, and then when theaters were closed following stay at home orders. As of the date of this filing, the COVID-19 virus continues to spread in certain areas of the United States, and there can be no assurance when theaters within our network return to normal operations. These developments will be referred to as the “COVID-19 Pandemic.”</w:t>
      </w:r>
    </w:p>
    <w:p>
      <w:pPr>
        <w:spacing w:after="0" w:line="58" w:lineRule="exact"/>
        <w:rPr>
          <w:sz w:val="20"/>
          <w:szCs w:val="20"/>
          <w:color w:val="auto"/>
        </w:rPr>
      </w:pPr>
    </w:p>
    <w:p>
      <w:pPr>
        <w:ind w:right="100" w:firstLine="540"/>
        <w:spacing w:after="0" w:line="301" w:lineRule="auto"/>
        <w:rPr>
          <w:sz w:val="20"/>
          <w:szCs w:val="20"/>
          <w:color w:val="auto"/>
        </w:rPr>
      </w:pPr>
      <w:r>
        <w:rPr>
          <w:rFonts w:ascii="Arial" w:cs="Arial" w:eastAsia="Arial" w:hAnsi="Arial"/>
          <w:sz w:val="16"/>
          <w:szCs w:val="16"/>
          <w:color w:val="auto"/>
        </w:rPr>
        <w:t>We are unable to advertise in the theaters, and thus we have not and will not generate any in theater revenue, for the duration of time that the theaters are closed. Our theater access fees, network affiliate payments and Platinum Spot revenue share payments are driven by attendance, active screens and/or revenue, and therefore, were not and will not be incurred for the duration that the theaters are closed. We have been working to preserve cash and ensure sufficient liquidity to endure the impacts of the COVID-19 Pandemic, even if prolonged. Among other measures, we have:</w:t>
      </w:r>
    </w:p>
    <w:p>
      <w:pPr>
        <w:spacing w:after="0" w:line="49" w:lineRule="exact"/>
        <w:rPr>
          <w:sz w:val="20"/>
          <w:szCs w:val="20"/>
          <w:color w:val="auto"/>
        </w:rPr>
      </w:pPr>
    </w:p>
    <w:p>
      <w:pPr>
        <w:ind w:left="660" w:right="4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furloughed approximately 30% of our staff and temporarily reduced the pay of the remaining employees by up to 50%, which in aggregate reduced our compensation expense by 50% (“Temporary Salary and Wage Reductions”);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reduced cash compensation of the Company's Board of Directors by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Suspended non-essential operating expenditures, including marketing, research, employee travel and consulting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a hiring freeze;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Strategically worked with our landlords, vendors, and other business partners to manage, defer, and/or abate certain costs during the disruptions caused by the COVID-19 Pandemic;</w:t>
      </w:r>
    </w:p>
    <w:p>
      <w:pPr>
        <w:ind w:left="660" w:right="2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Decreased our quarterly dividend to $0.07 per share beginning in the second quarter of 2020 from $0.19 per share in the fourth quarter of 2019. When compared to the fourth quarter of 2019 this results in quarterly cash savings of $9.3 million for NCM, Inc.;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157"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As of the date of this filing, almost all of the theaters in our network remain closed. Given the capacity restrictions we expect to be in place for most of the theaters within our network upon reopening, the Company expects its network attendance to increase gradually, and thus, expects to remove the temporary cash preservation measures outlined above as the Company's operations normalize and in consideration of the Company's liquidity needs. The Company's ability to resume advertising is dependent upon the reopening of the theaters, the release of major motion pictures to the theaters, and the attendance of theater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1" w:right="33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patrons. However, there can be no assurance that theater patrons will return to movie theaters or the overall attendance will return to levels comparable to those prior to the COVID-19 Pandemic.</w:t>
      </w:r>
    </w:p>
    <w:p>
      <w:pPr>
        <w:spacing w:after="0" w:line="116" w:lineRule="exact"/>
        <w:rPr>
          <w:sz w:val="20"/>
          <w:szCs w:val="20"/>
          <w:color w:val="auto"/>
        </w:rPr>
      </w:pPr>
    </w:p>
    <w:p>
      <w:pPr>
        <w:ind w:right="60" w:firstLine="540"/>
        <w:spacing w:after="0" w:line="272" w:lineRule="auto"/>
        <w:rPr>
          <w:sz w:val="20"/>
          <w:szCs w:val="20"/>
          <w:color w:val="auto"/>
        </w:rPr>
      </w:pPr>
      <w:r>
        <w:rPr>
          <w:rFonts w:ascii="Arial" w:cs="Arial" w:eastAsia="Arial" w:hAnsi="Arial"/>
          <w:sz w:val="17"/>
          <w:szCs w:val="17"/>
          <w:color w:val="auto"/>
        </w:rPr>
        <w:t>In March 2020, we drew down an additional $110.0 million on our revolving credit facility increasing our cash and marketable securities balance to $215.3 million as of March 26, 2020 ($132.2 million at NCM LLC). Further, as of March 26, 2020, we had approximately $112.3 million of trade accounts receivable outstanding from customers, of which we have collected approximately $89.7 million as of June 25, 2020, increasing our cash and marketable securities balance to $249.9 million as of June 25, 2020 ($168.1 million at NCM LLC) and decreasing our trade accounts receivable outstanding to $25.3 million. The $168.1 million of cash at NCM LLC will be used to fund operations during the period of expected reduced cash flows. Cash at NCM, Inc. cannot be used to fund operations at NCM LLC and is held for future payment of dividends to NCM, Inc. shareholders, income tax payments, income tax receivable payments to NCM LLC’s founding members and other obligations.</w:t>
      </w:r>
    </w:p>
    <w:p>
      <w:pPr>
        <w:spacing w:after="0" w:line="177"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On April 30, 2020, NCM LLC amended its Credit Agreement, dated as of June 20, 2018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NCM LLC may continue to reimburse NCM, Inc. for its services provided under the management services agreement during the period of the automatic waiver.</w:t>
      </w:r>
    </w:p>
    <w:p>
      <w:pPr>
        <w:spacing w:after="0" w:line="84"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On March 21, 2020, a Treasury Department Notice postponed the original due date for the Company's U.S. federal income tax return to July 15, 2020 from April 15, 2020. The Company made the TRA payments to the founding members on July 15, 2020 totaling $12.8 million and expect to pay $1.4 million in the fourth quarter of 2020.</w:t>
      </w:r>
    </w:p>
    <w:p>
      <w:pPr>
        <w:spacing w:after="0" w:line="76" w:lineRule="exact"/>
        <w:rPr>
          <w:sz w:val="20"/>
          <w:szCs w:val="20"/>
          <w:color w:val="auto"/>
        </w:rPr>
      </w:pPr>
    </w:p>
    <w:p>
      <w:pPr>
        <w:ind w:right="40" w:firstLine="540"/>
        <w:spacing w:after="0" w:line="263" w:lineRule="auto"/>
        <w:rPr>
          <w:sz w:val="20"/>
          <w:szCs w:val="20"/>
          <w:color w:val="auto"/>
        </w:rPr>
      </w:pPr>
      <w:r>
        <w:rPr>
          <w:rFonts w:ascii="Arial" w:cs="Arial" w:eastAsia="Arial" w:hAnsi="Arial"/>
          <w:sz w:val="18"/>
          <w:szCs w:val="18"/>
          <w:color w:val="auto"/>
        </w:rPr>
        <w:t>On March 27, 2020, the U.S. Government enacted various relief and stimulus measures in response to the unprecedented adverse economic impacts of the COVID-19 Pandemic commonly referred to as the CARES Act. We currently have recognized or expect to recognize the following benefits under the CARES Act:</w:t>
      </w:r>
    </w:p>
    <w:p>
      <w:pPr>
        <w:spacing w:after="0" w:line="76" w:lineRule="exact"/>
        <w:rPr>
          <w:sz w:val="20"/>
          <w:szCs w:val="20"/>
          <w:color w:val="auto"/>
        </w:rPr>
      </w:pPr>
    </w:p>
    <w:p>
      <w:pPr>
        <w:ind w:left="660" w:right="12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Deferral of the payment of the 6.2% FICA portion of Company's payroll taxes beginning on the enactment date through December 31, 2020 until the end of 2021 for one-half of the tax and the remaining half to the end of 2022. The Company deferred $0.4 million in qualifying payments in the second quarter of 2020; and</w:t>
      </w:r>
    </w:p>
    <w:p>
      <w:pPr>
        <w:spacing w:after="0" w:line="2" w:lineRule="exact"/>
        <w:rPr>
          <w:rFonts w:ascii="Arial" w:cs="Arial" w:eastAsia="Arial" w:hAnsi="Arial"/>
          <w:sz w:val="18"/>
          <w:szCs w:val="18"/>
          <w:color w:val="auto"/>
        </w:rPr>
      </w:pPr>
    </w:p>
    <w:p>
      <w:pPr>
        <w:ind w:left="660" w:right="28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refundable Employee Retention Payroll Tax Credit for the Company's portion of the 6.2% FICA payroll tax for certain qualifying employees from March 13, 2020 through December 31, 2020.</w:t>
      </w:r>
    </w:p>
    <w:p>
      <w:pPr>
        <w:spacing w:after="0" w:line="7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Company will continue to monitor the provisions of the CARES Act and associated regulations and any other government action and intends to seek available potential benefits that would positively impact the Company.</w:t>
      </w:r>
    </w:p>
    <w:p>
      <w:pPr>
        <w:spacing w:after="0" w:line="62"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We believe that the exhibition industry has historically fared well during recessions, and we remain optimistic, though cannot guarantee, that our founding members and network affiliates will rebound and attendance figures will benefit from pent-up social demand as state and local restrictions or other social distancing orders subside and people seek togetherness with a return to normalcy. However, the ultimate significance of the COVID-19 Pandemic, including the extent of the adverse impact on our financial and operational results, will be dictated by the currently unknowable duration and the effect on the overall economy and the advertising market and of responsive governmental regulations, including state and local restrictions or other social distancing orders and resulting business closures which are recurring in certain areas and could recur on multiple occasions after the initial reopening causing subsequent closure periods. Our business also could be significantly affected should the disruptions caused by the COVID-19 Pandemic lead to changes in consumer behavior (such as what the movie audience’s willingness to return to the movie theaters and the impacts of social distancing, facemask requirements and other measures on the movie going experience), which we believe will be temporary,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03" w:right="339" w:bottom="1440" w:gutter="0" w:footer="0" w:header="0"/>
        </w:sectPr>
      </w:pPr>
    </w:p>
    <w:bookmarkStart w:id="28" w:name="page29"/>
    <w:bookmarkEnd w:id="28"/>
    <w:p>
      <w:pPr>
        <w:ind w:right="240" w:firstLine="540"/>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Q2 2020</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Q2 2019</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YTD 2020</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YTD 2019</w:t>
            </w:r>
          </w:p>
        </w:tc>
        <w:tc>
          <w:tcPr>
            <w:tcW w:w="10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Q2 2020 to Q2</w:t>
            </w: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YTD 2020 to YTD</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8"/>
                <w:szCs w:val="18"/>
                <w:color w:val="auto"/>
                <w:w w:val="91"/>
              </w:rPr>
              <w:t>Network, administrative and unallocated costs</w:t>
            </w:r>
          </w:p>
        </w:tc>
        <w:tc>
          <w:tcPr>
            <w:tcW w:w="24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(loss) income attributable to noncontrolling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8"/>
              </w:rPr>
              <w:t>Net (loss) income attributable to NCM,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Net (loss) income per NCM, Inc. basic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 income per NCM, Inc. diluted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Adjusted OIBDA margin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620" w:right="320" w:hanging="315"/>
        <w:spacing w:after="0" w:line="275" w:lineRule="auto"/>
        <w:tabs>
          <w:tab w:leader="none" w:pos="620" w:val="left"/>
        </w:tabs>
        <w:numPr>
          <w:ilvl w:val="0"/>
          <w:numId w:val="14"/>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were part of another cinema advertising network for certain periods presented. Refer to Note 4 to the unaudited Condensed Consolidated Financial Statements included elsewhere in this document. The attendance for the second quarter of 2020 relates to a small number of affiliate theaters that reopened throughout May and June of 2020. Given the minimal amount of attendance, the Company did not advertise in these theaters during the second quarter of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20" w:firstLine="540"/>
        <w:spacing w:after="0" w:line="268" w:lineRule="auto"/>
        <w:rPr>
          <w:sz w:val="20"/>
          <w:szCs w:val="20"/>
          <w:color w:val="auto"/>
        </w:rPr>
      </w:pPr>
      <w:r>
        <w:rPr>
          <w:rFonts w:ascii="Arial" w:cs="Arial" w:eastAsia="Arial" w:hAnsi="Arial"/>
          <w:sz w:val="17"/>
          <w:szCs w:val="17"/>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impairments of long-lived assets, CEO turnover,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9" w:name="page30"/>
    <w:bookmarkEnd w:id="29"/>
    <w:p>
      <w:pPr>
        <w:ind w:right="160"/>
        <w:spacing w:after="0" w:line="273" w:lineRule="auto"/>
        <w:rPr>
          <w:sz w:val="20"/>
          <w:szCs w:val="20"/>
          <w:color w:val="auto"/>
        </w:rPr>
      </w:pPr>
      <w:r>
        <w:rPr>
          <w:rFonts w:ascii="Arial" w:cs="Arial" w:eastAsia="Arial" w:hAnsi="Arial"/>
          <w:sz w:val="17"/>
          <w:szCs w:val="17"/>
          <w:color w:val="auto"/>
        </w:rPr>
        <w:t>addition, Adjusted OIBDA has the limitation of not reflecting the effect of the Company’s share-based payment costs, impairments of long-lived assets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Q2 2020</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2019</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2020</w:t>
            </w:r>
          </w:p>
        </w:tc>
        <w:tc>
          <w:tcPr>
            <w:tcW w:w="220" w:type="dxa"/>
            <w:vAlign w:val="bottom"/>
          </w:tcPr>
          <w:p>
            <w:pPr>
              <w:spacing w:after="0"/>
              <w:rPr>
                <w:sz w:val="16"/>
                <w:szCs w:val="16"/>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YTD 2019</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 recorded for network theater screen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26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OIBDA margin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____________________________________________</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20" w:right="540" w:hanging="315"/>
        <w:spacing w:after="0" w:line="258" w:lineRule="auto"/>
        <w:tabs>
          <w:tab w:leader="none" w:pos="62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 w:lineRule="exact"/>
        <w:rPr>
          <w:rFonts w:ascii="Arial" w:cs="Arial" w:eastAsia="Arial" w:hAnsi="Arial"/>
          <w:sz w:val="18"/>
          <w:szCs w:val="18"/>
          <w:i w:val="1"/>
          <w:iCs w:val="1"/>
          <w:color w:val="auto"/>
        </w:rPr>
      </w:pPr>
    </w:p>
    <w:p>
      <w:pPr>
        <w:ind w:left="620" w:hanging="315"/>
        <w:spacing w:after="0"/>
        <w:tabs>
          <w:tab w:leader="none" w:pos="62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The impairments of long-lived assets primarily relate to the write off of certain internally developed software.</w:t>
      </w:r>
    </w:p>
    <w:p>
      <w:pPr>
        <w:spacing w:after="0" w:line="9" w:lineRule="exact"/>
        <w:rPr>
          <w:rFonts w:ascii="Arial" w:cs="Arial" w:eastAsia="Arial" w:hAnsi="Arial"/>
          <w:sz w:val="18"/>
          <w:szCs w:val="18"/>
          <w:i w:val="1"/>
          <w:iCs w:val="1"/>
          <w:color w:val="auto"/>
        </w:rPr>
      </w:pPr>
    </w:p>
    <w:p>
      <w:pPr>
        <w:ind w:left="620" w:hanging="315"/>
        <w:spacing w:after="0"/>
        <w:tabs>
          <w:tab w:leader="none" w:pos="62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Chief Executive Officer transition costs represents costs associated with the search for a new Company CEO during the first six months of 2019.</w:t>
      </w:r>
    </w:p>
    <w:p>
      <w:pPr>
        <w:spacing w:after="0" w:line="234"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25,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 of screens</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26, 2019</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Lost affiliates, net of new affiliates </w:t>
            </w:r>
            <w:r>
              <w:rPr>
                <w:rFonts w:ascii="Arial" w:cs="Arial" w:eastAsia="Arial" w:hAnsi="Arial"/>
                <w:sz w:val="18"/>
                <w:szCs w:val="18"/>
                <w:i w:val="1"/>
                <w:iCs w:val="1"/>
                <w:color w:val="auto"/>
              </w:rPr>
              <w:t>(1)</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Openings, net of closures </w:t>
            </w:r>
            <w:r>
              <w:rPr>
                <w:rFonts w:ascii="Arial" w:cs="Arial" w:eastAsia="Arial" w:hAnsi="Arial"/>
                <w:sz w:val="18"/>
                <w:szCs w:val="18"/>
                <w:i w:val="1"/>
                <w:iCs w:val="1"/>
                <w:color w:val="auto"/>
              </w:rPr>
              <w:t>(2)</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Balance as of June 25, 2020</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16,953</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28"/>
        <w:spacing w:after="0" w:line="255"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Represents the loss of two of our affiliates that did not renew their contracts as of the end of the first quarter of 2020 resulting in a reduction of 185 affiliate screens to our network, offset by the addition of two new affiliates which added 10 new screens to our network during the six months ended June 25, 2020.</w:t>
      </w:r>
    </w:p>
    <w:p>
      <w:pPr>
        <w:spacing w:after="0" w:line="27"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Excludes the temporary theater closures in response to the COVID-19 Pandemic.</w:t>
      </w:r>
    </w:p>
    <w:p>
      <w:pPr>
        <w:spacing w:after="0" w:line="171" w:lineRule="exact"/>
        <w:rPr>
          <w:sz w:val="20"/>
          <w:szCs w:val="20"/>
          <w:color w:val="auto"/>
        </w:rPr>
      </w:pPr>
    </w:p>
    <w:p>
      <w:pPr>
        <w:ind w:right="80" w:firstLine="540"/>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240" w:firstLine="540"/>
        <w:spacing w:after="0" w:line="263" w:lineRule="auto"/>
        <w:rPr>
          <w:sz w:val="20"/>
          <w:szCs w:val="20"/>
          <w:color w:val="auto"/>
        </w:rPr>
      </w:pPr>
      <w:r>
        <w:rPr>
          <w:rFonts w:ascii="Arial" w:cs="Arial" w:eastAsia="Arial" w:hAnsi="Arial"/>
          <w:sz w:val="18"/>
          <w:szCs w:val="18"/>
          <w:color w:val="auto"/>
        </w:rPr>
        <w:t>The results of operations data for the three months ended June 25, 2020 (second quarter of 2020) and June 27, 2019 (second quarter of 2019) and the six months ended June 25, 2020 and June 27, 2019 was derived from the unaudited Condensed Consolidated Financial Statements and accounting records of NCM, Inc. and should be read in conjunction with the notes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Second Quarter of 2020 and Second Quarter of 2019</w:t>
      </w:r>
    </w:p>
    <w:p>
      <w:pPr>
        <w:spacing w:after="0" w:line="171"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96.4%, from $110.2 million for the second quarter of 2019 to $4.0 million for the second quarter of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2020</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Q2 2019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Q2 2020 to Q2 2019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Q2 2020 to Q2 2019</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and regional advertising revenue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9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5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4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(96.4)%</w:t>
            </w:r>
          </w:p>
        </w:tc>
      </w:tr>
      <w:tr>
        <w:trPr>
          <w:trHeight w:val="20"/>
        </w:trPr>
        <w:tc>
          <w:tcPr>
            <w:tcW w:w="5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right="220" w:firstLine="648"/>
        <w:spacing w:after="0" w:line="277" w:lineRule="auto"/>
        <w:rPr>
          <w:sz w:val="20"/>
          <w:szCs w:val="20"/>
          <w:color w:val="auto"/>
        </w:rPr>
      </w:pPr>
      <w:r>
        <w:rPr>
          <w:rFonts w:ascii="Arial" w:cs="Arial" w:eastAsia="Arial" w:hAnsi="Arial"/>
          <w:sz w:val="18"/>
          <w:szCs w:val="18"/>
          <w:color w:val="auto"/>
        </w:rPr>
        <w:t>The Company did not include revenue per attendee data for the second quarter of 2020 given the minimal amount of attendance and revenue as the metrics were not meaningful.</w:t>
      </w:r>
    </w:p>
    <w:p>
      <w:pPr>
        <w:spacing w:after="0" w:line="116" w:lineRule="exact"/>
        <w:rPr>
          <w:sz w:val="20"/>
          <w:szCs w:val="20"/>
          <w:color w:val="auto"/>
        </w:rPr>
      </w:pPr>
    </w:p>
    <w:p>
      <w:pPr>
        <w:ind w:left="580" w:right="80"/>
        <w:spacing w:after="0" w:line="301" w:lineRule="auto"/>
        <w:rPr>
          <w:sz w:val="20"/>
          <w:szCs w:val="20"/>
          <w:color w:val="auto"/>
        </w:rPr>
      </w:pPr>
      <w:r>
        <w:rPr>
          <w:rFonts w:ascii="Arial" w:cs="Arial" w:eastAsia="Arial" w:hAnsi="Arial"/>
          <w:sz w:val="16"/>
          <w:szCs w:val="16"/>
          <w:u w:val="single" w:color="auto"/>
          <w:color w:val="auto"/>
        </w:rPr>
        <w:t>National and regional advertising revenue.</w:t>
      </w:r>
      <w:r>
        <w:rPr>
          <w:rFonts w:ascii="Arial" w:cs="Arial" w:eastAsia="Arial" w:hAnsi="Arial"/>
          <w:sz w:val="16"/>
          <w:szCs w:val="16"/>
          <w:color w:val="auto"/>
        </w:rPr>
        <w:t xml:space="preserve"> The $82.6 million, or 98.0%, decrease in national and regional advertising revenue (excluding beverage revenue from founding members) was due to the temporary closure of almost all the theaters within our network in response to the COVID-19 Pandemic and thus the Company's inability to perform in theater advertising during the second quarter of 2020. The national and regional advertising revenue recognized in the second quarter of 2020 was primarily related to revenue associated with our digital service offerings.</w:t>
      </w:r>
    </w:p>
    <w:p>
      <w:pPr>
        <w:spacing w:after="0" w:line="103" w:lineRule="exact"/>
        <w:rPr>
          <w:sz w:val="20"/>
          <w:szCs w:val="20"/>
          <w:color w:val="auto"/>
        </w:rPr>
      </w:pPr>
    </w:p>
    <w:p>
      <w:pPr>
        <w:jc w:val="both"/>
        <w:ind w:left="580" w:right="200"/>
        <w:spacing w:after="0" w:line="259"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$15.4 million, or 87.0%, decrease in local advertising revenue was due to the temporary closure of almost all the theaters within our network in response to the COVID-19 Pandemic and thus the Company's inability to perform in theater advertising during the second quarter of 2020. The local advertising revenue recognized in the second quarter of 2020 was primarily related to revenue associated with our digital service offerings.</w:t>
      </w:r>
    </w:p>
    <w:p>
      <w:pPr>
        <w:spacing w:after="0" w:line="133" w:lineRule="exact"/>
        <w:rPr>
          <w:sz w:val="20"/>
          <w:szCs w:val="20"/>
          <w:color w:val="auto"/>
        </w:rPr>
      </w:pPr>
    </w:p>
    <w:p>
      <w:pPr>
        <w:jc w:val="both"/>
        <w:ind w:left="580" w:right="120"/>
        <w:spacing w:after="0" w:line="263"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$8.2 million, or 100.0%, decrease in national advertising revenue from the founding members’ beverage concessionaire agreements was due to the temporary closure of almost all the theaters within our network in response to the COVID-19 Pandemic and thus there not being any attendees upon which beverage revenue is based.</w:t>
      </w:r>
    </w:p>
    <w:p>
      <w:pPr>
        <w:spacing w:after="0" w:line="130" w:lineRule="exact"/>
        <w:rPr>
          <w:sz w:val="20"/>
          <w:szCs w:val="20"/>
          <w:color w:val="auto"/>
        </w:rPr>
      </w:pPr>
    </w:p>
    <w:p>
      <w:pPr>
        <w:ind w:right="540" w:firstLine="567"/>
        <w:spacing w:after="0" w:line="34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decreased $44.7 million, or 61.7%, from $72.5 million for the second quarter of 2019 to $27.8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second quarter of 2020. The following table shows the changes in operating expense for the second quarter of 2020 (in millions):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Advertising operating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Network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Theater access fees and revenue share—founding members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and marketing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of long-lived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w:t>
      </w:r>
    </w:p>
    <w:p>
      <w:pPr>
        <w:spacing w:after="0" w:line="63" w:lineRule="exact"/>
        <w:rPr>
          <w:sz w:val="20"/>
          <w:szCs w:val="20"/>
          <w:color w:val="auto"/>
        </w:rPr>
      </w:pPr>
    </w:p>
    <w:p>
      <w:pPr>
        <w:ind w:left="180" w:right="1780" w:hanging="134"/>
        <w:spacing w:after="0" w:line="277" w:lineRule="auto"/>
        <w:rPr>
          <w:sz w:val="20"/>
          <w:szCs w:val="20"/>
          <w:color w:val="auto"/>
        </w:rPr>
      </w:pPr>
      <w:r>
        <w:rPr>
          <w:rFonts w:ascii="Arial" w:cs="Arial" w:eastAsia="Arial" w:hAnsi="Arial"/>
          <w:sz w:val="18"/>
          <w:szCs w:val="18"/>
          <w:color w:val="auto"/>
        </w:rPr>
        <w:t>Amortization of intangibles recorded for network theater screen leases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Q2 2020</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Q2 2019</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Q2 2020 to Q2</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Q2 2020 to Q2 2019</w:t>
            </w: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-1774190</wp:posOffset>
            </wp:positionV>
            <wp:extent cx="668655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0" cy="1803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-1422400</wp:posOffset>
            </wp:positionV>
            <wp:extent cx="66865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-1079500</wp:posOffset>
            </wp:positionV>
            <wp:extent cx="66865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-736600</wp:posOffset>
            </wp:positionV>
            <wp:extent cx="66865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-256540</wp:posOffset>
            </wp:positionV>
            <wp:extent cx="668655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780"/>
          </w:cols>
          <w:pgMar w:left="320" w:top="341" w:right="339" w:bottom="1440" w:gutter="0" w:footer="0" w:header="0"/>
          <w:type w:val="continuous"/>
        </w:sectPr>
      </w:pPr>
    </w:p>
    <w:p>
      <w:pPr>
        <w:spacing w:after="0" w:line="56"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decreased $8.8 million, or 88.9%, from $9.9 million for the second quarter of 2019 to $1.1 million for the second quarter of 2020. The decrease was due to an $8.3 million decrease in advertising affiliate payments due to the temporary closure of almost all the affiliate theaters within our network in response to the COVID-19 Pandemic and a $0.4 million decrease in personnel related expenses related to the Temporary Salary and Wage Reductions implemented in response to the COVID-19 Pandemic.</w:t>
      </w:r>
    </w:p>
    <w:p>
      <w:pPr>
        <w:spacing w:after="0" w:line="117" w:lineRule="exact"/>
        <w:rPr>
          <w:sz w:val="20"/>
          <w:szCs w:val="20"/>
          <w:color w:val="auto"/>
        </w:rPr>
      </w:pPr>
    </w:p>
    <w:p>
      <w:pPr>
        <w:ind w:left="580" w:right="32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$1.8 million, or 52.9%, from $3.4 million for the second quarter of 2019 to $1.6 million for the second quarter of 2020. The decrease was primarily related to a $1.3 million decrease in personnel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type w:val="continuous"/>
        </w:sectPr>
      </w:pPr>
    </w:p>
    <w:bookmarkStart w:id="31" w:name="page32"/>
    <w:bookmarkEnd w:id="31"/>
    <w:p>
      <w:pPr>
        <w:ind w:left="580" w:right="40"/>
        <w:spacing w:after="0" w:line="263" w:lineRule="auto"/>
        <w:rPr>
          <w:sz w:val="20"/>
          <w:szCs w:val="20"/>
          <w:color w:val="auto"/>
        </w:rPr>
      </w:pPr>
      <w:r>
        <w:rPr>
          <w:rFonts w:ascii="Arial" w:cs="Arial" w:eastAsia="Arial" w:hAnsi="Arial"/>
          <w:sz w:val="18"/>
          <w:szCs w:val="18"/>
          <w:color w:val="auto"/>
        </w:rPr>
        <w:t>related expenses related to the Temporary Salary and Wage Reductions implemented in response to the COVID-19 Pandemic and a $0.3 million decrease in maintenance expenses related to our Digital Content Network due to the temporary closure of almost all the theaters within our network in response to the COVID-19 Pandemic.</w:t>
      </w:r>
    </w:p>
    <w:p>
      <w:pPr>
        <w:spacing w:after="0" w:line="130" w:lineRule="exact"/>
        <w:rPr>
          <w:sz w:val="20"/>
          <w:szCs w:val="20"/>
          <w:color w:val="auto"/>
        </w:rPr>
      </w:pPr>
    </w:p>
    <w:p>
      <w:pPr>
        <w:ind w:left="580" w:right="60"/>
        <w:spacing w:after="0" w:line="30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$21.6 million, or 100.0%, from $21.6 million in the second quarter of 2019 to $0.0 million in the second quarter of 2020. The decrease was due to the temporary closure of almost all the theaters within our network in response to the COVID-19 Pandemic. The Company did not owe the founding members any theater access fees as the theaters were not displaying the Company's pre-show and the Company did not have access to the theaters.</w:t>
      </w:r>
    </w:p>
    <w:p>
      <w:pPr>
        <w:spacing w:after="0" w:line="103" w:lineRule="exact"/>
        <w:rPr>
          <w:sz w:val="20"/>
          <w:szCs w:val="20"/>
          <w:color w:val="auto"/>
        </w:rPr>
      </w:pPr>
    </w:p>
    <w:p>
      <w:pPr>
        <w:ind w:left="580" w:right="100"/>
        <w:spacing w:after="0" w:line="289"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$9.5 million, or 58.6%, from $16.2 million for the second quarter of 2019 to $6.7 million for the second quarter of 2020. This decrease was primarily related to a $6.1 million decrease in personnel related expenses related to the Temporary Salary and Wage Reductions implemented in response to the COVID-19 Pandemic, as well as, a decrease in commission and bonus expense due to the revenue declines in the second quarter of 2020, as compared to the second quarter of 2019. Selling and marketing costs also decreased $1.7 million related to non-essential operating expenditures including marketing, research and employee travel that were suspended as part of the measures taken to reduce expenses and preserve cash during the COVID-19 Pandemic, $1.1 million due to a decrease in barter expense and $0.7 million due to a decrease bad debt expense related to the revenue declines in the second quarter of 2020, as compared to the second quarter of 2019. These decreases were partially offset by a $0.6 million increase in expense associated with our Cinema Accelerator service offering for the second quarter of 2020, compared to the second quarter of 2019.</w:t>
      </w:r>
    </w:p>
    <w:p>
      <w:pPr>
        <w:spacing w:after="0" w:line="112"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decreased $3.7 million, or 33.3%, from $11.1 million in the second quarter of 2019 to $7.4 million in the second quarter of 2020. This decrease was primarily due to a $3.5 million decrease in personnel related expenses due to the Temporary Salary and Wage Reductions implemented in response to the COVID-19 Pandemic and a decrease in performance-based compensation expense accrued following lower projected performance against internal bonus and performance based restricted stock targets as of the second quarter of 2020, compared to the second quarter of 2019. Administrative and other costs also decreased $0.5 million due to a decrease in consulting services and $0.2 million lower CEO transition costs. These decreases were partially offset by a $0.7 million increase in legal and professional expenses primarily related to legal services obtained related to the various implications of the COVID-19 Pandemic.</w:t>
      </w:r>
    </w:p>
    <w:p>
      <w:pPr>
        <w:spacing w:after="0" w:line="112"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increased $1.7 million, or 100.0%, from $0.0 million in the second quarter of 2019 to $1.7 million in the second quarter of 2020. This increase in impairment expense was primarily related to the write-off of certain long-lived assets during the second quarter of 2020.</w:t>
      </w:r>
    </w:p>
    <w:p>
      <w:pPr>
        <w:spacing w:after="0" w:line="130" w:lineRule="exact"/>
        <w:rPr>
          <w:sz w:val="20"/>
          <w:szCs w:val="20"/>
          <w:color w:val="auto"/>
        </w:rPr>
      </w:pPr>
    </w:p>
    <w:p>
      <w:pPr>
        <w:ind w:left="580" w:right="18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$0.1 million, or 3.0%, from $3.3 million for the second quarter of 2019 to $3.2 million for the second quarter of 2020.</w:t>
      </w:r>
    </w:p>
    <w:p>
      <w:pPr>
        <w:spacing w:after="0" w:line="116"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decreased $0.9 million, or 12.9%, from $7.0 million for the second quarter of 2019, to $6.1 million for the second quarter of 2020, primarily due to the four year extension of the contractual life of the intangible assets for Cinemark and Regal following the 2019 ESA Amendments during the third quarter of 2019.</w:t>
      </w:r>
    </w:p>
    <w:p>
      <w:pPr>
        <w:spacing w:after="0" w:line="133" w:lineRule="exact"/>
        <w:rPr>
          <w:sz w:val="20"/>
          <w:szCs w:val="20"/>
          <w:color w:val="auto"/>
        </w:rPr>
      </w:pPr>
    </w:p>
    <w:p>
      <w:pPr>
        <w:ind w:right="100" w:firstLine="540"/>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$0.6 million, or 4.2%, from $14.4 million for the second quarter of 2019 to $13.8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second quarter of 2020. The following table shows the changes in non-operating expense for the second quarter of 2020 and the second quarter of 2019 (in millions):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2020</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Q2 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Q2 2020 to Q2 2019</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Q2 2020 to Q2 2019</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4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modification and retirement of debt, net</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Loss on the re-measurement of the payable</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to founding members under the tax receivable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08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(87.5)%</w:t>
            </w:r>
          </w:p>
        </w:tc>
      </w:tr>
      <w:tr>
        <w:trPr>
          <w:trHeight w:val="27"/>
        </w:trPr>
        <w:tc>
          <w:tcPr>
            <w:tcW w:w="4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(income)</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57"/>
        </w:trPr>
        <w:tc>
          <w:tcPr>
            <w:tcW w:w="454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13.8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decrease in non-operating expense was primarily due to a $0.7 million decrease in the loss on the re-measurement of the payable to founding members under the TRA due to a smaller increase in the deferred state tax rate in the second quarter of 2020, as compared to the second quarter of 2019, and a $0.6 million decrease in interest on borrowings due to a 0.83% decrease in the weighted average interest rate, partially offset by an increase in the weighted average balance of debt outstanding for the second quarter of 2020, as compared to the second quarter of 2019. These decreases were partially offset by a $0.3 million increase in the loss on modification and retirement of debt, net due to the Credit Agreement Amendment that occurred in the second quarter of 2020 and a $0.2 million decrease in interest income on the Company's marketable securities due to a decrease in the rate of return and the outstanding balance of securities in the second quarter of 2020 as compared to the second quarter of 2019.</w:t>
      </w:r>
    </w:p>
    <w:p>
      <w:pPr>
        <w:spacing w:after="0" w:line="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Income Tax Benefit increased from income tax expense of $2.3 million for the second quarter of 2019 to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for the second quarter of 2020. The increase in income tax benefit was primarily due to the decrease in pretax book income attributable to NCM Inc. from income of $11.1 million for the second quarter of 2019 to loss of $18.0 million for the second quarter of 2020. This increase in income tax benefit was partially offset by an increase in income tax expense due to a much smaller increase in the deferred state tax rate during the second quarter of 2020, as compared to the second quarter of 2019.</w:t>
      </w:r>
    </w:p>
    <w:p>
      <w:pPr>
        <w:spacing w:after="0" w:line="13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Net loss increased $22.7 million from net income of $8.9 million for the second quarter of 2019 to net loss of $13.8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2020. The increase in net loss was due to a $61.5 million increase in operating loss, partially offset by a $31.7 million increase in net loss attributable to noncontrolling interests, a $6.5 million increase in income tax benefit and a $0.6 million decrease in non-operating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25, 2020 and June 27, 2019</w:t>
      </w:r>
    </w:p>
    <w:p>
      <w:pPr>
        <w:spacing w:after="0" w:line="17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63.3%%, from $187.1 million for the six months ended June 27, 2019 to $68.7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25, 2020. The following is a summary of revenue by category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6"/>
              </w:rPr>
              <w:t>June 25, 2020</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June 27, 2019</w:t>
            </w:r>
          </w:p>
        </w:tc>
        <w:tc>
          <w:tcPr>
            <w:tcW w:w="120" w:type="dxa"/>
            <w:vAlign w:val="bottom"/>
            <w:vMerge w:val="restart"/>
          </w:tcPr>
          <w:p>
            <w:pPr>
              <w:spacing w:after="0"/>
              <w:rPr>
                <w:sz w:val="13"/>
                <w:szCs w:val="13"/>
                <w:color w:val="auto"/>
              </w:rPr>
            </w:pPr>
          </w:p>
        </w:tc>
        <w:tc>
          <w:tcPr>
            <w:tcW w:w="1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YTD 2020 to YTD</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YTD 2020 to YTD</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Founding member advertising revenue from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57"/>
        </w:trPr>
        <w:tc>
          <w:tcPr>
            <w:tcW w:w="538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shows data on theater attendance and revenue per attendee for the six months ended June 25, 2020 and June 27,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62" w:right="339" w:bottom="144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 Change</w:t>
            </w:r>
          </w:p>
        </w:tc>
      </w:tr>
      <w:tr>
        <w:trPr>
          <w:trHeight w:val="263"/>
        </w:trPr>
        <w:tc>
          <w:tcPr>
            <w:tcW w:w="6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25, 2020</w:t>
            </w:r>
          </w:p>
        </w:tc>
        <w:tc>
          <w:tcPr>
            <w:tcW w:w="24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2019</w:t>
            </w:r>
          </w:p>
        </w:tc>
        <w:tc>
          <w:tcPr>
            <w:tcW w:w="1700" w:type="dxa"/>
            <w:vAlign w:val="bottom"/>
          </w:tcPr>
          <w:p>
            <w:pPr>
              <w:jc w:val="right"/>
              <w:ind w:right="35"/>
              <w:spacing w:after="0"/>
              <w:rPr>
                <w:sz w:val="20"/>
                <w:szCs w:val="20"/>
                <w:color w:val="auto"/>
              </w:rPr>
            </w:pPr>
            <w:r>
              <w:rPr>
                <w:rFonts w:ascii="Arial" w:cs="Arial" w:eastAsia="Arial" w:hAnsi="Arial"/>
                <w:sz w:val="14"/>
                <w:szCs w:val="14"/>
                <w:b w:val="1"/>
                <w:bCs w:val="1"/>
                <w:color w:val="auto"/>
              </w:rPr>
              <w:t>YTD 2020 to YTD 2019</w:t>
            </w:r>
          </w:p>
        </w:tc>
      </w:tr>
      <w:tr>
        <w:trPr>
          <w:trHeight w:val="250"/>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 per attendee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0.427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800"/>
              <w:spacing w:after="0"/>
              <w:rPr>
                <w:sz w:val="20"/>
                <w:szCs w:val="20"/>
                <w:color w:val="auto"/>
              </w:rPr>
            </w:pPr>
            <w:r>
              <w:rPr>
                <w:rFonts w:ascii="Arial" w:cs="Arial" w:eastAsia="Arial" w:hAnsi="Arial"/>
                <w:sz w:val="18"/>
                <w:szCs w:val="18"/>
                <w:color w:val="auto"/>
              </w:rPr>
              <w:t>0.097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0.091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advertising revenue (excluding founding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7"/>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0.524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0.516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800"/>
              <w:spacing w:after="0"/>
              <w:rPr>
                <w:sz w:val="20"/>
                <w:szCs w:val="20"/>
                <w:color w:val="auto"/>
              </w:rPr>
            </w:pPr>
            <w:r>
              <w:rPr>
                <w:rFonts w:ascii="Arial" w:cs="Arial" w:eastAsia="Arial" w:hAnsi="Arial"/>
                <w:sz w:val="18"/>
                <w:szCs w:val="18"/>
                <w:color w:val="auto"/>
              </w:rPr>
              <w:t>0.570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0.560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136"/>
        </w:trPr>
        <w:tc>
          <w:tcPr>
            <w:tcW w:w="61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________________________________________________________</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r>
    </w:tbl>
    <w:p>
      <w:pPr>
        <w:spacing w:after="0" w:line="133" w:lineRule="exact"/>
        <w:rPr>
          <w:sz w:val="20"/>
          <w:szCs w:val="20"/>
          <w:color w:val="auto"/>
        </w:rPr>
      </w:pPr>
    </w:p>
    <w:p>
      <w:pPr>
        <w:ind w:left="460" w:right="60" w:hanging="331"/>
        <w:spacing w:after="0" w:line="277"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w:t>
      </w:r>
    </w:p>
    <w:p>
      <w:pPr>
        <w:spacing w:after="0" w:line="116"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$90.2 million, or 63.7%, decrease in national and regional advertising revenue (excluding beverage revenue from founding members) was primarily due to a 60.8% decrease in impressions sold due to the temporary closure of almost all the theaters within our network in response to the COVID-19 Pandemic and thus the Company's inability to perform in theater advertising beginning in mid-March 2020 through the end of the second quarter of 2020. National advertising CPMs for the impressions delivered prior to the temporary theater closures also decreased 8.7% driven by a decrease in upfront and scatter market CPMs due to the churn of certain higher CPM deals that shifted to later in 2020 or did not return from 2019, that were replaced by lower CPM deals, as well as, a change in the mix of clients with a higher proportion of upfront clients and fewer higher CPM scatter market and content partner clients in the six months ended June 25, 2020, as compared to the six months ended June 27, 2019. The scatter market represents inventory not included within an upfront or content partner commitment sold closer to the advertisement air date for typically higher CPMs.</w:t>
      </w:r>
    </w:p>
    <w:p>
      <w:pPr>
        <w:spacing w:after="0" w:line="127" w:lineRule="exact"/>
        <w:rPr>
          <w:sz w:val="20"/>
          <w:szCs w:val="20"/>
          <w:color w:val="auto"/>
        </w:rPr>
      </w:pPr>
    </w:p>
    <w:p>
      <w:pPr>
        <w:ind w:left="580" w:right="40"/>
        <w:spacing w:after="0" w:line="257"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$18.8 million, or 61.6%, decrease in local advertising revenue was primarily due to the temporary closure of almost all the theaters within our network in response to the COVID-19 Pandemic and thus the Company's inability to perform in theater advertising beginning in mid-March 2020 through the end of the second quarter of 2020. The decrease is also due to a decrease in the volume of contracts and the average contract value for the portion of the six months ended June 25, 2020 that the theaters were open, compared to the same time period during the six months ended June 27, 2019.</w:t>
      </w:r>
    </w:p>
    <w:p>
      <w:pPr>
        <w:spacing w:after="0" w:line="134"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$9.4 million, or 63.1%, decrease in national advertising revenue from the founding members’ beverage concessionaire agreements was primarily due to a 64.0% decrease in founding member attendance for the six months ended June 25, 2020, as compared to six months ended June 27, 2019, due to the temporary closure of almost all the theaters within our network in response to the COVID-19 Pandemic.</w:t>
      </w:r>
    </w:p>
    <w:p>
      <w:pPr>
        <w:spacing w:after="0" w:line="13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$50.9 million, or 36.8%, from $138.5 million for the six months ended June 27,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$87.6 million for the six months ended June 25, 2020. The following table shows the changes in operating expense for the six months ended June 25, 2020 and June 27, 2019 (in millions):</w:t>
      </w:r>
    </w:p>
    <w:p>
      <w:pPr>
        <w:sectPr>
          <w:pgSz w:w="11900" w:h="16838" w:orient="portrait"/>
          <w:cols w:equalWidth="0" w:num="1">
            <w:col w:w="11220"/>
          </w:cols>
          <w:pgMar w:left="320" w:top="5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Advertising operating costs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Network costs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Theater access fees and revenue share—founding members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and marketing costs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Administrative and other costs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Impairment of long-lived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of intangibles recorded for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network theater screen leases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June 25, 2020</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June 27, 2019</w:t>
            </w:r>
          </w:p>
        </w:tc>
        <w:tc>
          <w:tcPr>
            <w:tcW w:w="100" w:type="dxa"/>
            <w:vAlign w:val="bottom"/>
            <w:vMerge w:val="restart"/>
          </w:tcPr>
          <w:p>
            <w:pPr>
              <w:spacing w:after="0"/>
              <w:rPr>
                <w:sz w:val="13"/>
                <w:szCs w:val="13"/>
                <w:color w:val="auto"/>
              </w:rPr>
            </w:pP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YTD 2020 to YTD</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YTD 2020 to YTD</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-1773555</wp:posOffset>
            </wp:positionV>
            <wp:extent cx="709803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970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-1422400</wp:posOffset>
            </wp:positionV>
            <wp:extent cx="70980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-1079500</wp:posOffset>
            </wp:positionV>
            <wp:extent cx="70980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-736600</wp:posOffset>
            </wp:positionV>
            <wp:extent cx="70980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-256540</wp:posOffset>
            </wp:positionV>
            <wp:extent cx="70980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60"/>
          </w:cols>
          <w:pgMar w:left="320" w:top="562" w:right="359" w:bottom="1440" w:gutter="0" w:footer="0" w:header="0"/>
          <w:type w:val="continuous"/>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562" w:right="359" w:bottom="1440" w:gutter="0" w:footer="0" w:header="0"/>
          <w:type w:val="continuous"/>
        </w:sectPr>
      </w:pPr>
    </w:p>
    <w:bookmarkStart w:id="34" w:name="page35"/>
    <w:bookmarkEnd w:id="34"/>
    <w:p>
      <w:pPr>
        <w:ind w:right="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$9.9 million, or 57.6%, from $17.2 million for the six months ended June 27, 2019 to $7.3 million for the six months ended June 25, 2020. The decrease was due to a $9.6 million decrease in advertising affiliate payments due to the temporary closure of almost all the affiliate theaters within our network in response to the COVID-19 Pandemic from mid-March through the end of the second quarter of 2020 and a $0.3 million decrease in personnel related expenses related to the Temporary Salary and Wage Reductions implemented in response to the COVID-19 Pandemic.</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$2.4 million, or 34.8%, from $6.9 million for the six months ended June 27, 2019 to $4.5 million for the six months ended June 25, 2020. The decrease was primarily related to a $1.8 million decrease in personnel related expenses related to the Temporary Salary and Wage Reductions implemented in response to the COVID-19 Pandemic and a decrease in performance-based compensation expense accrued following an update to the Company's projected performance against internal bonus and performance based restricted stock targets during the six months ended June 25, 2020 primarily caused by the adverse impact of the COVID-19 Pandemic and a $0.4 million decrease in maintenance expense primarily related to our Digital Content Network due to the temporary closure of almost all the theaters within our network in response to the COVID-19 Pandemic.</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$23.0 million, or 56.5%, from $40.7 million for the six months ended June 27, 2019 to $17.7 million for the six months ended June 25, 2020. The decrease was primarily due to a 64.0% decrease in founding member attendance for the six months ended June 25, 2020, as compared to six months ended June 27, 2019, due to the temporary closure of almost all the theaters within our network in response to the COVID-19 Pandemic. The Company did not owe the founding members any theater access fees for the period the theaters were not displaying the Company's pre-show and the Company did not have access to the theaters. These decreases were partially offset by $1.6 million of payments in the six months ended June 25, 2020 to Cinemark and Regal as compensation for post-showtime advertising in accordance with the 2019 ESA Amendments and $0.5 million increase in the expense associated with the founding member digital screens that are connected to the DCN (nearly 100% of our screens as of June 25, 2020), including higher quality digital cinema projectors and related equipment, due to the annual 5% rate increase specified in the ESAs.</w:t>
      </w:r>
    </w:p>
    <w:p>
      <w:pPr>
        <w:spacing w:after="0" w:line="112"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$10.8 million, or 34.4%, from $31.4 million for the six months ended June 27, 2019 to $20.6 million for the six months ended June 25, 2020. This decrease was primarily related to a $7.5 million decrease in personnel related expenses primarily due to the Temporary Salary and Wage Reductions implemented in response to the COVID-19 Pandemic, as well as, a decrease in commission and bonus expense due to the revenue declines in the six months ended June 25, 2020, as compared to the six months ended June 27, 2019. Selling and marketing costs also decreased $2.0 million related to non-essential operating expenditures, including marketing, research, consulting and employee travel that were suspended as part of the measures taken to reduce expenses and preserve cash during the COVID-19 Pandemic and a $1.4 million due to a decrease in barter expense for the six months ended June 25, 2020, compared to the six months ended</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June 27, 2019. These decreases were partially offset by a $0.8 million increase in expense associated with our Cinema Accelerator service offering for the six months ended June 25, 2020, compared to the six months ended June 27,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$4.6 million, or 21.1%, from $21.8 million for the six months</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ended June 27, 2019 to $17.2 million for the six months ended June 25, 2020. Administrative and other costs decreased primarily due to a $3.5 million decrease in personnel related expenses due to the Temporary Salary and Wage Reductions implemented in response to the COVID-19 Pandemic and a decrease in performance-based compensation expense accrued following lower projected performance against performance based restricted stock targets as of June 25, 2020, compared to June 27, 2019. Administrative and other costs also decreased $0.7 million due to a decrease in consulting services and $0.3 million due to lower CEO transition costs.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increased $1.7 million, or 100.0%, from $0.0 million in the six months ended June 27, 2019 to $1.7 million in the six months ended June 25, 2020. This increase in impairment expense was primarily related to the write-off of certain long-lived assets during the second quarter of 2020.</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$0.2 million, or 3.0%, from $6.6 million for the six months ended June 27, 2019 to $6.4 million for the six months ended June 25, 2020.</w:t>
      </w:r>
    </w:p>
    <w:p>
      <w:pPr>
        <w:spacing w:after="0" w:line="1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decreased $1.7 million, or 12.2%, from $13.9 million for the six months ended June 27, 2019, to $12.2 million for the six months ended June 25, 2020, primarily due to the four year extension of the</w:t>
      </w:r>
    </w:p>
    <w:p>
      <w:pPr>
        <w:spacing w:after="0" w:line="3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60"/>
          </w:cols>
          <w:pgMar w:left="900" w:top="449" w:right="339" w:bottom="1440" w:gutter="0" w:footer="0" w:header="0"/>
        </w:sectPr>
      </w:pPr>
    </w:p>
    <w:bookmarkStart w:id="35" w:name="page36"/>
    <w:bookmarkEnd w:id="35"/>
    <w:p>
      <w:pPr>
        <w:ind w:left="580"/>
        <w:spacing w:after="0"/>
        <w:rPr>
          <w:sz w:val="20"/>
          <w:szCs w:val="20"/>
          <w:color w:val="auto"/>
        </w:rPr>
      </w:pPr>
      <w:r>
        <w:rPr>
          <w:rFonts w:ascii="Arial" w:cs="Arial" w:eastAsia="Arial" w:hAnsi="Arial"/>
          <w:sz w:val="18"/>
          <w:szCs w:val="18"/>
          <w:color w:val="auto"/>
        </w:rPr>
        <w:t>contractual life of the intangible assets for Cinemark and Regal following the 2019 ESA Amendments during the third quarter of 2019.</w:t>
      </w:r>
    </w:p>
    <w:p>
      <w:pPr>
        <w:spacing w:after="0" w:line="17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$1.2 million, or 4.2%, from $28.5 million for the six months ended June 27,</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$27.3 million for the six months ended June 25, 2020. The following table shows the changes in non-operating expense for the six months ended June 25, 2020 and June 27, 2019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25, 2020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27, 2019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2020 to YTD 2019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YTD 2020 to YTD 2019</w:t>
            </w: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modification and retirement of</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7"/>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net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Loss on the re-measurement of the payable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500" w:type="dxa"/>
            <w:vAlign w:val="bottom"/>
          </w:tcPr>
          <w:p>
            <w:pPr>
              <w:ind w:left="160"/>
              <w:spacing w:after="0"/>
              <w:rPr>
                <w:sz w:val="20"/>
                <w:szCs w:val="20"/>
                <w:color w:val="auto"/>
              </w:rPr>
            </w:pPr>
            <w:r>
              <w:rPr>
                <w:rFonts w:ascii="Arial" w:cs="Arial" w:eastAsia="Arial" w:hAnsi="Arial"/>
                <w:sz w:val="18"/>
                <w:szCs w:val="18"/>
                <w:color w:val="auto"/>
              </w:rPr>
              <w:t>to founding members under the tax receivable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4500" w:type="dxa"/>
            <w:vAlign w:val="bottom"/>
          </w:tcPr>
          <w:p>
            <w:pPr>
              <w:ind w:left="260"/>
              <w:spacing w:after="0"/>
              <w:rPr>
                <w:sz w:val="20"/>
                <w:szCs w:val="20"/>
                <w:color w:val="auto"/>
              </w:rPr>
            </w:pPr>
            <w:r>
              <w:rPr>
                <w:rFonts w:ascii="Arial" w:cs="Arial" w:eastAsia="Arial" w:hAnsi="Arial"/>
                <w:sz w:val="18"/>
                <w:szCs w:val="18"/>
                <w:color w:val="auto"/>
              </w:rPr>
              <w:t>Total non-operating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decrease in non-operating expense was primarily due to a decrease of $1.4 million in interest on borrowings due to a 0.66% decrease in the weighted average interest rate, partially offset by an increase in the weighted average balance of debt outstanding for the six months ended June 25, 2020, as compared to the six months ended June 27, 2019 and a decrease of $1.2 million in the loss on the re-measurement of the payable to founding members under the TRA due to a smaller increase in the deferred state tax rate in the six months ended June 25, 2020 as compared to the six months ended June 27, 2019. These decreases were partially offset by a 1) $0.6 increase in the loss (gain) on modification and retirement of debt, net primarily related to the Credit Agreement Amendment that occurred in the second quarter of 2020 and the absence of a gain realized on the repurchase of a portion of the Notes due 2026 in the first quarter of 2019 and 2) a $0.5 million decrease in interest income on the Company's marketable securities due to a decrease in the rate of return and the outstanding balance of securities in the second quarter of 2020 as compared to the second quarter of 2019.</w:t>
      </w:r>
    </w:p>
    <w:p>
      <w:pPr>
        <w:spacing w:after="0" w:line="5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 xml:space="preserve">Income Tax Benefit. </w:t>
      </w:r>
      <w:r>
        <w:rPr>
          <w:rFonts w:ascii="Arial" w:cs="Arial" w:eastAsia="Arial" w:hAnsi="Arial"/>
          <w:sz w:val="17"/>
          <w:szCs w:val="17"/>
          <w:color w:val="auto"/>
        </w:rPr>
        <w:t>Income Tax Benefit increased from income tax expense of $1.7 million for the six months ended June 27, 2019 to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$4.6 million for the six months ended June 25, 2020. The increase in income tax benefit was primarily due to the decrease in pretax book income attributable to NCM Inc. from income of $9.4 million for the six months ended June 27, 2019 to loss of $22.0 million for the six months ended June 25, 2020. This increase in income tax benefit was partially offset by an increase in income tax expense due to a much smaller increase in the deferred state tax rate for the six months ended June 25, 2020 as compared to the six months ended June 27, 2019.</w:t>
      </w:r>
    </w:p>
    <w:p>
      <w:pPr>
        <w:spacing w:after="0" w:line="1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increased $25.3 million from net income of $7.8 million for the six months ended June 27, 2019 to net loss of $17.5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25, 2020. The increase in net loss was due to a $67.5 million increase in operating loss, partially offset by a $34.7 million increase in net loss attributable to noncontrolling interests, a $6.3 million increase in income tax benefit and $1.2 million decrease in non-operating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60" w:firstLine="540"/>
        <w:spacing w:after="0" w:line="301" w:lineRule="auto"/>
        <w:rPr>
          <w:sz w:val="20"/>
          <w:szCs w:val="20"/>
          <w:color w:val="auto"/>
        </w:rPr>
      </w:pPr>
      <w:r>
        <w:rPr>
          <w:rFonts w:ascii="Arial" w:cs="Arial" w:eastAsia="Arial" w:hAnsi="Arial"/>
          <w:sz w:val="16"/>
          <w:szCs w:val="16"/>
          <w:b w:val="1"/>
          <w:bCs w:val="1"/>
          <w:i w:val="1"/>
          <w:iCs w:val="1"/>
          <w:color w:val="auto"/>
        </w:rPr>
        <w:t>COVID-19</w:t>
      </w:r>
      <w:r>
        <w:rPr>
          <w:rFonts w:ascii="Arial" w:cs="Arial" w:eastAsia="Arial" w:hAnsi="Arial"/>
          <w:sz w:val="16"/>
          <w:szCs w:val="16"/>
          <w:color w:val="auto"/>
        </w:rPr>
        <w:t>—As discussed within the '</w:t>
      </w:r>
      <w:r>
        <w:rPr>
          <w:rFonts w:ascii="Arial" w:cs="Arial" w:eastAsia="Arial" w:hAnsi="Arial"/>
          <w:sz w:val="16"/>
          <w:szCs w:val="16"/>
          <w:i w:val="1"/>
          <w:iCs w:val="1"/>
          <w:color w:val="auto"/>
        </w:rPr>
        <w:t>Recent Developments</w:t>
      </w:r>
      <w:r>
        <w:rPr>
          <w:rFonts w:ascii="Arial" w:cs="Arial" w:eastAsia="Arial" w:hAnsi="Arial"/>
          <w:sz w:val="16"/>
          <w:szCs w:val="16"/>
          <w:color w:val="auto"/>
        </w:rPr>
        <w:t>' section, due to the COVID-19 Pandemic, the Company was unable to advertise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theaters, and thus generate the majority of its revenue, for the three months ended June 25, 2020 and for the remaining duration of time that the theaters are generally closed. The Company's theater access fees, network affiliate payments and Platinum Spot revenue share payments are driven by attendance, active screens and revenue and were not incurred for three months ended June 25, 2020 and will not be incurred for the duration the theaters are closed.</w:t>
      </w:r>
    </w:p>
    <w:p>
      <w:pPr>
        <w:spacing w:after="0" w:line="49" w:lineRule="exact"/>
        <w:rPr>
          <w:sz w:val="20"/>
          <w:szCs w:val="20"/>
          <w:color w:val="auto"/>
        </w:rPr>
      </w:pPr>
    </w:p>
    <w:p>
      <w:pPr>
        <w:ind w:right="100" w:firstLine="540"/>
        <w:spacing w:after="0" w:line="286"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COVID-19’s impact on our business in future periods. However, we are monitoring the rapidly evolving situation and its potential impacts on our financial position, results of operations, liquidity and cash flows.</w:t>
      </w:r>
    </w:p>
    <w:p>
      <w:pPr>
        <w:spacing w:after="0" w:line="57"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b w:val="1"/>
          <w:bCs w:val="1"/>
          <w:i w:val="1"/>
          <w:iCs w:val="1"/>
          <w:color w:val="auto"/>
        </w:rPr>
        <w:t>CARES Act</w:t>
      </w:r>
      <w:r>
        <w:rPr>
          <w:rFonts w:ascii="Arial" w:cs="Arial" w:eastAsia="Arial" w:hAnsi="Arial"/>
          <w:sz w:val="18"/>
          <w:szCs w:val="18"/>
          <w:color w:val="auto"/>
        </w:rPr>
        <w:t>—On March 27, 2020, the U.S. Government enacted various relief and stimulus measures in response to the unprecedented adverse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impacts of the COVID-19 Pandemic commonly referred to as the CARES Act. The CARES Act made changes to the U.S. tax code that affect our fiscal year ending December 31, 2020, including, but not limited to, (1) reducing the limitation on deductible interest expense, (2) changing uses and limitations of net operating losses generated in tax years 2018, 2019, and 2020, (3) deferring the payment of the 6.2% FICA portion of Company's payroll taxes beginning on the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6" w:name="page37"/>
    <w:bookmarkEnd w:id="36"/>
    <w:p>
      <w:pPr>
        <w:ind w:right="320"/>
        <w:spacing w:after="0" w:line="259" w:lineRule="auto"/>
        <w:rPr>
          <w:sz w:val="20"/>
          <w:szCs w:val="20"/>
          <w:color w:val="auto"/>
        </w:rPr>
      </w:pPr>
      <w:r>
        <w:rPr>
          <w:rFonts w:ascii="Arial" w:cs="Arial" w:eastAsia="Arial" w:hAnsi="Arial"/>
          <w:sz w:val="18"/>
          <w:szCs w:val="18"/>
          <w:color w:val="auto"/>
        </w:rPr>
        <w:t>enactment date through December 31, 2020 until the end of 2021 for one-half of the tax and the remaining half to the end of 2022 and (4) creating the Employee Retention Payroll Tax Credit for the Company's portion of the 6.2% FICA payroll tax for certain qualifying employees from March 13, 2020 through December 31, 2020. The impact of these relief measures that are estimable as of June 25, 2020 have been incorporated within the Company's financial statements.</w:t>
      </w:r>
    </w:p>
    <w:p>
      <w:pPr>
        <w:spacing w:after="0" w:line="79"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pre-show program can be sold to the founding members to satisfy their on-screen advertising commitments under their beverage concessionaire agreements. For the first three and six months of 2020 and 2019,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The time sold to the beverage supplier for AMC is priced equal to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limited to the highest advertising CPM being then-charged by NCM LLC, which in 2019 decreased 0.3%. Thus, the CPM on our beverage concessionaire revenue related to AMC in 2020 will decrease by 0.3% compared to 2019. Beginning in 2020 and in accordance with the 2019 ESA Amendments, the price for the time sold to Cinemark and Regal's beverage suppliers instead increased at a fixed rate of 2.0%. The Company will not recognize any beverage revenue for the period of time that our founding members' theaters are closed due to the COVID-19 Pandemic. Further, attendance may be lower than historical levels following the re-opening of theaters which could reduce the Company’s beverage revenue.</w:t>
      </w:r>
    </w:p>
    <w:p>
      <w:pPr>
        <w:spacing w:after="0" w:line="114"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not displaying the Company's pre-show or when the Company does not have access to the theaters. As such, the Company did not owe these fees for the three months ended June 25, 2020 and will not owe these fees during the duration a founding member's theaters are closed in connection with the COVID-19 Pandemic. The digital screen fee is calculated based upon average screens in use during each month. No digital screen fees were incurred for the three months ended June 25, 2020 and no fees will be incurred for the months where no screens are in use and fees will be reduced for months where screens are in use for only part of the month. Further, attendance may be lower than historical levels following the re-opening of theaters which could reduce the Company’s theater access fees.</w:t>
      </w:r>
    </w:p>
    <w:p>
      <w:pPr>
        <w:spacing w:after="0" w:line="128" w:lineRule="exact"/>
        <w:rPr>
          <w:sz w:val="20"/>
          <w:szCs w:val="20"/>
          <w:color w:val="auto"/>
        </w:rPr>
      </w:pPr>
    </w:p>
    <w:p>
      <w:pPr>
        <w:ind w:right="300" w:firstLine="540"/>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25%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40" w:firstLine="540"/>
        <w:spacing w:after="0" w:line="279"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Notes due 2026 and Notes due 2028, income tax payments, TRA payments to NCM LLC’s founding members and amount of quarterly dividends to NCM, Inc.’s common stockholders.</w:t>
      </w:r>
    </w:p>
    <w:p>
      <w:pPr>
        <w:spacing w:after="0" w:line="117" w:lineRule="exact"/>
        <w:rPr>
          <w:sz w:val="20"/>
          <w:szCs w:val="20"/>
          <w:color w:val="auto"/>
        </w:rPr>
      </w:pPr>
    </w:p>
    <w:p>
      <w:pPr>
        <w:ind w:right="60" w:firstLine="540"/>
        <w:spacing w:after="0" w:line="296" w:lineRule="auto"/>
        <w:rPr>
          <w:sz w:val="20"/>
          <w:szCs w:val="20"/>
          <w:color w:val="auto"/>
        </w:rPr>
      </w:pPr>
      <w:r>
        <w:rPr>
          <w:rFonts w:ascii="Arial" w:cs="Arial" w:eastAsia="Arial" w:hAnsi="Arial"/>
          <w:sz w:val="16"/>
          <w:szCs w:val="16"/>
          <w:color w:val="auto"/>
        </w:rPr>
        <w:t>As a result of the COVID-19 Pandemic discussed within the 'Recent Developments' section above, we cannot generate revenue, other than revenue associated with our digital service offerings, while the theaters within our network are temporarily closed. With the exception of collecting accounts receivable balances outstanding as of March 26, 2020, the Company has limited cash receipts until after the theaters reopen. Further, once theaters re-open, there will be a lag between when revenue is generated at those theaters and when the Company ultimately collects the associated accounts receivable balance. The Company also had reduced cash payments during the period the theaters are closed as expenses related to theater attendance are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37" w:name="page38"/>
    <w:bookmarkEnd w:id="37"/>
    <w:p>
      <w:pPr>
        <w:ind w:right="40"/>
        <w:spacing w:after="0" w:line="270" w:lineRule="auto"/>
        <w:rPr>
          <w:sz w:val="20"/>
          <w:szCs w:val="20"/>
          <w:color w:val="auto"/>
        </w:rPr>
      </w:pPr>
      <w:r>
        <w:rPr>
          <w:rFonts w:ascii="Arial" w:cs="Arial" w:eastAsia="Arial" w:hAnsi="Arial"/>
          <w:sz w:val="17"/>
          <w:szCs w:val="17"/>
          <w:color w:val="auto"/>
        </w:rPr>
        <w:t>not incurred (i.e. theater access fees, Platinum Spot revenue share and network affiliate revenue share payments). The Company also implemented a number of cost-saving measures in order to preserve cash as further outlined within the 'Recent Developments' section above. In March 2020, we drew down an additional $110.0 million on our revolving credit facility. Further, as of March 26, 2020, we had approximately $112.3 million of trade accounts receivable outstanding from customers, of which we have collected approximately $89.7 million as of June 25, 2020, increasing our cash and marketable securities balance to $249.9 million as of June 25, 2020 ($168.1 million at NCM LLC) and reducing trade accounts receivable to $25.3 million. The $168.1 million of cash at NCM LLC will be used to fund operations during the period of expected reduced cash flows. Cash at NCM, Inc. cannot be used to fund operations at NCM LLC and is held for future payment of dividends to NCM, Inc. shareholders, income tax payments, income tax receivable payments to NCM LLC’s founding members and other obligations. Further, from the approximate $25.3 million of trade accounts receivable outstanding from customers as of June 25, 2020, we have collected approximately $12.0 million as of July 31, 2020.</w:t>
      </w:r>
    </w:p>
    <w:p>
      <w:pPr>
        <w:spacing w:after="0" w:line="127"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In accordance with the Credit Agreement Amendment entered into in order to obtain a waiver of the financial covenants for the period beginning in the second quarter of 2020 through the second quarter of 2021, NCM LLC must maintain a total balance of $55.0 million of a combination of unrestricted cash on hand and availability under NCM LLC's revolving credit facility. Management believes that cash on hand following the additional draw down on the revolving credit facility and collection of the accounts receivable balance, as well as future funds generated from NCM LLC’s operations once theaters re-open should be sufficient to fund working capital requirements, NCM LLC’s debt service requirements and capital expenditures through at least the next twelve months.</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25, 2020</w:t>
            </w:r>
          </w:p>
        </w:tc>
        <w:tc>
          <w:tcPr>
            <w:tcW w:w="140" w:type="dxa"/>
            <w:vAlign w:val="bottom"/>
          </w:tcPr>
          <w:p>
            <w:pPr>
              <w:spacing w:after="0"/>
              <w:rPr>
                <w:sz w:val="13"/>
                <w:szCs w:val="13"/>
                <w:color w:val="auto"/>
              </w:rPr>
            </w:pPr>
          </w:p>
        </w:tc>
        <w:tc>
          <w:tcPr>
            <w:tcW w:w="10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27, 2019</w:t>
            </w:r>
          </w:p>
        </w:tc>
        <w:tc>
          <w:tcPr>
            <w:tcW w:w="12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Q2 2020 to YE</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Q2 2020 to Q2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5000" w:type="dxa"/>
            <w:vAlign w:val="bottom"/>
            <w:vMerge w:val="restart"/>
          </w:tcPr>
          <w:p>
            <w:pPr>
              <w:jc w:val="right"/>
              <w:ind w:right="2650"/>
              <w:spacing w:after="0"/>
              <w:rPr>
                <w:sz w:val="20"/>
                <w:szCs w:val="20"/>
                <w:color w:val="auto"/>
              </w:rPr>
            </w:pPr>
            <w:r>
              <w:rPr>
                <w:rFonts w:ascii="Arial" w:cs="Arial" w:eastAsia="Arial" w:hAnsi="Arial"/>
                <w:sz w:val="18"/>
                <w:szCs w:val="18"/>
                <w:color w:val="auto"/>
                <w:w w:val="89"/>
              </w:rPr>
              <w:t>_________________________</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320" w:hanging="332"/>
        <w:spacing w:after="0" w:line="255"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June 25, 2020, December 26, 2019 and June 27, 2019, was $168.1 million, $11.4 million and $4.6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ind w:left="340" w:right="20" w:hanging="332"/>
        <w:spacing w:after="0" w:line="27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June 25, 2020, December 26, 2019 and June 27, 2019. As of June 25, 2020, December 26, 2019 and June 27, 2019, the amount available under the NCM LLC revolving credit facility in the table above, was net of the amount outstanding under the revolving credit facility of $167.0 million, $39.0 million and $27.0 million, respectively, and net letters of credit of $3.6 million, $3.6 million and $4.8 million, respectively.</w:t>
      </w:r>
    </w:p>
    <w:p>
      <w:pPr>
        <w:spacing w:after="0" w:line="124" w:lineRule="exact"/>
        <w:rPr>
          <w:sz w:val="20"/>
          <w:szCs w:val="20"/>
          <w:color w:val="auto"/>
        </w:rPr>
      </w:pPr>
    </w:p>
    <w:p>
      <w:pPr>
        <w:ind w:right="220" w:firstLine="540"/>
        <w:spacing w:after="0" w:line="286" w:lineRule="auto"/>
        <w:rPr>
          <w:sz w:val="20"/>
          <w:szCs w:val="20"/>
          <w:color w:val="auto"/>
        </w:rPr>
      </w:pPr>
      <w:r>
        <w:rPr>
          <w:rFonts w:ascii="Arial" w:cs="Arial" w:eastAsia="Arial" w:hAnsi="Arial"/>
          <w:sz w:val="17"/>
          <w:szCs w:val="17"/>
          <w:color w:val="auto"/>
        </w:rPr>
        <w:t>As of June 25, 2020, the weighted average remaining maturity of our debt was 6.0 years. As of June 25, 2020, approximately 59% of our total borrowings bear interest at fixed rates. The remaining 41% of our borrowings bear interest at variable rates and as such, our net income and earnings per share could fluctuate with market interest rate fluctuations that could increase or decrease the interest paid on our borrowings.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7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 2020</w:t>
            </w:r>
          </w:p>
        </w:tc>
        <w:tc>
          <w:tcPr>
            <w:tcW w:w="200" w:type="dxa"/>
            <w:vAlign w:val="bottom"/>
          </w:tcPr>
          <w:p>
            <w:pPr>
              <w:spacing w:after="0"/>
              <w:rPr>
                <w:sz w:val="22"/>
                <w:szCs w:val="22"/>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June 27, 2019</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10.6</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7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060" w:hanging="404"/>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$48.1 million increase in cash provided by operating activities for the six months ended June 25, 2020,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six months ended June 27, 2019 was primarily due to a $122.3 million larger decrease in the accounts receivable balance during the six months ended June 25, 2020, as compared to the six months ended June 27, 2019, related to the collection of the accounts receivable balance and a decrease in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8" w:name="page39"/>
    <w:bookmarkEnd w:id="38"/>
    <w:p>
      <w:pPr>
        <w:ind w:left="1060" w:right="20"/>
        <w:spacing w:after="0" w:line="287" w:lineRule="auto"/>
        <w:rPr>
          <w:sz w:val="20"/>
          <w:szCs w:val="20"/>
          <w:color w:val="auto"/>
        </w:rPr>
      </w:pPr>
      <w:r>
        <w:rPr>
          <w:rFonts w:ascii="Arial" w:cs="Arial" w:eastAsia="Arial" w:hAnsi="Arial"/>
          <w:sz w:val="16"/>
          <w:szCs w:val="16"/>
          <w:color w:val="auto"/>
        </w:rPr>
        <w:t>revenue described above and a $13.9 million decrease in the payment to founding members under the TRA due to the postponement of the original due date for the Company's U.S. federal income tax return to July 15, 2020 from April 15, 2020. These increases in cash provided by operating activities were partially offset by 1) a $60.0 million decrease in consolidated net income due the temporary closure of almost all the theaters within our network in response to the COVID-19 Pandemic, 2) a $9.0 million larger decrease in accounts payable and accrued expenses during the six months ended June 25, 2020 as compared to the six months ended June 27, 2019, related to the decrease in operating expenses for the corresponding periods as described above, 3) a $7.3 million decrease in deferred income tax expense and the loss on re-measurement of the payable to founding members under the TRA primarily due to the Company recognizing an income tax benefit in the six months ended June 25, 2020 driven by the Company's consolidated net loss for the period, 4) a $6.9 million decrease in the amounts due to founding members, 5) a $3.3 million decrease in deferred revenue and 6) a $2.5 million decrease in non-cash share-bared compensation expense primarily related to a decrease in performance-based compensation expense accrued following lower projected performance against performance based restricted stock targets as of June 25, 2020, compared to June 27, 2019.</w:t>
      </w:r>
    </w:p>
    <w:p>
      <w:pPr>
        <w:spacing w:after="0" w:line="118" w:lineRule="exact"/>
        <w:rPr>
          <w:sz w:val="20"/>
          <w:szCs w:val="20"/>
          <w:color w:val="auto"/>
        </w:rPr>
      </w:pPr>
    </w:p>
    <w:p>
      <w:pPr>
        <w:ind w:left="1080" w:right="60" w:hanging="411"/>
        <w:spacing w:after="0" w:line="275"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The $4.9 million increase in cash provided by investing activities for the six months ended June 25, 2020,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27, 2019 was primarily due to a $4.7 million increase in proceeds from the sale of marketable securities, net of purchases and a $1.6 million decrease in purchases of property and equipment for the six months ended June 25, 2020, compared to the six months ended June 27, 2019 driven by the Company's measures to preserve cash in response to the COVID-19 Pandemic, partially offset by a $1.4 million decrease in proceeds from the founding member notes receivable.</w:t>
      </w:r>
    </w:p>
    <w:p>
      <w:pPr>
        <w:spacing w:after="0" w:line="122" w:lineRule="exact"/>
        <w:rPr>
          <w:rFonts w:ascii="Arial" w:cs="Arial" w:eastAsia="Arial" w:hAnsi="Arial"/>
          <w:sz w:val="17"/>
          <w:szCs w:val="17"/>
          <w:color w:val="auto"/>
        </w:rPr>
      </w:pPr>
    </w:p>
    <w:p>
      <w:pPr>
        <w:ind w:left="1080" w:hanging="411"/>
        <w:spacing w:after="0" w:line="271"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The $135.1 million increase in cash provided by financing activities for the six months ended June 25, 2020,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six months ended June 27, 2019 was primarily due to a $128.0 million increase in proceeds from our revolving credit facility, net of repayments made early in 2020, in order to fund operations during the period of expected reduced cash flows due to the temporary closure of the theaters within NCM LLC's network to address the COVID-19 Pandemic. The increase was also due to a $6.2 million decrease in dividends paid related to the a decrease in the dividend amount declared from $0.17 in the second quarter of 2019 to $0.07 in the second quarter of 2020, and the absence of a $4.6 million repurchase of the retired Notes due 2026 that occurred in the first quarter of 2019. These increases were partially offset by a $2.8 million increase in distributions to founding members in the six months ended June 25, 2020, compared to the six months ended June 27, 2019.</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color w:val="auto"/>
        </w:rPr>
        <w:t>NCM, Inc.’s primary source of liquidity and capital resources is the quarterly available cash distributions from NCM LLC as well as its existing cash balances and marketable securities, which as of June 25, 2020 were $81.8 million (excluding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are closed. The $168.1 million of cash at NCM LLC will be used to fund operations during the period of expected reduced cash flows. Cash at NCM, Inc. cannot be used to fund operations of NCM LLC and is used to fund income taxes, payments associated with the TRA with the founding members and for future payment of dividends to NCM, Inc. shareholders. Further, as of June 25, 2020, we had approximately $25.3 million of trade accounts receivable from customers, of which we have collected approximately $12.0 million as of July 31, 2020. Management believes that cash on hand following the additional draw down on the revolving credit facility, collection of the $25.3 million trade accounts receivable balance at June 25, 2020, as well as future funds generated from NCM LLC’s operations once theaters re-open should be sufficient to fund working capital requirements, NCM LLC’s debt service requirements and capital expenditures through at least the next twelve months.</w:t>
      </w:r>
    </w:p>
    <w:p>
      <w:pPr>
        <w:spacing w:after="0" w:line="64" w:lineRule="exact"/>
        <w:rPr>
          <w:sz w:val="20"/>
          <w:szCs w:val="20"/>
          <w:color w:val="auto"/>
        </w:rPr>
      </w:pPr>
    </w:p>
    <w:p>
      <w:pPr>
        <w:ind w:right="60" w:firstLine="540"/>
        <w:spacing w:after="0" w:line="253" w:lineRule="auto"/>
        <w:rPr>
          <w:sz w:val="20"/>
          <w:szCs w:val="20"/>
          <w:color w:val="auto"/>
        </w:rPr>
      </w:pPr>
      <w:r>
        <w:rPr>
          <w:rFonts w:ascii="Arial" w:cs="Arial" w:eastAsia="Arial" w:hAnsi="Arial"/>
          <w:sz w:val="18"/>
          <w:szCs w:val="18"/>
          <w:color w:val="auto"/>
        </w:rPr>
        <w:t>On April 30, 2020, NCM LLC entered into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39" w:name="page40"/>
    <w:bookmarkEnd w:id="39"/>
    <w:p>
      <w:pPr>
        <w:ind w:right="180"/>
        <w:spacing w:after="0" w:line="277" w:lineRule="auto"/>
        <w:rPr>
          <w:sz w:val="20"/>
          <w:szCs w:val="20"/>
          <w:color w:val="auto"/>
        </w:rPr>
      </w:pPr>
      <w:r>
        <w:rPr>
          <w:rFonts w:ascii="Arial" w:cs="Arial" w:eastAsia="Arial" w:hAnsi="Arial"/>
          <w:sz w:val="18"/>
          <w:szCs w:val="18"/>
          <w:color w:val="auto"/>
        </w:rPr>
        <w:t>the Credit Agreement has occurred and is continuing. As of June 25, 2020, NCM LLC was in compliance with the requirements of the Credit Agreement Amendment.</w:t>
      </w:r>
    </w:p>
    <w:p>
      <w:pPr>
        <w:spacing w:after="0" w:line="62"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Cash flows generated by NCM LLC’s distributions to NCM, Inc. and the founding members will be impacted by the temporary closure of our network theaters and may even be deferred for the quarter ending June 25, 2020 through the quarter ending July 1, 2021 until at least August 2021 due to the limitations instituted by the Credit Agreement Amendment. NCM LLC is required pursuant to the terms of the NCM LLC Operating Agreement to distribute its available cash, as defined in the operating agreement and unless prohibited by NCM LLC's Credit Agreement, quarterly to its members (Regal, Cinemark, AMC and NCM, Inc.). The available cash distribution to the members of NCM LLC for the three months ended June 25, 2020 was calculated as approximately negative $30.0 million, of which approximately $14.4 million was with NCM, Inc. Pursuant to the NCM LLC Operating Agreement and the Credit Agreement Amendment, there will be no available cash distributions made for the second quarter of 2020. These second quarter of 2020 negative available cash distributions are expected to be netted against any positive available cash distribution related to the second quarter of 2021, to be paid in the third quarter of 2021, if the Company is in compliance with the Credit Agreement Amendment requirements noted above and sufficient positive available cash is generated.</w:t>
      </w:r>
    </w:p>
    <w:p>
      <w:pPr>
        <w:spacing w:after="0" w:line="77"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(as allowed for under the Amended Credit Agreement) to fund income taxes, payments associated with the TRA with the founding members, including the TRA payment of $12.8 million made on July 15, 2020, and current and future dividends as declared by the Board of Directors, including a dividend declared on August 3, 2020 of $0.07 per share (approximately $5.5 million) on each share of the Company’s common stock (not including outstanding restricted stock) to stockholders of record on August 17, 2020 to be paid on August 31, 2020. These items should be sufficient to fund payments associated with the TRA with the founding members, income taxes and its quarterly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temporary theater closures for the COVID-19 Pandemic and restrictions under the NCM LLC Credit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26, 2019 and incorporated by reference herein. As of June 25, 2020, there were no significant changes in those critical accounting policies except for the change in allowance for doubtful accounts upon the adoption of ASC 326 in the first quarter of 2020 and discussed further within Note 1—</w:t>
      </w:r>
      <w:r>
        <w:rPr>
          <w:rFonts w:ascii="Arial" w:cs="Arial" w:eastAsia="Arial" w:hAnsi="Arial"/>
          <w:sz w:val="18"/>
          <w:szCs w:val="18"/>
          <w:i w:val="1"/>
          <w:iCs w:val="1"/>
          <w:color w:val="auto"/>
        </w:rPr>
        <w:t>The Company</w:t>
      </w:r>
      <w:r>
        <w:rPr>
          <w:rFonts w:ascii="Arial" w:cs="Arial" w:eastAsia="Arial" w:hAnsi="Arial"/>
          <w:sz w:val="18"/>
          <w:szCs w:val="18"/>
          <w:color w:val="auto"/>
        </w:rPr>
        <w:t>, to the unaudited Condensed Consolidated Financial Statements in Part I, Item 1 of this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341" w:right="379" w:bottom="1440" w:gutter="0" w:footer="0" w:header="0"/>
        </w:sectPr>
      </w:pPr>
    </w:p>
    <w:bookmarkStart w:id="40" w:name="page41"/>
    <w:bookmarkEnd w:id="40"/>
    <w:p>
      <w:pPr>
        <w:ind w:right="280" w:firstLine="648"/>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26, 2019 and incorporated by reference herein. There were no material changes to our contractual obligations during the six months ended June 25,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have tended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we expect our 2020 quarterly results to vary from the historical trend. Accordingly, there can be no assurances that seasonal variations will not materially affect our results of operations in the future.</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2017, 2018 and 2019.</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First</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Second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Third</w:t>
            </w:r>
          </w:p>
        </w:tc>
        <w:tc>
          <w:tcPr>
            <w:tcW w:w="1380" w:type="dxa"/>
            <w:vAlign w:val="bottom"/>
          </w:tcPr>
          <w:p>
            <w:pPr>
              <w:jc w:val="right"/>
              <w:ind w:right="397"/>
              <w:spacing w:after="0"/>
              <w:rPr>
                <w:sz w:val="20"/>
                <w:szCs w:val="20"/>
                <w:color w:val="auto"/>
              </w:rPr>
            </w:pPr>
            <w:r>
              <w:rPr>
                <w:rFonts w:ascii="Arial" w:cs="Arial" w:eastAsia="Arial" w:hAnsi="Arial"/>
                <w:sz w:val="14"/>
                <w:szCs w:val="14"/>
                <w:b w:val="1"/>
                <w:bCs w:val="1"/>
                <w:color w:val="auto"/>
              </w:rPr>
              <w:t>Fourth</w:t>
            </w:r>
          </w:p>
        </w:tc>
      </w:tr>
      <w:tr>
        <w:trPr>
          <w:trHeight w:val="192"/>
        </w:trPr>
        <w:tc>
          <w:tcPr>
            <w:tcW w:w="434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Quarter</w:t>
            </w: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2017</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FY 2018</w:t>
            </w: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4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The primary market risk to which we are exposed is interest rate risk. The Notes due 2026 and the Notes due 2028 are at fixed rates, and therefore are not subject to market risk. As of June 25, 2020,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$4.3 million for an annual period on the $167.0 million revolving credit balance and $265.3 million term loan outstanding as of June 25, 2020.</w:t>
      </w:r>
    </w:p>
    <w:p>
      <w:pPr>
        <w:spacing w:after="0" w:line="134"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as of June 25, 2020 that has had the effect of reducing the Company's interest rate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and financial officer), as appropriate, to allow timely decisions regarding required disclosure.</w:t>
      </w:r>
    </w:p>
    <w:p>
      <w:pPr>
        <w:spacing w:after="0" w:line="13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Management, with the participation of the Chief Executive Officer, performed an evaluation of the effectiveness of the Company’s disclosure controls and procedures pursuant to Rules 13a-15(e) and 15d-15(e) of the Exchange Act as of June 25, 2020, the end of the period covered by this Quarterly Report on Form 10-Q. Based on such evaluation, the Company’s Chief Executive Officer concluded that the Company’s disclosure controls and procedures as of June 25, 2020 were effective.</w:t>
      </w:r>
    </w:p>
    <w:p>
      <w:pPr>
        <w:spacing w:after="0" w:line="106" w:lineRule="exact"/>
        <w:rPr>
          <w:sz w:val="20"/>
          <w:szCs w:val="20"/>
          <w:color w:val="auto"/>
        </w:rPr>
      </w:pPr>
    </w:p>
    <w:p>
      <w:pPr>
        <w:ind w:right="3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22" w:right="359" w:bottom="1440" w:gutter="0" w:footer="0" w:header="0"/>
        </w:sectPr>
      </w:pPr>
    </w:p>
    <w:bookmarkStart w:id="41" w:name="page42"/>
    <w:bookmarkEnd w:id="41"/>
    <w:p>
      <w:pPr>
        <w:ind w:right="320" w:firstLine="567"/>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25, 2020 that have materially affected, or are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56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00" w:firstLine="567"/>
        <w:spacing w:after="0" w:line="263" w:lineRule="auto"/>
        <w:rPr>
          <w:sz w:val="20"/>
          <w:szCs w:val="20"/>
          <w:color w:val="auto"/>
        </w:rPr>
      </w:pPr>
      <w:r>
        <w:rPr>
          <w:rFonts w:ascii="Arial" w:cs="Arial" w:eastAsia="Arial" w:hAnsi="Arial"/>
          <w:sz w:val="18"/>
          <w:szCs w:val="18"/>
          <w:color w:val="auto"/>
        </w:rPr>
        <w:t>Excluding the risk factors outlined below, there have been no material changes from risk factors as previously disclosed in our annual report on Form 10-K filed with the SEC on February 20, 2020 for the fiscal year ended December 26, 2019 and updated in our quarterly report on Form 10-Q filed with the SEC on May 5, 2020 for the quarter ended March 26, 2020.</w:t>
      </w:r>
    </w:p>
    <w:p>
      <w:pPr>
        <w:spacing w:after="0" w:line="130"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b w:val="1"/>
          <w:bCs w:val="1"/>
          <w:i w:val="1"/>
          <w:iCs w:val="1"/>
          <w:color w:val="auto"/>
        </w:rPr>
        <w:t>Pandemics, epidemics or disease outbreaks, such as the novel coronavirus (COVID-19 virus), have disrupted and are continuing to disrupt our business and the business of our founding members and network affiliates, which has and could continue to materially affect our operations and results of operations.</w:t>
      </w:r>
    </w:p>
    <w:p>
      <w:pPr>
        <w:spacing w:after="0" w:line="130"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Pandemics or disease outbreaks such as the novel coronavirus (COVID-19 virus) have and are continuing to disrupt our business and the business of our founding member and network affiliates’ theaters. Following the World Health Organization’s declaration of the COVID-19 virus as a pandemic, the United States’ government and other state and local governments issued precautionary restrictions on travel, public gatherings and other events. In response to these restrictions, each of our founding members announced that their theaters would be temporarily closed to address this pandemic and by the beginning of April all of our network affiliate’s theaters had also temporarily closed. As of June 25, 2020, almost all of the theaters within our network remained close and we were unable to advertise in the theaters that opened. Certain of our founding members have announced that they do not expect to open the majority of their theaters until later in 2020, and some of our other affiliates have indicated that they have opened and will either continue, or begin, to open theaters as legal restrictions ease. However, we cannot predict when all of our theaters will reopen, what type of restrictions may be in place once theaters reopen, when large audiences will feel comfortable returning to movie theaters or if theaters will eventually need to close again in connection with further social distancing guidelines.</w:t>
      </w:r>
    </w:p>
    <w:p>
      <w:pPr>
        <w:spacing w:after="0" w:line="13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Several major motion picture releases were delayed until later in 2020 or 2021 and a few studios shortened the “release window” between the release of motion pictures in theaters and an alternative delivery method or released motion pictures directly to alternative delivery methods bypassing the theater entirely. The COVID-19 Pandemic has also adversely affected film production and may adversely affect the pipeline of feature films available in the short or long term.</w:t>
      </w:r>
    </w:p>
    <w:p>
      <w:pPr>
        <w:spacing w:after="0" w:line="133"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In response to the COVID-19 Pandemic, we implemented a number of cost-saving measures, including furloughing approximately 30% of our staff and reducing the pay of the remaining employees by up to 50%, suspending non-essential operating expenditures, including marketing, employee travel, implementing a hiring freeze, suspending the Company’s 401k employee match program, terminating or deferring certain non-essential capital expenditures, strategically working with our landlords, vendors and other business partners to manage costs, and implementing an active cash management process.</w:t>
      </w:r>
    </w:p>
    <w:p>
      <w:pPr>
        <w:spacing w:after="0" w:line="134" w:lineRule="exact"/>
        <w:rPr>
          <w:sz w:val="20"/>
          <w:szCs w:val="20"/>
          <w:color w:val="auto"/>
        </w:rPr>
      </w:pPr>
    </w:p>
    <w:p>
      <w:pPr>
        <w:ind w:right="60" w:firstLine="567"/>
        <w:spacing w:after="0" w:line="253" w:lineRule="auto"/>
        <w:rPr>
          <w:sz w:val="20"/>
          <w:szCs w:val="20"/>
          <w:color w:val="auto"/>
        </w:rPr>
      </w:pPr>
      <w:r>
        <w:rPr>
          <w:rFonts w:ascii="Arial" w:cs="Arial" w:eastAsia="Arial" w:hAnsi="Arial"/>
          <w:sz w:val="18"/>
          <w:szCs w:val="18"/>
          <w:color w:val="auto"/>
        </w:rPr>
        <w:t>The impact, extent and duration of the government-imposed restrictions on travel, public gatherings, other events and business generally, as well as the overall effect of the COVID-19 virus is currently unknown but has had and is continuing to have a material adverse impact on our business, liquidity, financial conditions and/or results of operations. Even when the COVID-19 Pandemic subsides, we cannot guarantee that we will recover as rapidly as other industries as advertising expenditures may remain decreased due to an economic slowdown and consumers may be hesitant to return to theaters. We cannot predict when the effects of the COVID-19 Pandemic will subside when theaters will reopen and patrons are comfortable attending, or when our business will return to normal levels. The longer and more severe the pandemic, including repeat or cyclical outbreaks or increases in rates of infection such as the one we are currently experiencing, the more severe the adverse effects will be on our business, liquidity, financial conditions and/or results of operations. Significant impacts on our business caused by the COVID-19 Pandemic and other pandemics include and are likely to continue to include among others:</w:t>
      </w:r>
    </w:p>
    <w:p>
      <w:pPr>
        <w:spacing w:after="0" w:line="142" w:lineRule="exact"/>
        <w:rPr>
          <w:sz w:val="20"/>
          <w:szCs w:val="20"/>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attendance in theaters after they reopen, including due to (i) continued safety and health concerns and social distancing requirements or (ii) a change in consumer behavior in favor of alternative forms of entertainment;</w:t>
      </w:r>
    </w:p>
    <w:p>
      <w:pPr>
        <w:spacing w:after="0" w:line="8"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advertisers’ perception of cinema advertising may change based on future attendance, shortened theatrical windows, and potential impacts of film production;</w:t>
      </w:r>
    </w:p>
    <w:p>
      <w:pPr>
        <w:spacing w:after="0" w:line="8"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due to adverse business impacts, advertisers may be less willing to invest in advertising and may prioritize other types of investment during the COVID-19 Pandemic;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22" w:right="339" w:bottom="1440" w:gutter="0" w:footer="0" w:header="0"/>
        </w:sectPr>
      </w:pPr>
    </w:p>
    <w:bookmarkStart w:id="42" w:name="page43"/>
    <w:bookmarkEnd w:id="42"/>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advertisers may be unwilling to enter into upfront advertising arrangements with us or commit to allocate budgets to cinema advertising due to uncertainty regarding the opening of cinemas and the availability of other advertising options;</w:t>
      </w:r>
    </w:p>
    <w:p>
      <w:pPr>
        <w:spacing w:after="0" w:line="8"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bankruptcy or restructuring of our founding members or other network affiliates in which the agreement with that party may be rejected, renegotiated or deemed unenforceable;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collect accounts receivable from small business advertisers that have been temporarily or permanently closed;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and delays associated with planned operating and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risk related to employee matters, including increased turnover and litigation and claims relating to furloughs or pay reductions;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impairment charges;</w:t>
      </w:r>
    </w:p>
    <w:p>
      <w:pPr>
        <w:spacing w:after="0" w:line="63"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business continuity plans in a fast-moving emergency, which could have an adverse effect on our internal controls (potentially giving rise to significant deficiencies or material weaknesses) and also increase our vulnerability to information technology and other systems disruptions;</w:t>
      </w:r>
    </w:p>
    <w:p>
      <w:pPr>
        <w:spacing w:after="0" w:line="2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generate significant cash flow from operations, which could lead to a substantial increase in indebtedness and negatively affect our ability to comply with the financial covenants, if applicable, in our debt agreements;</w:t>
      </w:r>
    </w:p>
    <w:p>
      <w:pPr>
        <w:spacing w:after="0" w:line="8"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access lending, capital markets and other sources of liquidity, if needed, on reasonable terms, or at all, or obtain amendments, extensions and waivers;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effectively meet our short- and long-term obligations;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service our existing and future indebtedness.</w:t>
      </w:r>
    </w:p>
    <w:p>
      <w:pPr>
        <w:spacing w:after="0" w:line="225"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The spread of COVID-19 has developed into a worldwide health crisis and may have broader macro-economic implications. The United States has experienced significantly increased rates of unemployment and these deteriorating economic conditions, including reduced levels of economic growth and possibly a recession, may extend well beyond the time the spread of infection is contained. Consumers and advertisers may also change their long-term behavior related to perceived risk of infection or health risk, other pandemic fears, quarantines and other restrictions. Many of our clients and prospective clients have experienced significant negative impacts from the COVID-19 Pandemic and have decreased advertising budgets during the COVID-19 Pandemic. Additionally, a significant number of small businesses have temporarily or permanently closed, which may reduce local advertising revenue. Even if measures are not implemented and a virus or other disease does not spread significantly, the perceived risk of infection or health risk may adversely affect our business, liquidity, financial condition and results of operations.</w:t>
      </w:r>
    </w:p>
    <w:p>
      <w:pPr>
        <w:spacing w:after="0" w:line="124"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Additionally, although we have sought certain benefits under the CARES ACT and are reviewing and intend to seek any other available benefits that would positively impact the Company under the CARES Act and associated regulations and any other government action, we cannot predict the manner in which such benefits will be allocated or administered and we cannot assure you that we will be able to access such benefits in a timely manner or at all. Government or third-party program administrators may impose additional conditions and restrictions on our operations or may otherwise provide less relief than we expect. Our response to the COVID-19 Pandemic, including accessing potential benefits from the CARES Act, has required our management team to devote extensive resources and is likely to continue to do so in the near future, which may negatively affect our ability to implement our business plan and respond to opportunities.</w:t>
      </w:r>
    </w:p>
    <w:p>
      <w:pPr>
        <w:spacing w:after="0" w:line="141"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the “Risk Factors” section of our annual report on Form 10-K for the fiscal year ended December 26, 2019 and Form 10-Q filed with the SEC on May 5, 2020 the three months ended March 26, 2020, including but not limited to those relating to NCM LLC’s high level of indebtedness, the risks associated with the loss of major content partners or advertising clients, and reductions in spending on advertising.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337"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7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62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Period</w:t>
            </w:r>
          </w:p>
        </w:tc>
        <w:tc>
          <w:tcPr>
            <w:tcW w:w="2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27, 2020through April 23, 2020</w:t>
            </w:r>
          </w:p>
        </w:tc>
        <w:tc>
          <w:tcPr>
            <w:tcW w:w="2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April 24, 2020 through May 21, 2020</w:t>
            </w:r>
          </w:p>
        </w:tc>
        <w:tc>
          <w:tcPr>
            <w:tcW w:w="2500" w:type="dxa"/>
            <w:vAlign w:val="bottom"/>
          </w:tcPr>
          <w:p>
            <w:pPr>
              <w:jc w:val="right"/>
              <w:ind w:right="37"/>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60" w:type="dxa"/>
            <w:vAlign w:val="bottom"/>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22, 2020 through June 25, 2020</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91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8"/>
              </w:rPr>
              <w:t>Reference</w:t>
            </w:r>
          </w:p>
        </w:tc>
        <w:tc>
          <w:tcPr>
            <w:tcW w:w="320" w:type="dxa"/>
            <w:vAlign w:val="bottom"/>
          </w:tcPr>
          <w:p>
            <w:pPr>
              <w:spacing w:after="0"/>
              <w:rPr>
                <w:sz w:val="14"/>
                <w:szCs w:val="14"/>
                <w:color w:val="auto"/>
              </w:rPr>
            </w:pPr>
          </w:p>
        </w:tc>
        <w:tc>
          <w:tcPr>
            <w:tcW w:w="834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(1)</w:t>
            </w:r>
          </w:p>
        </w:tc>
        <w:tc>
          <w:tcPr>
            <w:tcW w:w="320" w:type="dxa"/>
            <w:vAlign w:val="bottom"/>
          </w:tcPr>
          <w:p>
            <w:pPr>
              <w:spacing w:after="0"/>
              <w:rPr>
                <w:sz w:val="24"/>
                <w:szCs w:val="24"/>
                <w:color w:val="auto"/>
              </w:rPr>
            </w:pPr>
          </w:p>
        </w:tc>
        <w:tc>
          <w:tcPr>
            <w:tcW w:w="8340" w:type="dxa"/>
            <w:vAlign w:val="bottom"/>
            <w:tcBorders>
              <w:bottom w:val="single" w:sz="8" w:color="0000FF"/>
            </w:tcBorders>
            <w:gridSpan w:val="7"/>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1 to the Employment Agreement, dated as of April 30, 2020, by and between National CineMedia,</w:t>
              </w:r>
            </w:hyperlink>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 and Scott Felenstein</w:t>
              </w:r>
              <w:r>
                <w:rPr>
                  <w:rFonts w:ascii="Arial" w:cs="Arial" w:eastAsia="Arial" w:hAnsi="Arial"/>
                  <w:sz w:val="18"/>
                  <w:szCs w:val="18"/>
                  <w:color w:val="000000"/>
                </w:rPr>
                <w:t>.</w:t>
              </w:r>
            </w:hyperlink>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(2)</w:t>
            </w:r>
          </w:p>
        </w:tc>
        <w:tc>
          <w:tcPr>
            <w:tcW w:w="3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8"/>
                <w:szCs w:val="18"/>
                <w:color w:val="0000FF"/>
              </w:rPr>
            </w:pPr>
            <w:hyperlink r:id="rId21">
              <w:r>
                <w:rPr>
                  <w:rFonts w:ascii="Arial" w:cs="Arial" w:eastAsia="Arial" w:hAnsi="Arial"/>
                  <w:sz w:val="18"/>
                  <w:szCs w:val="18"/>
                  <w:u w:val="single" w:color="auto"/>
                  <w:color w:val="0000FF"/>
                </w:rPr>
                <w:t>National CineMedia, Inc. 2020 Omnibus Plan</w:t>
              </w:r>
            </w:hyperlink>
            <w:r>
              <w:rPr>
                <w:rFonts w:ascii="Arial" w:cs="Arial" w:eastAsia="Arial" w:hAnsi="Arial"/>
                <w:sz w:val="18"/>
                <w:szCs w:val="18"/>
                <w:color w:val="000000"/>
              </w:rPr>
              <w:t>.</w:t>
            </w:r>
          </w:p>
        </w:tc>
      </w:t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(3)</w:t>
            </w:r>
          </w:p>
        </w:tc>
        <w:tc>
          <w:tcPr>
            <w:tcW w:w="320" w:type="dxa"/>
            <w:vAlign w:val="bottom"/>
          </w:tcPr>
          <w:p>
            <w:pPr>
              <w:spacing w:after="0"/>
              <w:rPr>
                <w:sz w:val="19"/>
                <w:szCs w:val="19"/>
                <w:color w:val="auto"/>
              </w:rPr>
            </w:pPr>
          </w:p>
        </w:tc>
        <w:tc>
          <w:tcPr>
            <w:tcW w:w="8180" w:type="dxa"/>
            <w:vAlign w:val="bottom"/>
            <w:tcBorders>
              <w:bottom w:val="single" w:sz="8" w:color="0000FF"/>
            </w:tcBorders>
            <w:gridSpan w:val="6"/>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Amendment No. 1 to the Credit Agreement, dated as of April 30, 2020, by and among National CineMedia, LLC,</w:t>
              </w:r>
            </w:hyperlink>
          </w:p>
        </w:tc>
        <w:tc>
          <w:tcPr>
            <w:tcW w:w="16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each lender party thereto, and JPMorgan Chase Bank, N.A., as administrative agent.</w:t>
              </w:r>
            </w:hyperlink>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340" w:type="dxa"/>
            <w:vAlign w:val="bottom"/>
            <w:gridSpan w:val="7"/>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Amendment No. 1 to the Consulting Agreement, dated as of December 18, 2019, by and between National</w:t>
              </w:r>
            </w:hyperlink>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CineMedia, Inc. and Katherine L. Scherping.</w:t>
              </w:r>
            </w:hyperlink>
          </w:p>
        </w:tc>
        <w:tc>
          <w:tcPr>
            <w:tcW w:w="4420" w:type="dxa"/>
            <w:vAlign w:val="bottom"/>
            <w:tcBorders>
              <w:top w:val="single" w:sz="8" w:color="0000FF"/>
            </w:tcBorders>
            <w:gridSpan w:val="2"/>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Form of 2020 Stock Option Agreement. +</w:t>
              </w:r>
            </w:hyperlink>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Form of 2020 Restricted Stock Unit Agreement (Time Based). +</w:t>
              </w:r>
            </w:hyperlink>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Form of 2020 Restricted Stock Unit Agreement (Director). +</w:t>
              </w:r>
            </w:hyperlink>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Rule 13a-14(a) Certification of Chief Executive Officer and Interim PFO.</w:t>
              </w:r>
            </w:hyperlink>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of Chief Executive Officer and Interim PFO Pursuant to 18 U.S.C. Section 1350.</w:t>
              </w:r>
            </w:hyperlink>
          </w:p>
        </w:tc>
      </w:tr>
      <w:tr>
        <w:trPr>
          <w:trHeight w:val="270"/>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198" w:lineRule="exact"/>
        <w:rPr>
          <w:sz w:val="20"/>
          <w:szCs w:val="20"/>
          <w:color w:val="auto"/>
        </w:rPr>
      </w:pPr>
    </w:p>
    <w:p>
      <w:pPr>
        <w:ind w:left="800" w:hanging="76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800" w:hanging="76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800" w:hanging="765"/>
        <w:spacing w:after="0"/>
        <w:tabs>
          <w:tab w:leader="none" w:pos="80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Management contract.</w:t>
      </w:r>
    </w:p>
    <w:p>
      <w:pPr>
        <w:spacing w:after="0" w:line="63" w:lineRule="exact"/>
        <w:rPr>
          <w:sz w:val="20"/>
          <w:szCs w:val="20"/>
          <w:color w:val="auto"/>
        </w:rPr>
      </w:pPr>
    </w:p>
    <w:p>
      <w:pPr>
        <w:ind w:left="800" w:hanging="765"/>
        <w:spacing w:after="0"/>
        <w:tabs>
          <w:tab w:leader="none" w:pos="800" w:val="left"/>
        </w:tabs>
        <w:numPr>
          <w:ilvl w:val="0"/>
          <w:numId w:val="26"/>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to the Registrant's Current Report on for 8-K (File No. 001-33296) filed on May 1, 2020.</w:t>
      </w:r>
    </w:p>
    <w:p>
      <w:pPr>
        <w:spacing w:after="0" w:line="86" w:lineRule="exact"/>
        <w:rPr>
          <w:rFonts w:ascii="Arial" w:cs="Arial" w:eastAsia="Arial" w:hAnsi="Arial"/>
          <w:sz w:val="16"/>
          <w:szCs w:val="16"/>
          <w:i w:val="1"/>
          <w:iCs w:val="1"/>
          <w:color w:val="auto"/>
        </w:rPr>
      </w:pPr>
    </w:p>
    <w:p>
      <w:pPr>
        <w:ind w:left="800" w:hanging="765"/>
        <w:spacing w:after="0"/>
        <w:tabs>
          <w:tab w:leader="none" w:pos="800" w:val="left"/>
        </w:tabs>
        <w:numPr>
          <w:ilvl w:val="0"/>
          <w:numId w:val="26"/>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10.2 to the Registrant's Current Report on for 8-K (File No. 001-33296) filed on May 1, 2020.</w:t>
      </w:r>
    </w:p>
    <w:p>
      <w:pPr>
        <w:spacing w:after="0" w:line="86" w:lineRule="exact"/>
        <w:rPr>
          <w:rFonts w:ascii="Arial" w:cs="Arial" w:eastAsia="Arial" w:hAnsi="Arial"/>
          <w:sz w:val="16"/>
          <w:szCs w:val="16"/>
          <w:i w:val="1"/>
          <w:iCs w:val="1"/>
          <w:color w:val="auto"/>
        </w:rPr>
      </w:pPr>
    </w:p>
    <w:p>
      <w:pPr>
        <w:ind w:left="800" w:hanging="765"/>
        <w:spacing w:after="0"/>
        <w:tabs>
          <w:tab w:leader="none" w:pos="800" w:val="left"/>
        </w:tabs>
        <w:numPr>
          <w:ilvl w:val="0"/>
          <w:numId w:val="26"/>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to the Company’s current report on Form 8-K (File No. 001-33296) filed on May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300"/>
          </w:cols>
          <w:pgMar w:left="320" w:top="769" w:right="1279" w:bottom="1440" w:gutter="0" w:footer="0" w:header="0"/>
        </w:sectPr>
      </w:pPr>
    </w:p>
    <w:bookmarkStart w:id="45" w:name="page46"/>
    <w:bookmarkEnd w:id="45"/>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NATIONAL CINEMEDIA, INC.</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70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i w:val="1"/>
          <w:iCs w:val="1"/>
          <w:color w:val="auto"/>
        </w:rPr>
        <w:t>(Principal Executive Officer and Interim Principal Financial</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20"/>
          </w:cols>
          <w:pgMar w:left="320" w:top="769" w:right="7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Amendment to the Consulting Agreement</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WHEREAS, National CineMedia, Inc. (the “</w:t>
      </w:r>
      <w:r>
        <w:rPr>
          <w:rFonts w:ascii="Arial" w:cs="Arial" w:eastAsia="Arial" w:hAnsi="Arial"/>
          <w:sz w:val="18"/>
          <w:szCs w:val="18"/>
          <w:u w:val="single" w:color="auto"/>
          <w:color w:val="auto"/>
        </w:rPr>
        <w:t>Company</w:t>
      </w:r>
      <w:r>
        <w:rPr>
          <w:rFonts w:ascii="Arial" w:cs="Arial" w:eastAsia="Arial" w:hAnsi="Arial"/>
          <w:sz w:val="18"/>
          <w:szCs w:val="18"/>
          <w:color w:val="auto"/>
        </w:rPr>
        <w:t>”) desires to extend the Consultation Period (as defined in the Consulting Agreement) of KLS Advisors, Inc. (the “</w:t>
      </w:r>
      <w:r>
        <w:rPr>
          <w:rFonts w:ascii="Arial" w:cs="Arial" w:eastAsia="Arial" w:hAnsi="Arial"/>
          <w:sz w:val="18"/>
          <w:szCs w:val="18"/>
          <w:u w:val="single" w:color="auto"/>
          <w:color w:val="auto"/>
        </w:rPr>
        <w:t>Consulting Company</w:t>
      </w:r>
      <w:r>
        <w:rPr>
          <w:rFonts w:ascii="Arial" w:cs="Arial" w:eastAsia="Arial" w:hAnsi="Arial"/>
          <w:sz w:val="18"/>
          <w:szCs w:val="18"/>
          <w:color w:val="auto"/>
        </w:rPr>
        <w:t>”) and its president, Katherine L. Scherping (the “</w:t>
      </w:r>
      <w:r>
        <w:rPr>
          <w:rFonts w:ascii="Arial" w:cs="Arial" w:eastAsia="Arial" w:hAnsi="Arial"/>
          <w:sz w:val="18"/>
          <w:szCs w:val="18"/>
          <w:u w:val="single" w:color="auto"/>
          <w:color w:val="auto"/>
        </w:rPr>
        <w:t>Consultant</w:t>
      </w:r>
      <w:r>
        <w:rPr>
          <w:rFonts w:ascii="Arial" w:cs="Arial" w:eastAsia="Arial" w:hAnsi="Arial"/>
          <w:sz w:val="18"/>
          <w:szCs w:val="18"/>
          <w:color w:val="auto"/>
        </w:rPr>
        <w:t>”), set forth in the current Consulting Agreement dated December 18, 2019 (the “</w:t>
      </w:r>
      <w:r>
        <w:rPr>
          <w:rFonts w:ascii="Arial" w:cs="Arial" w:eastAsia="Arial" w:hAnsi="Arial"/>
          <w:sz w:val="18"/>
          <w:szCs w:val="18"/>
          <w:u w:val="single" w:color="auto"/>
          <w:color w:val="auto"/>
        </w:rPr>
        <w:t>Consulting Agreement</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Consulting Company desires to continue providing Services (as defined in the Consulting Agreement) to the Company; and</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and the Consulting Company have therefore agreed to amend the term of the Consulting Agreement as set forth in this Amendment to the Consulting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NOW, THEREFORE, in consideration of the mutual covenants and promises contained herein and other good and valuable consideration, the receipt and sufficiency of which is hereby acknowledged, the parties hereto agree to the following changes to the Consulting Agreement, effective as of the date specified on the signature pages hereto (the “Effective Date”):</w:t>
      </w:r>
    </w:p>
    <w:p>
      <w:pPr>
        <w:spacing w:after="0" w:line="184"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sentence of Section 3.a. of the Consulting Agreement shall be deleted in its entirety and replaced with the following:</w:t>
      </w:r>
    </w:p>
    <w:p>
      <w:pPr>
        <w:spacing w:after="0" w:line="225" w:lineRule="exact"/>
        <w:rPr>
          <w:sz w:val="20"/>
          <w:szCs w:val="20"/>
          <w:color w:val="auto"/>
        </w:rPr>
      </w:pPr>
    </w:p>
    <w:p>
      <w:pPr>
        <w:ind w:left="1960" w:right="420"/>
        <w:spacing w:after="0" w:line="263" w:lineRule="auto"/>
        <w:rPr>
          <w:sz w:val="20"/>
          <w:szCs w:val="20"/>
          <w:color w:val="auto"/>
        </w:rPr>
      </w:pPr>
      <w:r>
        <w:rPr>
          <w:rFonts w:ascii="Arial" w:cs="Arial" w:eastAsia="Arial" w:hAnsi="Arial"/>
          <w:sz w:val="18"/>
          <w:szCs w:val="18"/>
          <w:color w:val="auto"/>
        </w:rPr>
        <w:t>“Subject to the terms and conditions hereinafter set forth, the term of this Agreement shall commence on the Consulting Effective Date and continue until September 13, 2020, which is the six-month anniversary of the Consulting Effective Date (such period, the “</w:t>
      </w:r>
      <w:r>
        <w:rPr>
          <w:rFonts w:ascii="Arial" w:cs="Arial" w:eastAsia="Arial" w:hAnsi="Arial"/>
          <w:sz w:val="18"/>
          <w:szCs w:val="18"/>
          <w:u w:val="single" w:color="auto"/>
          <w:color w:val="auto"/>
        </w:rPr>
        <w:t>Consultation Period</w:t>
      </w:r>
      <w:r>
        <w:rPr>
          <w:rFonts w:ascii="Arial" w:cs="Arial" w:eastAsia="Arial" w:hAnsi="Arial"/>
          <w:sz w:val="18"/>
          <w:szCs w:val="18"/>
          <w:color w:val="auto"/>
        </w:rPr>
        <w:t>”).</w:t>
      </w:r>
    </w:p>
    <w:p>
      <w:pPr>
        <w:spacing w:after="0" w:line="184" w:lineRule="exact"/>
        <w:rPr>
          <w:sz w:val="20"/>
          <w:szCs w:val="20"/>
          <w:color w:val="auto"/>
        </w:rPr>
      </w:pPr>
    </w:p>
    <w:p>
      <w:pPr>
        <w:ind w:left="130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expressly modified herein, the Consulting Agreement shall remain in full force and effect, and all terms and conditions set forth in the Consulting Agreement shall apply to this Amendment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Amendment as of the day and year set forth below.</w:t>
      </w:r>
    </w:p>
    <w:p>
      <w:pPr>
        <w:sectPr>
          <w:pgSz w:w="11900" w:h="16838" w:orient="portrait"/>
          <w:cols w:equalWidth="0" w:num="1">
            <w:col w:w="11240"/>
          </w:cols>
          <w:pgMar w:left="320" w:top="553" w:right="339" w:bottom="1440" w:gutter="0" w:footer="0" w:header="0"/>
        </w:sect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National CineMedia, Inc.</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2760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Thomas F. Lesinski</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Title: Chief Executive Officer</w:t>
      </w:r>
    </w:p>
    <w:p>
      <w:pPr>
        <w:spacing w:after="0" w:line="3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27603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KLS Advisors,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2811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By: Katherine L. Scherping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2811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320" w:space="720"/>
            <w:col w:w="5200"/>
          </w:cols>
          <w:pgMar w:left="320" w:top="553"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NONSTATUTORY STOCK OPTION AGREEMENT</w:t>
      </w:r>
    </w:p>
    <w:p>
      <w:pPr>
        <w:spacing w:after="0" w:line="14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The Compensation Committee of the Board of Directors of National CineMedia,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granted an option under the National CineMedia, Inc. 2020 Omnibus Incentive Plan (the</w:t>
      </w:r>
      <w:r>
        <w:rPr>
          <w:rFonts w:ascii="Arial" w:cs="Arial" w:eastAsia="Arial" w:hAnsi="Arial"/>
          <w:sz w:val="19"/>
          <w:szCs w:val="19"/>
          <w:b w:val="1"/>
          <w:bCs w:val="1"/>
          <w:color w:val="auto"/>
        </w:rPr>
        <w:t xml:space="preserve"> “Plan”</w:t>
      </w:r>
      <w:r>
        <w:rPr>
          <w:rFonts w:ascii="Arial" w:cs="Arial" w:eastAsia="Arial" w:hAnsi="Arial"/>
          <w:sz w:val="19"/>
          <w:szCs w:val="19"/>
          <w:color w:val="auto"/>
        </w:rPr>
        <w:t>)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$0.01 par value per share, of the Company (</w:t>
      </w:r>
      <w:r>
        <w:rPr>
          <w:rFonts w:ascii="Arial" w:cs="Arial" w:eastAsia="Arial" w:hAnsi="Arial"/>
          <w:sz w:val="19"/>
          <w:szCs w:val="19"/>
          <w:b w:val="1"/>
          <w:bCs w:val="1"/>
          <w:color w:val="auto"/>
        </w:rPr>
        <w:t>“Stock”</w:t>
      </w:r>
      <w:r>
        <w:rPr>
          <w:rFonts w:ascii="Arial" w:cs="Arial" w:eastAsia="Arial" w:hAnsi="Arial"/>
          <w:sz w:val="19"/>
          <w:szCs w:val="19"/>
          <w:color w:val="auto"/>
        </w:rPr>
        <w:t xml:space="preserve">) to the Optionee named below. This Stock Option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evidences the terms of the Company’s grant of an Option to Optionee. Any capitalized term in this Agreement shall have the meaning ascribed to it in this Agreement or the Plan, as applicable.</w:t>
      </w:r>
    </w:p>
    <w:p>
      <w:pPr>
        <w:spacing w:after="0" w:line="141" w:lineRule="exact"/>
        <w:rPr>
          <w:sz w:val="20"/>
          <w:szCs w:val="20"/>
          <w:color w:val="auto"/>
        </w:rPr>
      </w:pPr>
    </w:p>
    <w:p>
      <w:pPr>
        <w:ind w:right="8800" w:firstLine="8"/>
        <w:spacing w:after="0" w:line="454" w:lineRule="auto"/>
        <w:tabs>
          <w:tab w:leader="none" w:pos="39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GRANT Name of Optionee:</w:t>
      </w:r>
    </w:p>
    <w:p>
      <w:pPr>
        <w:spacing w:after="0" w:line="1" w:lineRule="exact"/>
        <w:rPr>
          <w:rFonts w:ascii="Arial" w:cs="Arial" w:eastAsia="Arial" w:hAnsi="Arial"/>
          <w:sz w:val="22"/>
          <w:szCs w:val="22"/>
          <w:b w:val="1"/>
          <w:bCs w:val="1"/>
          <w:color w:val="auto"/>
        </w:rPr>
      </w:pPr>
    </w:p>
    <w:p>
      <w:pPr>
        <w:ind w:right="6520"/>
        <w:spacing w:after="0" w:line="448" w:lineRule="auto"/>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of Stock Covered by the Option: Exercise Price per Share:</w:t>
      </w:r>
    </w:p>
    <w:p>
      <w:pPr>
        <w:ind w:right="9680"/>
        <w:spacing w:after="0" w:line="526" w:lineRule="auto"/>
        <w:rPr>
          <w:rFonts w:ascii="Arial" w:cs="Arial" w:eastAsia="Arial" w:hAnsi="Arial"/>
          <w:sz w:val="22"/>
          <w:szCs w:val="22"/>
          <w:b w:val="1"/>
          <w:bCs w:val="1"/>
          <w:color w:val="auto"/>
        </w:rPr>
      </w:pPr>
      <w:r>
        <w:rPr>
          <w:rFonts w:ascii="Arial" w:cs="Arial" w:eastAsia="Arial" w:hAnsi="Arial"/>
          <w:sz w:val="19"/>
          <w:szCs w:val="19"/>
          <w:b w:val="1"/>
          <w:bCs w:val="1"/>
          <w:color w:val="auto"/>
        </w:rPr>
        <w:t>Grant Date: Expiration Date:</w:t>
      </w: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Option: </w:t>
      </w:r>
      <w:r>
        <w:rPr>
          <w:rFonts w:ascii="Arial" w:cs="Arial" w:eastAsia="Arial" w:hAnsi="Arial"/>
          <w:sz w:val="22"/>
          <w:szCs w:val="22"/>
          <w:color w:val="auto"/>
        </w:rPr>
        <w:t>NonStatutory Stock Option</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Except as provided otherwise in this Agreement and the Plan (including but not limited to Section 10(c)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provides for accelerated vesting upon certain terminations in connection with a Change of Control), and subject to Optionee’s continuous Service (as defined below), Optionee’s right to purchase shares of Stock under this Option vests, as set forth below.</w:t>
      </w:r>
    </w:p>
    <w:p>
      <w:pPr>
        <w:spacing w:after="0" w:line="334" w:lineRule="exact"/>
        <w:rPr>
          <w:sz w:val="20"/>
          <w:szCs w:val="20"/>
          <w:color w:val="auto"/>
        </w:rPr>
      </w:pPr>
    </w:p>
    <w:p>
      <w:pPr>
        <w:ind w:left="1000"/>
        <w:spacing w:after="0"/>
        <w:tabs>
          <w:tab w:leader="none" w:pos="4100" w:val="left"/>
          <w:tab w:leader="none" w:pos="7920" w:val="left"/>
        </w:tabs>
        <w:rPr>
          <w:sz w:val="20"/>
          <w:szCs w:val="20"/>
          <w:color w:val="auto"/>
        </w:rPr>
      </w:pPr>
      <w:r>
        <w:rPr>
          <w:rFonts w:ascii="Arial" w:cs="Arial" w:eastAsia="Arial" w:hAnsi="Arial"/>
          <w:sz w:val="22"/>
          <w:szCs w:val="22"/>
          <w:u w:val="single" w:color="auto"/>
          <w:color w:val="auto"/>
        </w:rPr>
        <w:t>Service Vesting Date</w:t>
      </w:r>
      <w:r>
        <w:rPr>
          <w:sz w:val="20"/>
          <w:szCs w:val="20"/>
          <w:color w:val="auto"/>
        </w:rPr>
        <w:tab/>
      </w:r>
      <w:r>
        <w:rPr>
          <w:rFonts w:ascii="Arial" w:cs="Arial" w:eastAsia="Arial" w:hAnsi="Arial"/>
          <w:sz w:val="22"/>
          <w:szCs w:val="22"/>
          <w:u w:val="single" w:color="auto"/>
          <w:color w:val="auto"/>
        </w:rPr>
        <w:t>Percentage of Shares that Vest</w:t>
      </w:r>
      <w:r>
        <w:rPr>
          <w:sz w:val="20"/>
          <w:szCs w:val="20"/>
          <w:color w:val="auto"/>
        </w:rPr>
        <w:tab/>
      </w:r>
      <w:r>
        <w:rPr>
          <w:rFonts w:ascii="Arial" w:cs="Arial" w:eastAsia="Arial" w:hAnsi="Arial"/>
          <w:sz w:val="19"/>
          <w:szCs w:val="19"/>
          <w:u w:val="single" w:color="auto"/>
          <w:color w:val="auto"/>
        </w:rPr>
        <w:t>Number of Shares that Vest</w:t>
      </w:r>
    </w:p>
    <w:p>
      <w:pPr>
        <w:sectPr>
          <w:pgSz w:w="11900" w:h="16838" w:orient="portrait"/>
          <w:cols w:equalWidth="0" w:num="1">
            <w:col w:w="11240"/>
          </w:cols>
          <w:pgMar w:left="320" w:top="774" w:right="339" w:bottom="1440" w:gutter="0" w:footer="0" w:header="0"/>
        </w:sectPr>
      </w:pPr>
    </w:p>
    <w:bookmarkStart w:id="48" w:name="page49"/>
    <w:bookmarkEnd w:id="48"/>
    <w:p>
      <w:pPr>
        <w:spacing w:after="0"/>
        <w:tabs>
          <w:tab w:leader="none" w:pos="36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21"/>
          <w:szCs w:val="21"/>
          <w:b w:val="1"/>
          <w:bCs w:val="1"/>
          <w:color w:val="auto"/>
        </w:rPr>
        <w:t>STOCK OPTION AGREEMENT</w:t>
      </w:r>
    </w:p>
    <w:p>
      <w:pPr>
        <w:spacing w:after="0" w:line="233" w:lineRule="exact"/>
        <w:rPr>
          <w:sz w:val="20"/>
          <w:szCs w:val="20"/>
          <w:color w:val="auto"/>
        </w:rPr>
      </w:pPr>
    </w:p>
    <w:p>
      <w:pPr>
        <w:ind w:right="20" w:firstLine="8"/>
        <w:spacing w:after="0" w:line="298" w:lineRule="auto"/>
        <w:tabs>
          <w:tab w:leader="none" w:pos="342"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Option. </w:t>
      </w:r>
      <w:r>
        <w:rPr>
          <w:rFonts w:ascii="Arial" w:cs="Arial" w:eastAsia="Arial" w:hAnsi="Arial"/>
          <w:sz w:val="19"/>
          <w:szCs w:val="19"/>
          <w:color w:val="auto"/>
        </w:rPr>
        <w:t>Subject to the terms and conditions of this Agreement and the Plan, the Company granted to Optionee, an</w:t>
      </w:r>
      <w:r>
        <w:rPr>
          <w:rFonts w:ascii="Arial" w:cs="Arial" w:eastAsia="Arial" w:hAnsi="Arial"/>
          <w:sz w:val="19"/>
          <w:szCs w:val="19"/>
          <w:b w:val="1"/>
          <w:bCs w:val="1"/>
          <w:color w:val="auto"/>
        </w:rPr>
        <w:t xml:space="preserve"> </w:t>
      </w:r>
      <w:r>
        <w:rPr>
          <w:rFonts w:ascii="Arial" w:cs="Arial" w:eastAsia="Arial" w:hAnsi="Arial"/>
          <w:sz w:val="19"/>
          <w:szCs w:val="19"/>
          <w:color w:val="auto"/>
        </w:rPr>
        <w:t>Option to purchase the number of shares of Stock, at the Exercise Price (each as set forth on the cover page of this Agreement), and subject to the terms and conditions of the Plan, which is incorporated herein by reference. In the event of a conflict between the terms and conditions of the Plan and this Agreement, the terms and conditions of the Plan shall govern. Optionee hereby acknowledges and agrees that this Agreement (including without limitation the number of shares of Stock covered by the Option set forth in the Notice of Grant) and the Plan set forth the entirety of Optionee’s entitlement to the time-based stock option award.</w:t>
      </w:r>
    </w:p>
    <w:p>
      <w:pPr>
        <w:spacing w:after="0" w:line="140" w:lineRule="exact"/>
        <w:rPr>
          <w:rFonts w:ascii="Arial" w:cs="Arial" w:eastAsia="Arial" w:hAnsi="Arial"/>
          <w:sz w:val="19"/>
          <w:szCs w:val="19"/>
          <w:b w:val="1"/>
          <w:bCs w:val="1"/>
          <w:color w:val="auto"/>
        </w:rPr>
      </w:pPr>
    </w:p>
    <w:p>
      <w:pPr>
        <w:ind w:left="360" w:hanging="352"/>
        <w:spacing w:after="0"/>
        <w:tabs>
          <w:tab w:leader="none" w:pos="3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Type of Option</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Option is a Nonstatutory Stock Option.</w:t>
      </w:r>
    </w:p>
    <w:p>
      <w:pPr>
        <w:spacing w:after="0" w:line="233" w:lineRule="exact"/>
        <w:rPr>
          <w:rFonts w:ascii="Arial" w:cs="Arial" w:eastAsia="Arial" w:hAnsi="Arial"/>
          <w:sz w:val="22"/>
          <w:szCs w:val="22"/>
          <w:b w:val="1"/>
          <w:bCs w:val="1"/>
          <w:color w:val="auto"/>
        </w:rPr>
      </w:pPr>
    </w:p>
    <w:p>
      <w:pPr>
        <w:ind w:right="20" w:firstLine="8"/>
        <w:spacing w:after="0" w:line="292" w:lineRule="auto"/>
        <w:tabs>
          <w:tab w:leader="none" w:pos="342"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period between the Grant Date and the final Service Vesting Date is referred to as the “</w:t>
      </w:r>
      <w:r>
        <w:rPr>
          <w:rFonts w:ascii="Arial" w:cs="Arial" w:eastAsia="Arial" w:hAnsi="Arial"/>
          <w:sz w:val="19"/>
          <w:szCs w:val="19"/>
          <w:b w:val="1"/>
          <w:bCs w:val="1"/>
          <w:color w:val="auto"/>
        </w:rPr>
        <w:t>Vesting Period</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is only exercisable, in whole or in part, before it expires and then only with respect to the vested portion of the Option. Subject to the preceding sentence, Optionee may exercise this Option, by following the procedures set forth in this Agreement. Except as provided otherwise in this Agreement and the Plan (including but not limited to Section 10(c) of the Plan which provides for accelerated vesting upon certain terminations in connection with a Change of Control), Optionee’s right to purchase shares of Stock under this Option vests as set forth on the Vesting Schedule in the Notice of Grant based on continuous service to the Company or any other entity the service providers of which are eligible to receive Awards under the Plan from the Grant Date through the applicable vesting date as an employee, director, consultant or advisor (herein referred to as “</w:t>
      </w:r>
      <w:r>
        <w:rPr>
          <w:rFonts w:ascii="Arial" w:cs="Arial" w:eastAsia="Arial" w:hAnsi="Arial"/>
          <w:sz w:val="19"/>
          <w:szCs w:val="19"/>
          <w:b w:val="1"/>
          <w:bCs w:val="1"/>
          <w:color w:val="auto"/>
        </w:rPr>
        <w:t>Service</w:t>
      </w:r>
      <w:r>
        <w:rPr>
          <w:rFonts w:ascii="Arial" w:cs="Arial" w:eastAsia="Arial" w:hAnsi="Arial"/>
          <w:sz w:val="19"/>
          <w:szCs w:val="19"/>
          <w:color w:val="auto"/>
        </w:rPr>
        <w:t>”). No additional shares will vest after Optionee’s termination of Service for any reason.</w:t>
      </w:r>
    </w:p>
    <w:p>
      <w:pPr>
        <w:spacing w:after="0" w:line="145" w:lineRule="exact"/>
        <w:rPr>
          <w:rFonts w:ascii="Arial" w:cs="Arial" w:eastAsia="Arial" w:hAnsi="Arial"/>
          <w:sz w:val="19"/>
          <w:szCs w:val="19"/>
          <w:b w:val="1"/>
          <w:bCs w:val="1"/>
          <w:color w:val="auto"/>
        </w:rPr>
      </w:pPr>
    </w:p>
    <w:p>
      <w:pPr>
        <w:ind w:right="40" w:firstLine="8"/>
        <w:spacing w:after="0" w:line="256" w:lineRule="auto"/>
        <w:tabs>
          <w:tab w:leader="none" w:pos="342"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Term; Expiration Date. </w:t>
      </w:r>
      <w:r>
        <w:rPr>
          <w:rFonts w:ascii="Arial" w:cs="Arial" w:eastAsia="Arial" w:hAnsi="Arial"/>
          <w:sz w:val="22"/>
          <w:szCs w:val="22"/>
          <w:color w:val="auto"/>
        </w:rPr>
        <w:t>This Option shall have a maximum term of ten (10) years measured from the original Grant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(as set forth in the table on the cover sheet of this Agreement) and shall accordingly expire at the close of business at Company headquarters on the tenth anniversary of the Grant Date, unless sooner terminated in accordance with Section 5 of this Agreement (the </w:t>
      </w:r>
      <w:r>
        <w:rPr>
          <w:rFonts w:ascii="Arial" w:cs="Arial" w:eastAsia="Arial" w:hAnsi="Arial"/>
          <w:sz w:val="22"/>
          <w:szCs w:val="22"/>
          <w:b w:val="1"/>
          <w:bCs w:val="1"/>
          <w:color w:val="auto"/>
        </w:rPr>
        <w:t>“Expiration Date”</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ind w:right="180" w:firstLine="8"/>
        <w:spacing w:after="0" w:line="282" w:lineRule="auto"/>
        <w:tabs>
          <w:tab w:leader="none" w:pos="342"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Service; Expiration of Option</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If Optionee terminates Service with the Company and its affiliates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Expiration Date, the following shall apply:</w:t>
      </w:r>
    </w:p>
    <w:p>
      <w:pPr>
        <w:spacing w:after="0" w:line="148" w:lineRule="exact"/>
        <w:rPr>
          <w:rFonts w:ascii="Arial" w:cs="Arial" w:eastAsia="Arial" w:hAnsi="Arial"/>
          <w:sz w:val="22"/>
          <w:szCs w:val="22"/>
          <w:b w:val="1"/>
          <w:bCs w:val="1"/>
          <w:color w:val="auto"/>
        </w:rPr>
      </w:pPr>
    </w:p>
    <w:p>
      <w:pPr>
        <w:ind w:firstLine="656"/>
        <w:spacing w:after="0" w:line="269" w:lineRule="auto"/>
        <w:tabs>
          <w:tab w:leader="none" w:pos="1080" w:val="left"/>
        </w:tabs>
        <w:numPr>
          <w:ilvl w:val="1"/>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By the Company Without Cause or By Optionee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Optionee’s Service is terminated by the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without Cause, then the Optionee shall be entitled to earn a percentage of the Option (the “</w:t>
      </w:r>
      <w:r>
        <w:rPr>
          <w:rFonts w:ascii="Arial" w:cs="Arial" w:eastAsia="Arial" w:hAnsi="Arial"/>
          <w:sz w:val="20"/>
          <w:szCs w:val="20"/>
          <w:b w:val="1"/>
          <w:bCs w:val="1"/>
          <w:color w:val="auto"/>
        </w:rPr>
        <w:t>Retained Option</w:t>
      </w:r>
      <w:r>
        <w:rPr>
          <w:rFonts w:ascii="Arial" w:cs="Arial" w:eastAsia="Arial" w:hAnsi="Arial"/>
          <w:sz w:val="20"/>
          <w:szCs w:val="20"/>
          <w:color w:val="auto"/>
        </w:rPr>
        <w:t>”) equal to the ratio that the number of days of Service of Optionee during the Vesting Period bears to the total number of days in the Vesting Period. The Retained Option will immediately vest and will expire at the close of business at Company headquarters on the 180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Optionee terminated Service, but in no event after the Expiration Date. If Optionee terminates Service, then the vested portion of the Option as of the date of termination of Service will expire at the close of business at Company headquarters on the 90</w:t>
      </w:r>
      <w:r>
        <w:rPr>
          <w:rFonts w:ascii="Arial" w:cs="Arial" w:eastAsia="Arial" w:hAnsi="Arial"/>
          <w:sz w:val="13"/>
          <w:szCs w:val="13"/>
          <w:color w:val="auto"/>
        </w:rPr>
        <w:t>th</w:t>
      </w:r>
      <w:r>
        <w:rPr>
          <w:rFonts w:ascii="Arial" w:cs="Arial" w:eastAsia="Arial" w:hAnsi="Arial"/>
          <w:sz w:val="20"/>
          <w:szCs w:val="20"/>
          <w:color w:val="auto"/>
        </w:rPr>
        <w:t xml:space="preserve"> day after Optionee terminates Service, but in no event after the Expiration Date. The unvested portion of the Option automatically expires on the date of termination of Service. Section 10(c) of the Plan provides for accelerated vesting upon certain terminations in connection with a Change of Control.</w:t>
      </w:r>
    </w:p>
    <w:p>
      <w:pPr>
        <w:spacing w:after="0" w:line="167" w:lineRule="exact"/>
        <w:rPr>
          <w:rFonts w:ascii="Arial" w:cs="Arial" w:eastAsia="Arial" w:hAnsi="Arial"/>
          <w:sz w:val="20"/>
          <w:szCs w:val="20"/>
          <w:b w:val="1"/>
          <w:bCs w:val="1"/>
          <w:color w:val="auto"/>
        </w:rPr>
      </w:pPr>
    </w:p>
    <w:p>
      <w:pPr>
        <w:ind w:firstLine="656"/>
        <w:spacing w:after="0" w:line="262" w:lineRule="auto"/>
        <w:tabs>
          <w:tab w:leader="none" w:pos="1092"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If Optionee’s Service is terminated by the Company or an affiliate for Cause, then Optionee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immediately forfeit all rights to the Option (whether or not vested) and the Option shall immediately expire on the date of termination of Service.</w:t>
      </w:r>
    </w:p>
    <w:p>
      <w:pPr>
        <w:sectPr>
          <w:pgSz w:w="11900" w:h="16838" w:orient="portrait"/>
          <w:cols w:equalWidth="0" w:num="1">
            <w:col w:w="11220"/>
          </w:cols>
          <w:pgMar w:left="320" w:top="558" w:right="359" w:bottom="1440" w:gutter="0" w:footer="0" w:header="0"/>
        </w:sectPr>
      </w:pPr>
    </w:p>
    <w:bookmarkStart w:id="49" w:name="page50"/>
    <w:bookmarkEnd w:id="49"/>
    <w:p>
      <w:pPr>
        <w:ind w:left="-8" w:firstLine="656"/>
        <w:spacing w:after="0" w:line="272" w:lineRule="auto"/>
        <w:tabs>
          <w:tab w:leader="none" w:pos="1060" w:val="left"/>
        </w:tabs>
        <w:numPr>
          <w:ilvl w:val="1"/>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Disability</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Optionee terminates Service because of Optionee’s disability (as defined in Section 22(e)(3) of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Internal Revenue Code), then the vested portion of the Option will expire at the close of business at Company headquarters on the date twelve (12) months after Optionee’s termination of Service, but in no event after the Expiration Date. The unvested portion of the Option automatically expires on the date of termination of Service.</w:t>
      </w:r>
    </w:p>
    <w:p>
      <w:pPr>
        <w:spacing w:after="0" w:line="160" w:lineRule="exact"/>
        <w:rPr>
          <w:rFonts w:ascii="Arial" w:cs="Arial" w:eastAsia="Arial" w:hAnsi="Arial"/>
          <w:sz w:val="21"/>
          <w:szCs w:val="21"/>
          <w:b w:val="1"/>
          <w:bCs w:val="1"/>
          <w:color w:val="auto"/>
        </w:rPr>
      </w:pPr>
    </w:p>
    <w:p>
      <w:pPr>
        <w:ind w:left="-8" w:right="40" w:firstLine="656"/>
        <w:spacing w:after="0" w:line="261" w:lineRule="auto"/>
        <w:tabs>
          <w:tab w:leader="none" w:pos="1084" w:val="left"/>
        </w:tabs>
        <w:numPr>
          <w:ilvl w:val="1"/>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Death</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Optionee terminates Service because of Optionee’s death, then the vested portion of the Option will expire</w:t>
      </w:r>
      <w:r>
        <w:rPr>
          <w:rFonts w:ascii="Arial" w:cs="Arial" w:eastAsia="Arial" w:hAnsi="Arial"/>
          <w:sz w:val="21"/>
          <w:szCs w:val="21"/>
          <w:b w:val="1"/>
          <w:bCs w:val="1"/>
          <w:color w:val="auto"/>
        </w:rPr>
        <w:t xml:space="preserve"> </w:t>
      </w:r>
      <w:r>
        <w:rPr>
          <w:rFonts w:ascii="Arial" w:cs="Arial" w:eastAsia="Arial" w:hAnsi="Arial"/>
          <w:sz w:val="21"/>
          <w:szCs w:val="21"/>
          <w:color w:val="auto"/>
        </w:rPr>
        <w:t>at the close of business at Company headquarters on the date 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applicable post-termination exercise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174" w:lineRule="exact"/>
        <w:rPr>
          <w:rFonts w:ascii="Arial" w:cs="Arial" w:eastAsia="Arial" w:hAnsi="Arial"/>
          <w:sz w:val="21"/>
          <w:szCs w:val="21"/>
          <w:b w:val="1"/>
          <w:bCs w:val="1"/>
          <w:color w:val="auto"/>
        </w:rPr>
      </w:pPr>
    </w:p>
    <w:p>
      <w:pPr>
        <w:ind w:left="-8" w:right="20" w:firstLine="8"/>
        <w:spacing w:after="0" w:line="263" w:lineRule="auto"/>
        <w:tabs>
          <w:tab w:leader="none" w:pos="334"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Leave of Absence. </w:t>
      </w:r>
      <w:r>
        <w:rPr>
          <w:rFonts w:ascii="Arial" w:cs="Arial" w:eastAsia="Arial" w:hAnsi="Arial"/>
          <w:sz w:val="21"/>
          <w:szCs w:val="21"/>
          <w:color w:val="auto"/>
        </w:rPr>
        <w:t>For purposes of the Option, Service does not terminate when Optionee goes on 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bona fide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leave of absence that was approved by the Company or an affiliate 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Compensation Committee determines, in its sole discretion, which leaves of absence count for this purpose, and when Service terminates for all purposes under the Plan.</w:t>
      </w:r>
    </w:p>
    <w:p>
      <w:pPr>
        <w:spacing w:after="0" w:line="172" w:lineRule="exact"/>
        <w:rPr>
          <w:rFonts w:ascii="Arial" w:cs="Arial" w:eastAsia="Arial" w:hAnsi="Arial"/>
          <w:sz w:val="21"/>
          <w:szCs w:val="21"/>
          <w:b w:val="1"/>
          <w:bCs w:val="1"/>
          <w:color w:val="auto"/>
        </w:rPr>
      </w:pPr>
    </w:p>
    <w:p>
      <w:pPr>
        <w:ind w:left="352" w:hanging="352"/>
        <w:spacing w:after="0"/>
        <w:tabs>
          <w:tab w:leader="none" w:pos="35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Option Exercise</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8" w:right="200" w:firstLine="656"/>
        <w:spacing w:after="0" w:line="282" w:lineRule="auto"/>
        <w:tabs>
          <w:tab w:leader="none" w:pos="1072"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 to Exercise. </w:t>
      </w:r>
      <w:r>
        <w:rPr>
          <w:rFonts w:ascii="Arial" w:cs="Arial" w:eastAsia="Arial" w:hAnsi="Arial"/>
          <w:sz w:val="22"/>
          <w:szCs w:val="22"/>
          <w:color w:val="auto"/>
        </w:rPr>
        <w:t>The Option shall be exercisable on or before the Expiration Date in accordance with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schedule set forth in Section 3.</w:t>
      </w:r>
    </w:p>
    <w:p>
      <w:pPr>
        <w:spacing w:after="0" w:line="148" w:lineRule="exact"/>
        <w:rPr>
          <w:rFonts w:ascii="Arial" w:cs="Arial" w:eastAsia="Arial" w:hAnsi="Arial"/>
          <w:sz w:val="22"/>
          <w:szCs w:val="22"/>
          <w:b w:val="1"/>
          <w:bCs w:val="1"/>
          <w:color w:val="auto"/>
        </w:rPr>
      </w:pPr>
    </w:p>
    <w:p>
      <w:pPr>
        <w:ind w:left="-8" w:right="40" w:firstLine="656"/>
        <w:spacing w:after="0" w:line="261" w:lineRule="auto"/>
        <w:tabs>
          <w:tab w:leader="none" w:pos="1084" w:val="left"/>
        </w:tabs>
        <w:numPr>
          <w:ilvl w:val="1"/>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Notice of Exercise</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shall be exercised by delivery of written notice to the Compensation Committee (or</w:t>
      </w:r>
      <w:r>
        <w:rPr>
          <w:rFonts w:ascii="Arial" w:cs="Arial" w:eastAsia="Arial" w:hAnsi="Arial"/>
          <w:sz w:val="21"/>
          <w:szCs w:val="21"/>
          <w:b w:val="1"/>
          <w:bCs w:val="1"/>
          <w:color w:val="auto"/>
        </w:rPr>
        <w:t xml:space="preserve"> </w:t>
      </w:r>
      <w:r>
        <w:rPr>
          <w:rFonts w:ascii="Arial" w:cs="Arial" w:eastAsia="Arial" w:hAnsi="Arial"/>
          <w:sz w:val="21"/>
          <w:szCs w:val="21"/>
          <w:color w:val="auto"/>
        </w:rPr>
        <w:t>an officer of the Company designated by the Compensation Committee) on any business day, at the Company’s principal office, on the form specified by the Company (which form may be electronic). The notice shall specify the number of shares of Stock to be purchased, accompanied by full payment of the Exercise Price for the shares being purchased in the manner permitted under Section 7(c) of this Agreement or otherwise permitted under the Plan.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174" w:lineRule="exact"/>
        <w:rPr>
          <w:rFonts w:ascii="Arial" w:cs="Arial" w:eastAsia="Arial" w:hAnsi="Arial"/>
          <w:sz w:val="21"/>
          <w:szCs w:val="21"/>
          <w:b w:val="1"/>
          <w:bCs w:val="1"/>
          <w:color w:val="auto"/>
        </w:rPr>
      </w:pPr>
    </w:p>
    <w:p>
      <w:pPr>
        <w:ind w:left="-8" w:right="60" w:firstLine="656"/>
        <w:spacing w:after="0" w:line="282" w:lineRule="auto"/>
        <w:tabs>
          <w:tab w:leader="none" w:pos="1060"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Exercise Price</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the Exercise Price for the number of shares of Stock being purchased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in one (or a combination) of the following forms:</w:t>
      </w:r>
    </w:p>
    <w:p>
      <w:pPr>
        <w:spacing w:after="0" w:line="154" w:lineRule="exact"/>
        <w:rPr>
          <w:rFonts w:ascii="Arial" w:cs="Arial" w:eastAsia="Arial" w:hAnsi="Arial"/>
          <w:sz w:val="22"/>
          <w:szCs w:val="22"/>
          <w:b w:val="1"/>
          <w:bCs w:val="1"/>
          <w:color w:val="auto"/>
        </w:rPr>
      </w:pPr>
    </w:p>
    <w:p>
      <w:pPr>
        <w:ind w:left="1672" w:hanging="376"/>
        <w:spacing w:after="0"/>
        <w:tabs>
          <w:tab w:leader="none" w:pos="1672" w:val="left"/>
        </w:tabs>
        <w:numPr>
          <w:ilvl w:val="2"/>
          <w:numId w:val="32"/>
        </w:numPr>
        <w:rPr>
          <w:rFonts w:ascii="Arial" w:cs="Arial" w:eastAsia="Arial" w:hAnsi="Arial"/>
          <w:sz w:val="22"/>
          <w:szCs w:val="22"/>
          <w:color w:val="auto"/>
        </w:rPr>
      </w:pPr>
      <w:r>
        <w:rPr>
          <w:rFonts w:ascii="Arial" w:cs="Arial" w:eastAsia="Arial" w:hAnsi="Arial"/>
          <w:sz w:val="22"/>
          <w:szCs w:val="22"/>
          <w:color w:val="auto"/>
        </w:rPr>
        <w:t>Cash or cash equivalents acceptable to the Company.</w:t>
      </w:r>
    </w:p>
    <w:p>
      <w:pPr>
        <w:spacing w:after="0" w:line="233" w:lineRule="exact"/>
        <w:rPr>
          <w:rFonts w:ascii="Arial" w:cs="Arial" w:eastAsia="Arial" w:hAnsi="Arial"/>
          <w:sz w:val="22"/>
          <w:szCs w:val="22"/>
          <w:color w:val="auto"/>
        </w:rPr>
      </w:pPr>
    </w:p>
    <w:p>
      <w:pPr>
        <w:ind w:left="652" w:right="100" w:firstLine="644"/>
        <w:spacing w:after="0" w:line="276" w:lineRule="auto"/>
        <w:tabs>
          <w:tab w:leader="none" w:pos="1744" w:val="left"/>
        </w:tabs>
        <w:numPr>
          <w:ilvl w:val="2"/>
          <w:numId w:val="32"/>
        </w:numPr>
        <w:rPr>
          <w:rFonts w:ascii="Arial" w:cs="Arial" w:eastAsia="Arial" w:hAnsi="Arial"/>
          <w:sz w:val="22"/>
          <w:szCs w:val="22"/>
          <w:color w:val="auto"/>
        </w:rPr>
      </w:pPr>
      <w:r>
        <w:rPr>
          <w:rFonts w:ascii="Arial" w:cs="Arial" w:eastAsia="Arial" w:hAnsi="Arial"/>
          <w:sz w:val="22"/>
          <w:szCs w:val="22"/>
          <w:color w:val="auto"/>
        </w:rPr>
        <w:t>Shares of Stock which have already been owned by Optionee (purchased on the open market or owned for at least six months or such other period designated by the Compensation</w:t>
      </w:r>
    </w:p>
    <w:p>
      <w:pPr>
        <w:sectPr>
          <w:pgSz w:w="11900" w:h="16838" w:orient="portrait"/>
          <w:cols w:equalWidth="0" w:num="1">
            <w:col w:w="11232"/>
          </w:cols>
          <w:pgMar w:left="328" w:top="558" w:right="339" w:bottom="1440" w:gutter="0" w:footer="0" w:header="0"/>
        </w:sectPr>
      </w:pPr>
    </w:p>
    <w:bookmarkStart w:id="50" w:name="page51"/>
    <w:bookmarkEnd w:id="50"/>
    <w:p>
      <w:pPr>
        <w:ind w:left="660" w:right="220"/>
        <w:spacing w:after="0" w:line="263" w:lineRule="auto"/>
        <w:rPr>
          <w:sz w:val="20"/>
          <w:szCs w:val="20"/>
          <w:color w:val="auto"/>
        </w:rPr>
      </w:pPr>
      <w:r>
        <w:rPr>
          <w:rFonts w:ascii="Arial" w:cs="Arial" w:eastAsia="Arial" w:hAnsi="Arial"/>
          <w:sz w:val="22"/>
          <w:szCs w:val="22"/>
          <w:color w:val="auto"/>
        </w:rPr>
        <w:t>Committee) which are surrendered to the Company. The Fair Market Value of the shares, determined as of the effective date of the Option exercise by the Company, will be applied to the Exercise Price.</w:t>
      </w:r>
    </w:p>
    <w:p>
      <w:pPr>
        <w:spacing w:after="0" w:line="175" w:lineRule="exact"/>
        <w:rPr>
          <w:sz w:val="20"/>
          <w:szCs w:val="20"/>
          <w:color w:val="auto"/>
        </w:rPr>
      </w:pPr>
    </w:p>
    <w:p>
      <w:pPr>
        <w:jc w:val="both"/>
        <w:ind w:left="660" w:firstLine="644"/>
        <w:spacing w:after="0" w:line="254" w:lineRule="auto"/>
        <w:tabs>
          <w:tab w:leader="none" w:pos="1812" w:val="left"/>
        </w:tabs>
        <w:numPr>
          <w:ilvl w:val="1"/>
          <w:numId w:val="33"/>
        </w:numPr>
        <w:rPr>
          <w:rFonts w:ascii="Arial" w:cs="Arial" w:eastAsia="Arial" w:hAnsi="Arial"/>
          <w:sz w:val="22"/>
          <w:szCs w:val="22"/>
          <w:color w:val="auto"/>
        </w:rPr>
      </w:pPr>
      <w:r>
        <w:rPr>
          <w:rFonts w:ascii="Arial" w:cs="Arial" w:eastAsia="Arial" w:hAnsi="Arial"/>
          <w:sz w:val="22"/>
          <w:szCs w:val="22"/>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178" w:lineRule="exact"/>
        <w:rPr>
          <w:rFonts w:ascii="Arial" w:cs="Arial" w:eastAsia="Arial" w:hAnsi="Arial"/>
          <w:sz w:val="22"/>
          <w:szCs w:val="22"/>
          <w:color w:val="auto"/>
        </w:rPr>
      </w:pPr>
    </w:p>
    <w:p>
      <w:pPr>
        <w:ind w:right="120" w:firstLine="8"/>
        <w:spacing w:after="0" w:line="260" w:lineRule="auto"/>
        <w:tabs>
          <w:tab w:leader="none" w:pos="342"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Company or any affiliate shall have the right to deduct from payments of any kind otherwise due to</w:t>
      </w:r>
      <w:r>
        <w:rPr>
          <w:rFonts w:ascii="Arial" w:cs="Arial" w:eastAsia="Arial" w:hAnsi="Arial"/>
          <w:sz w:val="21"/>
          <w:szCs w:val="21"/>
          <w:b w:val="1"/>
          <w:bCs w:val="1"/>
          <w:color w:val="auto"/>
        </w:rPr>
        <w:t xml:space="preserve"> </w:t>
      </w:r>
      <w:r>
        <w:rPr>
          <w:rFonts w:ascii="Arial" w:cs="Arial" w:eastAsia="Arial" w:hAnsi="Arial"/>
          <w:sz w:val="21"/>
          <w:szCs w:val="21"/>
          <w:color w:val="auto"/>
        </w:rPr>
        <w:t>Optionee, any federal, state, local or foreign taxes of any kind required by law to be withheld upon the issuance of any shares of Stock or payment of any kind upon the exercise of this Option. By accepting this Agreement, Optionee hereby authorizes the Company in its discretion to withhold from fully vested shares of Stock otherwise deliverable to Optionee a number of whole shares of Stock necessary to satisfy the Company’s required tax withholding with respect to the Option and to deduct any remaining amount due from any payments due to Optionee. Any shares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Notwithstanding the foregoing, Optionee may irrevocably elect to satisfy the required tax withholding obligation by delivering a cashier’s check or other check or wire transfer acceptable to the Company in the amount determined by the Company to satisfy the required tax withholding obligation. Any election to deliver a check/ wire transfer shall be indicated within Solium (https://shareworks.solium.com) or any vendor replacement for Solium as designated by the Company and communicated to the Financial Reporting team prior to the exercise of the Option and shall be subject to any restrictions or limitations that the Company, in its sole discretion, deems appropriate.</w:t>
      </w:r>
    </w:p>
    <w:p>
      <w:pPr>
        <w:spacing w:after="0" w:line="187" w:lineRule="exact"/>
        <w:rPr>
          <w:sz w:val="20"/>
          <w:szCs w:val="20"/>
          <w:color w:val="auto"/>
        </w:rPr>
      </w:pPr>
    </w:p>
    <w:p>
      <w:pPr>
        <w:ind w:right="20" w:firstLine="8"/>
        <w:spacing w:after="0" w:line="302" w:lineRule="auto"/>
        <w:tabs>
          <w:tab w:leader="none" w:pos="342"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of Option. </w:t>
      </w:r>
      <w:r>
        <w:rPr>
          <w:rFonts w:ascii="Arial" w:cs="Arial" w:eastAsia="Arial" w:hAnsi="Arial"/>
          <w:sz w:val="19"/>
          <w:szCs w:val="19"/>
          <w:color w:val="auto"/>
        </w:rPr>
        <w:t>During Optionee’s lifetime, only Optionee (or, in the event of Optionee’s legal incapacity or</w:t>
      </w:r>
      <w:r>
        <w:rPr>
          <w:rFonts w:ascii="Arial" w:cs="Arial" w:eastAsia="Arial" w:hAnsi="Arial"/>
          <w:sz w:val="19"/>
          <w:szCs w:val="19"/>
          <w:b w:val="1"/>
          <w:bCs w:val="1"/>
          <w:color w:val="auto"/>
        </w:rPr>
        <w:t xml:space="preserve"> </w:t>
      </w:r>
      <w:r>
        <w:rPr>
          <w:rFonts w:ascii="Arial" w:cs="Arial" w:eastAsia="Arial" w:hAnsi="Arial"/>
          <w:sz w:val="19"/>
          <w:szCs w:val="19"/>
          <w:color w:val="auto"/>
        </w:rPr>
        <w:t>incompetency, Optionee’s guardian or legal representative) may exercise the 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137" w:lineRule="exact"/>
        <w:rPr>
          <w:rFonts w:ascii="Arial" w:cs="Arial" w:eastAsia="Arial" w:hAnsi="Arial"/>
          <w:sz w:val="19"/>
          <w:szCs w:val="19"/>
          <w:b w:val="1"/>
          <w:bCs w:val="1"/>
          <w:color w:val="auto"/>
        </w:rPr>
      </w:pPr>
    </w:p>
    <w:p>
      <w:pPr>
        <w:jc w:val="both"/>
        <w:ind w:right="240" w:firstLine="8"/>
        <w:spacing w:after="0" w:line="256" w:lineRule="auto"/>
        <w:tabs>
          <w:tab w:leader="none" w:pos="45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Compensation Committee may require Optionee (or Optionee’s estate or heirs) to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 and 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22"/>
          <w:szCs w:val="22"/>
          <w:b w:val="1"/>
          <w:bCs w:val="1"/>
          <w:color w:val="auto"/>
        </w:rPr>
      </w:pPr>
    </w:p>
    <w:p>
      <w:pPr>
        <w:ind w:right="160" w:firstLine="8"/>
        <w:spacing w:after="0" w:line="262" w:lineRule="auto"/>
        <w:tabs>
          <w:tab w:leader="none" w:pos="43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Continued Service. </w:t>
      </w:r>
      <w:r>
        <w:rPr>
          <w:rFonts w:ascii="Arial" w:cs="Arial" w:eastAsia="Arial" w:hAnsi="Arial"/>
          <w:sz w:val="22"/>
          <w:szCs w:val="22"/>
          <w:color w:val="auto"/>
        </w:rPr>
        <w:t>Neither the grant of the Option nor this Agreement gives Optionee the right to continue Service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its affiliates in any capacity. The Company and its affiliates reserve the right to terminate Optionee’s Service at any time and for any reason not prohibited by law.</w:t>
      </w:r>
    </w:p>
    <w:p>
      <w:pPr>
        <w:spacing w:after="0" w:line="170" w:lineRule="exact"/>
        <w:rPr>
          <w:rFonts w:ascii="Arial" w:cs="Arial" w:eastAsia="Arial" w:hAnsi="Arial"/>
          <w:sz w:val="22"/>
          <w:szCs w:val="22"/>
          <w:b w:val="1"/>
          <w:bCs w:val="1"/>
          <w:color w:val="auto"/>
        </w:rPr>
      </w:pPr>
    </w:p>
    <w:p>
      <w:pPr>
        <w:jc w:val="both"/>
        <w:ind w:right="340" w:firstLine="8"/>
        <w:spacing w:after="0" w:line="262" w:lineRule="auto"/>
        <w:tabs>
          <w:tab w:leader="none" w:pos="45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Optionee and Optionee’s estate or heirs shall not have any rights as a stockholder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until Optionee becomes the holder of record of such shares of Stock, and no adjustments shall be made for dividends or other distributions or other rights as to which there is a record</w:t>
      </w:r>
    </w:p>
    <w:p>
      <w:pPr>
        <w:sectPr>
          <w:pgSz w:w="11900" w:h="16838" w:orient="portrait"/>
          <w:cols w:equalWidth="0" w:num="1">
            <w:col w:w="11180"/>
          </w:cols>
          <w:pgMar w:left="320" w:top="564" w:right="39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date prior to the date Optionee becomes the holder of record of such shares, except as provided in Section 10 of the Plan</w:t>
      </w:r>
      <w:r>
        <w:rPr>
          <w:rFonts w:ascii="Arial" w:cs="Arial" w:eastAsia="Arial" w:hAnsi="Arial"/>
          <w:sz w:val="19"/>
          <w:szCs w:val="19"/>
          <w:b w:val="1"/>
          <w:bCs w:val="1"/>
          <w:color w:val="auto"/>
        </w:rPr>
        <w:t>.</w:t>
      </w:r>
    </w:p>
    <w:p>
      <w:pPr>
        <w:spacing w:after="0" w:line="254" w:lineRule="exact"/>
        <w:rPr>
          <w:sz w:val="20"/>
          <w:szCs w:val="20"/>
          <w:color w:val="auto"/>
        </w:rPr>
      </w:pPr>
    </w:p>
    <w:p>
      <w:pPr>
        <w:ind w:right="360" w:firstLine="8"/>
        <w:spacing w:after="0" w:line="272" w:lineRule="auto"/>
        <w:tabs>
          <w:tab w:leader="none" w:pos="45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Requirements. </w:t>
      </w:r>
      <w:r>
        <w:rPr>
          <w:rFonts w:ascii="Arial" w:cs="Arial" w:eastAsia="Arial" w:hAnsi="Arial"/>
          <w:sz w:val="21"/>
          <w:szCs w:val="21"/>
          <w:color w:val="auto"/>
        </w:rPr>
        <w:t>Optionee acknowledges that shares of Stock acquired upon exercise of the Option may bear</w:t>
      </w:r>
      <w:r>
        <w:rPr>
          <w:rFonts w:ascii="Arial" w:cs="Arial" w:eastAsia="Arial" w:hAnsi="Arial"/>
          <w:sz w:val="21"/>
          <w:szCs w:val="21"/>
          <w:b w:val="1"/>
          <w:bCs w:val="1"/>
          <w:color w:val="auto"/>
        </w:rPr>
        <w:t xml:space="preserve"> </w:t>
      </w:r>
      <w:r>
        <w:rPr>
          <w:rFonts w:ascii="Arial" w:cs="Arial" w:eastAsia="Arial" w:hAnsi="Arial"/>
          <w:sz w:val="21"/>
          <w:szCs w:val="21"/>
          <w:color w:val="auto"/>
        </w:rPr>
        <w:t>such legends, as the Company deems appropriate to comply with 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160" w:lineRule="exact"/>
        <w:rPr>
          <w:rFonts w:ascii="Arial" w:cs="Arial" w:eastAsia="Arial" w:hAnsi="Arial"/>
          <w:sz w:val="21"/>
          <w:szCs w:val="21"/>
          <w:b w:val="1"/>
          <w:bCs w:val="1"/>
          <w:color w:val="auto"/>
        </w:rPr>
      </w:pPr>
    </w:p>
    <w:p>
      <w:pPr>
        <w:ind w:right="240" w:firstLine="8"/>
        <w:spacing w:after="0" w:line="323" w:lineRule="auto"/>
        <w:tabs>
          <w:tab w:leader="none" w:pos="45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116" w:lineRule="exact"/>
        <w:rPr>
          <w:rFonts w:ascii="Arial" w:cs="Arial" w:eastAsia="Arial" w:hAnsi="Arial"/>
          <w:sz w:val="19"/>
          <w:szCs w:val="19"/>
          <w:b w:val="1"/>
          <w:bCs w:val="1"/>
          <w:color w:val="auto"/>
        </w:rPr>
      </w:pPr>
    </w:p>
    <w:p>
      <w:pPr>
        <w:ind w:right="420" w:firstLine="8"/>
        <w:spacing w:after="0" w:line="282" w:lineRule="auto"/>
        <w:tabs>
          <w:tab w:leader="none" w:pos="45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Optionee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heirs, executors, administrators, legal representatives, successors and assigns.</w:t>
      </w:r>
    </w:p>
    <w:p>
      <w:pPr>
        <w:spacing w:after="0" w:line="148" w:lineRule="exact"/>
        <w:rPr>
          <w:rFonts w:ascii="Arial" w:cs="Arial" w:eastAsia="Arial" w:hAnsi="Arial"/>
          <w:sz w:val="22"/>
          <w:szCs w:val="22"/>
          <w:b w:val="1"/>
          <w:bCs w:val="1"/>
          <w:color w:val="auto"/>
        </w:rPr>
      </w:pPr>
    </w:p>
    <w:p>
      <w:pPr>
        <w:ind w:right="440" w:firstLine="8"/>
        <w:spacing w:after="0" w:line="282" w:lineRule="auto"/>
        <w:tabs>
          <w:tab w:leader="none" w:pos="45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Tax Treatment</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may incur tax liability as a result of the exercise of the Option or the disposition of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Optionee should consult his or her own tax adviser for tax advice.</w:t>
      </w:r>
    </w:p>
    <w:p>
      <w:pPr>
        <w:spacing w:after="0" w:line="148" w:lineRule="exact"/>
        <w:rPr>
          <w:rFonts w:ascii="Arial" w:cs="Arial" w:eastAsia="Arial" w:hAnsi="Arial"/>
          <w:sz w:val="22"/>
          <w:szCs w:val="22"/>
          <w:b w:val="1"/>
          <w:bCs w:val="1"/>
          <w:color w:val="auto"/>
        </w:rPr>
      </w:pPr>
    </w:p>
    <w:p>
      <w:pPr>
        <w:ind w:right="440" w:firstLine="8"/>
        <w:spacing w:after="0" w:line="282" w:lineRule="auto"/>
        <w:tabs>
          <w:tab w:leader="none" w:pos="45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Optionee, except to the extent set forth in the Plan.</w:t>
      </w:r>
    </w:p>
    <w:p>
      <w:pPr>
        <w:spacing w:after="0" w:line="148" w:lineRule="exact"/>
        <w:rPr>
          <w:rFonts w:ascii="Arial" w:cs="Arial" w:eastAsia="Arial" w:hAnsi="Arial"/>
          <w:sz w:val="22"/>
          <w:szCs w:val="22"/>
          <w:b w:val="1"/>
          <w:bCs w:val="1"/>
          <w:color w:val="auto"/>
        </w:rPr>
      </w:pPr>
    </w:p>
    <w:p>
      <w:pPr>
        <w:ind w:firstLine="8"/>
        <w:spacing w:after="0" w:line="323" w:lineRule="auto"/>
        <w:tabs>
          <w:tab w:leader="none" w:pos="45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2020 Omnibus Incentive Plan. </w:t>
      </w:r>
      <w:r>
        <w:rPr>
          <w:rFonts w:ascii="Arial" w:cs="Arial" w:eastAsia="Arial" w:hAnsi="Arial"/>
          <w:sz w:val="19"/>
          <w:szCs w:val="19"/>
          <w:color w:val="auto"/>
        </w:rPr>
        <w:t>The Option and shares of Stock acquired upon exercise of the Option granted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such additional terms and conditions as may be imposed under the terms of the Plan, a copy of which has been provided to Optionee. A copy of the Prospectus for the 2020 Omnibus Incentive Plan shall also be provided to Optionee.</w:t>
      </w:r>
    </w:p>
    <w:p>
      <w:pPr>
        <w:spacing w:after="0" w:line="265"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NATIONAL CINEMEDIA, INC.</w:t>
      </w:r>
    </w:p>
    <w:p>
      <w:pPr>
        <w:spacing w:after="0" w:line="26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24130</wp:posOffset>
            </wp:positionV>
            <wp:extent cx="20231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8" w:lineRule="exact"/>
        <w:rPr>
          <w:sz w:val="20"/>
          <w:szCs w:val="20"/>
          <w:color w:val="auto"/>
        </w:rPr>
      </w:pPr>
    </w:p>
    <w:p>
      <w:pPr>
        <w:ind w:left="8080"/>
        <w:spacing w:after="0"/>
        <w:rPr>
          <w:sz w:val="20"/>
          <w:szCs w:val="20"/>
          <w:color w:val="auto"/>
        </w:rPr>
      </w:pPr>
      <w:r>
        <w:rPr>
          <w:rFonts w:ascii="Arial" w:cs="Arial" w:eastAsia="Arial" w:hAnsi="Arial"/>
          <w:sz w:val="22"/>
          <w:szCs w:val="22"/>
          <w:color w:val="auto"/>
        </w:rPr>
        <w:t>Sarah Kinnick Hilty</w:t>
      </w:r>
    </w:p>
    <w:p>
      <w:pPr>
        <w:spacing w:after="0" w:line="44" w:lineRule="exact"/>
        <w:rPr>
          <w:sz w:val="20"/>
          <w:szCs w:val="20"/>
          <w:color w:val="auto"/>
        </w:rPr>
      </w:pPr>
    </w:p>
    <w:p>
      <w:pPr>
        <w:ind w:left="8080"/>
        <w:spacing w:after="0"/>
        <w:rPr>
          <w:sz w:val="20"/>
          <w:szCs w:val="20"/>
          <w:color w:val="auto"/>
        </w:rPr>
      </w:pPr>
      <w:r>
        <w:rPr>
          <w:rFonts w:ascii="Arial" w:cs="Arial" w:eastAsia="Arial" w:hAnsi="Arial"/>
          <w:sz w:val="19"/>
          <w:szCs w:val="19"/>
          <w:color w:val="auto"/>
        </w:rPr>
        <w:t>Executive Vice President, General</w:t>
      </w:r>
    </w:p>
    <w:p>
      <w:pPr>
        <w:spacing w:after="0" w:line="43" w:lineRule="exact"/>
        <w:rPr>
          <w:sz w:val="20"/>
          <w:szCs w:val="20"/>
          <w:color w:val="auto"/>
        </w:rPr>
      </w:pPr>
    </w:p>
    <w:p>
      <w:pPr>
        <w:ind w:left="8080"/>
        <w:spacing w:after="0"/>
        <w:rPr>
          <w:sz w:val="20"/>
          <w:szCs w:val="20"/>
          <w:color w:val="auto"/>
        </w:rPr>
      </w:pPr>
      <w:r>
        <w:rPr>
          <w:rFonts w:ascii="Arial" w:cs="Arial" w:eastAsia="Arial" w:hAnsi="Arial"/>
          <w:sz w:val="22"/>
          <w:szCs w:val="22"/>
          <w:color w:val="auto"/>
        </w:rPr>
        <w:t>Counsel and Secretary</w:t>
      </w:r>
    </w:p>
    <w:p>
      <w:pPr>
        <w:sectPr>
          <w:pgSz w:w="11900" w:h="16838" w:orient="portrait"/>
          <w:cols w:equalWidth="0" w:num="1">
            <w:col w:w="11180"/>
          </w:cols>
          <w:pgMar w:left="320" w:top="558" w:right="39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10.6</w:t>
      </w:r>
    </w:p>
    <w:p>
      <w:pPr>
        <w:spacing w:after="0" w:line="220" w:lineRule="exact"/>
        <w:rPr>
          <w:sz w:val="20"/>
          <w:szCs w:val="20"/>
          <w:color w:val="auto"/>
        </w:rPr>
      </w:pPr>
    </w:p>
    <w:p>
      <w:pPr>
        <w:jc w:val="center"/>
        <w:ind w:left="340" w:right="2760"/>
        <w:spacing w:after="0" w:line="450" w:lineRule="auto"/>
        <w:rPr>
          <w:sz w:val="20"/>
          <w:szCs w:val="20"/>
          <w:color w:val="auto"/>
        </w:rPr>
      </w:pPr>
      <w:r>
        <w:rPr>
          <w:rFonts w:ascii="Arial" w:cs="Arial" w:eastAsia="Arial" w:hAnsi="Arial"/>
          <w:sz w:val="22"/>
          <w:szCs w:val="22"/>
          <w:b w:val="1"/>
          <w:bCs w:val="1"/>
          <w:color w:val="auto"/>
        </w:rPr>
        <w:t>NATIONAL CINEMEDIA, INC. 2020 OMNIBUS INCENTIVE PLAN TIME-BASED RESTRICTED STOCK UNIT AGREEMENT</w:t>
      </w:r>
    </w:p>
    <w:p>
      <w:pPr>
        <w:spacing w:after="0" w:line="1"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The Compensation Committee of the Board of Directors of National CineMedia,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granted an award of Time-Based Restricted Stock Units under the National CineMedia, Inc. 2020 Omnibus Incentive Plan (the “</w:t>
      </w:r>
      <w:r>
        <w:rPr>
          <w:rFonts w:ascii="Arial" w:cs="Arial" w:eastAsia="Arial" w:hAnsi="Arial"/>
          <w:sz w:val="19"/>
          <w:szCs w:val="19"/>
          <w:b w:val="1"/>
          <w:bCs w:val="1"/>
          <w:color w:val="auto"/>
        </w:rPr>
        <w:t>Plan</w:t>
      </w:r>
      <w:r>
        <w:rPr>
          <w:rFonts w:ascii="Arial" w:cs="Arial" w:eastAsia="Arial" w:hAnsi="Arial"/>
          <w:sz w:val="19"/>
          <w:szCs w:val="19"/>
          <w:color w:val="auto"/>
        </w:rPr>
        <w:t>”), to the Grantee named below. This Time-Based Restricted Stock Unit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evidences the terms of the Company’s grant of Restricted Stock Units, each representing the right to receive one share of the Company’s Common Stock, on the terms and subject to the conditions set forth herein and in the Plan. Any capitalized term in this Agreement shall have the meaning assigned to it in this Agreement or in the Plan, as applicable.</w:t>
      </w:r>
    </w:p>
    <w:p>
      <w:pPr>
        <w:spacing w:after="0" w:line="35" w:lineRule="exact"/>
        <w:rPr>
          <w:sz w:val="20"/>
          <w:szCs w:val="20"/>
          <w:color w:val="auto"/>
        </w:rPr>
      </w:pPr>
    </w:p>
    <w:p>
      <w:pPr>
        <w:ind w:right="8800" w:firstLine="8"/>
        <w:spacing w:after="0" w:line="454" w:lineRule="auto"/>
        <w:tabs>
          <w:tab w:leader="none" w:pos="39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GRANT Name of Grantee:</w:t>
      </w:r>
    </w:p>
    <w:p>
      <w:pPr>
        <w:spacing w:after="0" w:line="1" w:lineRule="exact"/>
        <w:rPr>
          <w:rFonts w:ascii="Arial" w:cs="Arial" w:eastAsia="Arial" w:hAnsi="Arial"/>
          <w:sz w:val="22"/>
          <w:szCs w:val="22"/>
          <w:b w:val="1"/>
          <w:bCs w:val="1"/>
          <w:color w:val="auto"/>
        </w:rPr>
      </w:pPr>
    </w:p>
    <w:p>
      <w:pPr>
        <w:ind w:right="8040"/>
        <w:spacing w:after="0" w:line="448" w:lineRule="auto"/>
        <w:rPr>
          <w:rFonts w:ascii="Arial" w:cs="Arial" w:eastAsia="Arial" w:hAnsi="Arial"/>
          <w:sz w:val="22"/>
          <w:szCs w:val="22"/>
          <w:b w:val="1"/>
          <w:bCs w:val="1"/>
          <w:color w:val="auto"/>
        </w:rPr>
      </w:pPr>
      <w:r>
        <w:rPr>
          <w:rFonts w:ascii="Arial" w:cs="Arial" w:eastAsia="Arial" w:hAnsi="Arial"/>
          <w:sz w:val="22"/>
          <w:szCs w:val="22"/>
          <w:b w:val="1"/>
          <w:bCs w:val="1"/>
          <w:color w:val="auto"/>
        </w:rPr>
        <w:t>Number of Restricted Stock Units: Grant Date:</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Except as provided otherwise in this Agreement or the Plan (including but not limited to Section 10(c)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provides for accelerated vesting upon certain terminations in connection with a Change of Control), and subject to Grantee’s continuous Service (as defined below), the Restricted Stock Units shall vest, and the forfeiture provisions set forth in this Agreement shall lapse as follows:</w:t>
      </w:r>
    </w:p>
    <w:p>
      <w:pPr>
        <w:spacing w:after="0" w:line="200" w:lineRule="exact"/>
        <w:rPr>
          <w:sz w:val="20"/>
          <w:szCs w:val="20"/>
          <w:color w:val="auto"/>
        </w:rPr>
      </w:pPr>
    </w:p>
    <w:p>
      <w:pPr>
        <w:spacing w:after="0" w:line="388"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3580" w:type="dxa"/>
            <w:vAlign w:val="bottom"/>
            <w:gridSpan w:val="2"/>
          </w:tcPr>
          <w:p>
            <w:pPr>
              <w:jc w:val="right"/>
              <w:ind w:right="2300"/>
              <w:spacing w:after="0"/>
              <w:rPr>
                <w:sz w:val="20"/>
                <w:szCs w:val="20"/>
                <w:color w:val="auto"/>
              </w:rPr>
            </w:pPr>
            <w:r>
              <w:rPr>
                <w:rFonts w:ascii="Arial" w:cs="Arial" w:eastAsia="Arial" w:hAnsi="Arial"/>
                <w:sz w:val="22"/>
                <w:szCs w:val="22"/>
                <w:b w:val="1"/>
                <w:bCs w:val="1"/>
                <w:color w:val="auto"/>
                <w:w w:val="86"/>
              </w:rPr>
              <w:t>Percentage of</w:t>
            </w:r>
          </w:p>
        </w:tc>
        <w:tc>
          <w:tcPr>
            <w:tcW w:w="3560" w:type="dxa"/>
            <w:vAlign w:val="bottom"/>
            <w:gridSpan w:val="2"/>
          </w:tcPr>
          <w:p>
            <w:pPr>
              <w:ind w:left="20"/>
              <w:spacing w:after="0"/>
              <w:rPr>
                <w:sz w:val="20"/>
                <w:szCs w:val="20"/>
                <w:color w:val="auto"/>
              </w:rPr>
            </w:pPr>
            <w:r>
              <w:rPr>
                <w:rFonts w:ascii="Arial" w:cs="Arial" w:eastAsia="Arial" w:hAnsi="Arial"/>
                <w:sz w:val="22"/>
                <w:szCs w:val="22"/>
                <w:b w:val="1"/>
                <w:bCs w:val="1"/>
                <w:color w:val="auto"/>
              </w:rPr>
              <w:t>Number of</w:t>
            </w:r>
          </w:p>
        </w:tc>
      </w:tr>
      <w:tr>
        <w:trPr>
          <w:trHeight w:val="291"/>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Service Vesting Date</w:t>
            </w:r>
          </w:p>
        </w:tc>
        <w:tc>
          <w:tcPr>
            <w:tcW w:w="35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Restricted Stock Units that Vest</w:t>
            </w:r>
          </w:p>
        </w:tc>
        <w:tc>
          <w:tcPr>
            <w:tcW w:w="3560" w:type="dxa"/>
            <w:vAlign w:val="bottom"/>
            <w:gridSpan w:val="2"/>
          </w:tcPr>
          <w:p>
            <w:pPr>
              <w:ind w:left="20"/>
              <w:spacing w:after="0"/>
              <w:rPr>
                <w:sz w:val="20"/>
                <w:szCs w:val="20"/>
                <w:color w:val="auto"/>
              </w:rPr>
            </w:pPr>
            <w:r>
              <w:rPr>
                <w:rFonts w:ascii="Arial" w:cs="Arial" w:eastAsia="Arial" w:hAnsi="Arial"/>
                <w:sz w:val="22"/>
                <w:szCs w:val="22"/>
                <w:b w:val="1"/>
                <w:bCs w:val="1"/>
                <w:color w:val="auto"/>
              </w:rPr>
              <w:t>Restricted Stock Units that Vest</w:t>
            </w:r>
          </w:p>
        </w:tc>
      </w:tr>
      <w:tr>
        <w:trPr>
          <w:trHeight w:val="250"/>
        </w:trPr>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3460" w:type="dxa"/>
            <w:vAlign w:val="bottom"/>
            <w:tcBorders>
              <w:top w:val="single" w:sz="8" w:color="auto"/>
              <w:bottom w:val="single" w:sz="8" w:color="CCEEFF"/>
            </w:tcBorders>
            <w:shd w:val="clear" w:color="auto" w:fill="CCEEFF"/>
          </w:tcPr>
          <w:p>
            <w:pPr>
              <w:jc w:val="right"/>
              <w:ind w:right="208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3460" w:type="dxa"/>
            <w:vAlign w:val="bottom"/>
          </w:tcPr>
          <w:p>
            <w:pPr>
              <w:jc w:val="right"/>
              <w:ind w:right="208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520" w:type="dxa"/>
            <w:vAlign w:val="bottom"/>
            <w:shd w:val="clear" w:color="auto" w:fill="CCEEFF"/>
          </w:tcPr>
          <w:p>
            <w:pPr>
              <w:spacing w:after="0"/>
              <w:rPr>
                <w:sz w:val="21"/>
                <w:szCs w:val="21"/>
                <w:color w:val="auto"/>
              </w:rPr>
            </w:pPr>
          </w:p>
        </w:tc>
        <w:tc>
          <w:tcPr>
            <w:tcW w:w="3460" w:type="dxa"/>
            <w:vAlign w:val="bottom"/>
            <w:shd w:val="clear" w:color="auto" w:fill="CCEEFF"/>
          </w:tcPr>
          <w:p>
            <w:pPr>
              <w:jc w:val="right"/>
              <w:ind w:right="208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
        </w:trPr>
        <w:tc>
          <w:tcPr>
            <w:tcW w:w="25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B.</w:t>
        <w:tab/>
        <w:t>RESTRICTED STOCK UNIT AGREEMENT</w:t>
      </w:r>
    </w:p>
    <w:p>
      <w:pPr>
        <w:spacing w:after="0" w:line="233" w:lineRule="exact"/>
        <w:rPr>
          <w:sz w:val="20"/>
          <w:szCs w:val="20"/>
          <w:color w:val="auto"/>
        </w:rPr>
      </w:pPr>
    </w:p>
    <w:p>
      <w:pPr>
        <w:ind w:right="120" w:firstLine="8"/>
        <w:spacing w:after="0" w:line="265" w:lineRule="auto"/>
        <w:tabs>
          <w:tab w:leader="none" w:pos="342"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Restricted Stock Units. </w:t>
      </w:r>
      <w:r>
        <w:rPr>
          <w:rFonts w:ascii="Arial" w:cs="Arial" w:eastAsia="Arial" w:hAnsi="Arial"/>
          <w:sz w:val="21"/>
          <w:szCs w:val="21"/>
          <w:color w:val="auto"/>
        </w:rPr>
        <w:t>Subject to the terms and conditions of this Agreement and the Plan, the Company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p>
    <w:p>
      <w:pPr>
        <w:sectPr>
          <w:pgSz w:w="11900" w:h="16838" w:orient="portrait"/>
          <w:cols w:equalWidth="0" w:num="1">
            <w:col w:w="11240"/>
          </w:cols>
          <w:pgMar w:left="320" w:top="558" w:right="339" w:bottom="1440" w:gutter="0" w:footer="0" w:header="0"/>
        </w:sectPr>
      </w:pPr>
    </w:p>
    <w:bookmarkStart w:id="53" w:name="page54"/>
    <w:bookmarkEnd w:id="53"/>
    <w:p>
      <w:pPr>
        <w:ind w:right="240" w:firstLine="8"/>
        <w:spacing w:after="0" w:line="282" w:lineRule="auto"/>
        <w:tabs>
          <w:tab w:leader="none" w:pos="34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not sell, transfer, assign, pledge or otherwise encumber or dispose of, by operation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law or otherwise, the Restricted Stock Units.</w:t>
      </w:r>
    </w:p>
    <w:p>
      <w:pPr>
        <w:spacing w:after="0" w:line="148" w:lineRule="exact"/>
        <w:rPr>
          <w:rFonts w:ascii="Arial" w:cs="Arial" w:eastAsia="Arial" w:hAnsi="Arial"/>
          <w:sz w:val="22"/>
          <w:szCs w:val="22"/>
          <w:b w:val="1"/>
          <w:bCs w:val="1"/>
          <w:color w:val="auto"/>
        </w:rPr>
      </w:pPr>
    </w:p>
    <w:p>
      <w:pPr>
        <w:ind w:left="220" w:hanging="212"/>
        <w:spacing w:after="0"/>
        <w:tabs>
          <w:tab w:leader="none" w:pos="22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Vesting; Lapse of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period between the Grant Date and the final Service Vesting Date is referred to as the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Vesting Period</w:t>
      </w:r>
      <w:r>
        <w:rPr>
          <w:rFonts w:ascii="Arial" w:cs="Arial" w:eastAsia="Arial" w:hAnsi="Arial"/>
          <w:sz w:val="19"/>
          <w:szCs w:val="19"/>
          <w:color w:val="auto"/>
        </w:rPr>
        <w:t>.” Except as provided otherwise in this Agreement and the Plan (including but not limited to Section 10(c) of the Plan which provides for accelerated vesting upon certain terminations in connection with a Change of Control), if Grantee has been in continuous service to the Company or another entity the service providers of which are eligible to receive Awards under the Plan from the Grant Date through the applicable Service Vesting Date as an employee, director, consultant or advisor (herein referred to as “</w:t>
      </w:r>
      <w:r>
        <w:rPr>
          <w:rFonts w:ascii="Arial" w:cs="Arial" w:eastAsia="Arial" w:hAnsi="Arial"/>
          <w:sz w:val="19"/>
          <w:szCs w:val="19"/>
          <w:b w:val="1"/>
          <w:bCs w:val="1"/>
          <w:color w:val="auto"/>
        </w:rPr>
        <w:t>Service</w:t>
      </w:r>
      <w:r>
        <w:rPr>
          <w:rFonts w:ascii="Arial" w:cs="Arial" w:eastAsia="Arial" w:hAnsi="Arial"/>
          <w:sz w:val="19"/>
          <w:szCs w:val="19"/>
          <w:color w:val="auto"/>
        </w:rPr>
        <w:t>”), the Restricted Stock Units shall vest as set forth on the Vesting Schedule in the Notice of Grant. As soon as practicable after the Service Vesting Date and in all events no later than March 15 of the calendar year following the calendar year in which the Service Vesting Date occurs, the Company will issue to the Grantee the shares of Common Stock subject to the Restricted Stock Units that vested on such Service Vesting Date. Only following the issuance of the shares of Common Stock to the Grantee may the Grantee transfer the shares of Common Stock (subject to applicable securities law requirements and the Company’s policies and procedures).</w:t>
      </w:r>
    </w:p>
    <w:p>
      <w:pPr>
        <w:spacing w:after="0" w:line="153" w:lineRule="exact"/>
        <w:rPr>
          <w:sz w:val="20"/>
          <w:szCs w:val="20"/>
          <w:color w:val="auto"/>
        </w:rPr>
      </w:pPr>
    </w:p>
    <w:p>
      <w:pPr>
        <w:ind w:firstLine="8"/>
        <w:spacing w:after="0" w:line="260" w:lineRule="auto"/>
        <w:tabs>
          <w:tab w:leader="none" w:pos="342"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Service. </w:t>
      </w:r>
      <w:r>
        <w:rPr>
          <w:rFonts w:ascii="Arial" w:cs="Arial" w:eastAsia="Arial" w:hAnsi="Arial"/>
          <w:sz w:val="21"/>
          <w:szCs w:val="21"/>
          <w:color w:val="auto"/>
        </w:rPr>
        <w:t>If Grantee terminates Service prior to the Service Vesting Date on account of death, becoming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disabled (as defined in Section 409A of the Internal Revenue Code), or termination by the Company other than for Cause, Grantee shall be entitled to earn a percentage of the Restricted Stock Units (the </w:t>
      </w:r>
      <w:r>
        <w:rPr>
          <w:rFonts w:ascii="Arial" w:cs="Arial" w:eastAsia="Arial" w:hAnsi="Arial"/>
          <w:sz w:val="21"/>
          <w:szCs w:val="21"/>
          <w:b w:val="1"/>
          <w:bCs w:val="1"/>
          <w:color w:val="auto"/>
        </w:rPr>
        <w:t>“Retained Units”</w:t>
      </w:r>
      <w:r>
        <w:rPr>
          <w:rFonts w:ascii="Arial" w:cs="Arial" w:eastAsia="Arial" w:hAnsi="Arial"/>
          <w:sz w:val="21"/>
          <w:szCs w:val="21"/>
          <w:color w:val="auto"/>
        </w:rPr>
        <w:t>) equal to the ratio that the number of days of Service of Grantee during the Vesting Period bears to the total number of days in the Vesting Period. The Retained Units shall immediately vest on the date Grantee terminates Service and the remaining Restricted Stock Units shall be forfeited upon Grantee’s termination of Service. If Grantee terminates Service prior to the Service Vesting Date as a result of termination by the Company for Cause or voluntary termination by Grantee, all unvested Restricted Stock Units shall be forfeited upon Grantee’s termination of Service. Upon forfeiture of the Restricted Stock Units, Grantee shall have no further rights with respect thereto. Section 10(c) of the Plan provides for accelerated vesting with respect to certain terminations in connection with a Change of Control.</w:t>
      </w:r>
    </w:p>
    <w:p>
      <w:pPr>
        <w:spacing w:after="0" w:line="178" w:lineRule="exact"/>
        <w:rPr>
          <w:rFonts w:ascii="Arial" w:cs="Arial" w:eastAsia="Arial" w:hAnsi="Arial"/>
          <w:sz w:val="21"/>
          <w:szCs w:val="21"/>
          <w:b w:val="1"/>
          <w:bCs w:val="1"/>
          <w:color w:val="auto"/>
        </w:rPr>
      </w:pPr>
    </w:p>
    <w:p>
      <w:pPr>
        <w:ind w:right="60" w:firstLine="8"/>
        <w:spacing w:after="0" w:line="295" w:lineRule="auto"/>
        <w:tabs>
          <w:tab w:leader="none" w:pos="342"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Leave of Absence. </w:t>
      </w:r>
      <w:r>
        <w:rPr>
          <w:rFonts w:ascii="Arial" w:cs="Arial" w:eastAsia="Arial" w:hAnsi="Arial"/>
          <w:sz w:val="19"/>
          <w:szCs w:val="19"/>
          <w:color w:val="auto"/>
        </w:rPr>
        <w:t>For purposes of the Restricted Stock Units, Service does not terminate when Grantee goes on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leave 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p>
    <w:p>
      <w:pPr>
        <w:spacing w:after="0" w:line="145" w:lineRule="exact"/>
        <w:rPr>
          <w:rFonts w:ascii="Arial" w:cs="Arial" w:eastAsia="Arial" w:hAnsi="Arial"/>
          <w:sz w:val="19"/>
          <w:szCs w:val="19"/>
          <w:b w:val="1"/>
          <w:bCs w:val="1"/>
          <w:color w:val="auto"/>
        </w:rPr>
      </w:pPr>
    </w:p>
    <w:p>
      <w:pPr>
        <w:ind w:right="140" w:firstLine="8"/>
        <w:spacing w:after="0" w:line="298" w:lineRule="auto"/>
        <w:tabs>
          <w:tab w:leader="none" w:pos="342"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During the period between the Grant Date and the Service Vesting Date, the Company shall accrue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regular, special and extraordinary cash dividends declared and paid with respect to each share of Common Stock underlying the Restricted Stock Units which amount shall be retained by the Company and shall be subject to the same vesting requirements as specified in the Notice of Grant above. Any accrued dividend equivalents to which Grantee becomes entitled upon vesting on the Service Vesting Date shall be paid to Grantee as soon as practicable following the Service Vesting Date, but in no event later than March 15 of the calendar year following the calendar year when the Restricted Stock Units vest.</w:t>
      </w:r>
    </w:p>
    <w:p>
      <w:pPr>
        <w:sectPr>
          <w:pgSz w:w="11900" w:h="16838" w:orient="portrait"/>
          <w:cols w:equalWidth="0" w:num="1">
            <w:col w:w="11200"/>
          </w:cols>
          <w:pgMar w:left="320" w:top="558" w:right="379" w:bottom="1440" w:gutter="0" w:footer="0" w:header="0"/>
        </w:sectPr>
      </w:pPr>
    </w:p>
    <w:bookmarkStart w:id="54" w:name="page55"/>
    <w:bookmarkEnd w:id="54"/>
    <w:p>
      <w:pPr>
        <w:ind w:right="100" w:firstLine="8"/>
        <w:spacing w:after="0" w:line="290" w:lineRule="auto"/>
        <w:tabs>
          <w:tab w:leader="none" w:pos="342"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The Company or any affiliate shall have the right to deduct from payments of any kind otherwise due to</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any federal, state, local or foreign taxes of any kind required by law to be withheld upon the issuance, vesting or payment of any shares of Common Stock upon the vesting of the Restricted Stock Units or the payment of dividend equivalents. By accepting this Agreement,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issued or withheld shall have an aggregate fair market value not in excess of the minimum statutory total tax withholding obligation. The fair market value of the shares of Common Stock used to satisfy the withholding obligation shall be determined by the Company as of the date that the amount of tax to be withheld is to be determined. Shares of Common Stock used to satisfy any tax withholding obligation must be vested and cannot be subject to any repurchase, forfeiture, or other similar requirements.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Notwithstanding the foregoing, in lieu of share withholding, Grantee may irrevocably elect to satisfy the required tax withholding obligation by delivering a cashier’s check or other check or wire transfer acceptable to the Company in the amount determined by the Company to satisfy the required tax withholding obligation. Any election to deliver a check / wire transfer shall be indicated within Solium (</w:t>
      </w:r>
      <w:r>
        <w:rPr>
          <w:rFonts w:ascii="Arial" w:cs="Arial" w:eastAsia="Arial" w:hAnsi="Arial"/>
          <w:sz w:val="21"/>
          <w:szCs w:val="21"/>
          <w:u w:val="single" w:color="auto"/>
          <w:color w:val="0000FF"/>
        </w:rPr>
        <w:t>https://shareworks.solium.com</w:t>
      </w:r>
      <w:r>
        <w:rPr>
          <w:rFonts w:ascii="Arial" w:cs="Arial" w:eastAsia="Arial" w:hAnsi="Arial"/>
          <w:sz w:val="21"/>
          <w:szCs w:val="21"/>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73" w:lineRule="exact"/>
        <w:rPr>
          <w:sz w:val="20"/>
          <w:szCs w:val="20"/>
          <w:color w:val="auto"/>
        </w:rPr>
      </w:pPr>
    </w:p>
    <w:p>
      <w:pPr>
        <w:ind w:firstLine="8"/>
        <w:spacing w:after="0" w:line="295" w:lineRule="auto"/>
        <w:tabs>
          <w:tab w:leader="none" w:pos="342"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of Prohibited Transfer. </w:t>
      </w:r>
      <w:r>
        <w:rPr>
          <w:rFonts w:ascii="Arial" w:cs="Arial" w:eastAsia="Arial" w:hAnsi="Arial"/>
          <w:sz w:val="19"/>
          <w:szCs w:val="19"/>
          <w:color w:val="auto"/>
        </w:rPr>
        <w:t>If any transfer of Restricted Stock Units is made or attempted to be made contrary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this Agreement, the Company shall have the right 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spacing w:after="0" w:line="145" w:lineRule="exact"/>
        <w:rPr>
          <w:rFonts w:ascii="Arial" w:cs="Arial" w:eastAsia="Arial" w:hAnsi="Arial"/>
          <w:sz w:val="19"/>
          <w:szCs w:val="19"/>
          <w:b w:val="1"/>
          <w:bCs w:val="1"/>
          <w:color w:val="auto"/>
        </w:rPr>
      </w:pPr>
    </w:p>
    <w:p>
      <w:pPr>
        <w:ind w:right="20" w:firstLine="8"/>
        <w:spacing w:after="0" w:line="256" w:lineRule="auto"/>
        <w:tabs>
          <w:tab w:leader="none" w:pos="34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Compensation Committee may require Grantee (or Grantee’s estate or heirs) to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22"/>
          <w:szCs w:val="22"/>
          <w:b w:val="1"/>
          <w:bCs w:val="1"/>
          <w:color w:val="auto"/>
        </w:rPr>
      </w:pPr>
    </w:p>
    <w:p>
      <w:pPr>
        <w:ind w:right="80" w:firstLine="8"/>
        <w:spacing w:after="0" w:line="262" w:lineRule="auto"/>
        <w:tabs>
          <w:tab w:leader="none" w:pos="45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Continued Service. </w:t>
      </w:r>
      <w:r>
        <w:rPr>
          <w:rFonts w:ascii="Arial" w:cs="Arial" w:eastAsia="Arial" w:hAnsi="Arial"/>
          <w:sz w:val="22"/>
          <w:szCs w:val="22"/>
          <w:color w:val="auto"/>
        </w:rPr>
        <w:t>Neither the grant of the Restricted Stock Units nor this Agreement gives Grantee the right to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with the Company or its affiliates in any capacity. The Company and its affiliates reserve the right to terminate Grantee’s Service at any time and for any reason not prohibited by law.</w:t>
      </w:r>
    </w:p>
    <w:p>
      <w:pPr>
        <w:spacing w:after="0" w:line="170" w:lineRule="exact"/>
        <w:rPr>
          <w:rFonts w:ascii="Arial" w:cs="Arial" w:eastAsia="Arial" w:hAnsi="Arial"/>
          <w:sz w:val="22"/>
          <w:szCs w:val="22"/>
          <w:b w:val="1"/>
          <w:bCs w:val="1"/>
          <w:color w:val="auto"/>
        </w:rPr>
      </w:pPr>
    </w:p>
    <w:p>
      <w:pPr>
        <w:ind w:right="300" w:firstLine="8"/>
        <w:spacing w:after="0" w:line="323" w:lineRule="auto"/>
        <w:tabs>
          <w:tab w:leader="none" w:pos="438"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ectPr>
          <w:pgSz w:w="11900" w:h="16838" w:orient="portrait"/>
          <w:cols w:equalWidth="0" w:num="1">
            <w:col w:w="11220"/>
          </w:cols>
          <w:pgMar w:left="320" w:top="558" w:right="359" w:bottom="1440" w:gutter="0" w:footer="0" w:header="0"/>
        </w:sectPr>
      </w:pPr>
    </w:p>
    <w:bookmarkStart w:id="55" w:name="page56"/>
    <w:bookmarkEnd w:id="55"/>
    <w:p>
      <w:pPr>
        <w:ind w:right="560" w:firstLine="8"/>
        <w:spacing w:after="0" w:line="282" w:lineRule="auto"/>
        <w:tabs>
          <w:tab w:leader="none" w:pos="45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heirs, executors, administrators, legal representatives, successors and assigns.</w:t>
      </w:r>
    </w:p>
    <w:p>
      <w:pPr>
        <w:spacing w:after="0" w:line="148" w:lineRule="exact"/>
        <w:rPr>
          <w:rFonts w:ascii="Arial" w:cs="Arial" w:eastAsia="Arial" w:hAnsi="Arial"/>
          <w:sz w:val="22"/>
          <w:szCs w:val="22"/>
          <w:b w:val="1"/>
          <w:bCs w:val="1"/>
          <w:color w:val="auto"/>
        </w:rPr>
      </w:pPr>
    </w:p>
    <w:p>
      <w:pPr>
        <w:jc w:val="both"/>
        <w:ind w:right="220" w:firstLine="8"/>
        <w:spacing w:after="0" w:line="262" w:lineRule="auto"/>
        <w:tabs>
          <w:tab w:leader="none" w:pos="45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Tax Treatment; Section 83(b)</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incur tax liability as a result of the vesting of the Restricted Stock Units,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dividend equivalents or the disposition of shares of Common Stock issued upon the vesting of the Restricted Stock Units. Grantee should consult his or her own tax adviser for tax advice.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Grantee hereby acknowledges that Grantee has been informed that no election under Section 83(b) of the Internal Revenue Code is permitted with respect to the Restricted Stock Units.</w:t>
      </w:r>
    </w:p>
    <w:p>
      <w:pPr>
        <w:spacing w:after="0" w:line="169" w:lineRule="exact"/>
        <w:rPr>
          <w:sz w:val="20"/>
          <w:szCs w:val="20"/>
          <w:color w:val="auto"/>
        </w:rPr>
      </w:pPr>
    </w:p>
    <w:p>
      <w:pPr>
        <w:ind w:right="460" w:firstLine="8"/>
        <w:spacing w:after="0" w:line="282" w:lineRule="auto"/>
        <w:tabs>
          <w:tab w:leader="none" w:pos="45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Grantee, except to the extent set forth in the Plan.</w:t>
      </w:r>
    </w:p>
    <w:p>
      <w:pPr>
        <w:spacing w:after="0" w:line="148" w:lineRule="exact"/>
        <w:rPr>
          <w:rFonts w:ascii="Arial" w:cs="Arial" w:eastAsia="Arial" w:hAnsi="Arial"/>
          <w:sz w:val="22"/>
          <w:szCs w:val="22"/>
          <w:b w:val="1"/>
          <w:bCs w:val="1"/>
          <w:color w:val="auto"/>
        </w:rPr>
      </w:pPr>
    </w:p>
    <w:p>
      <w:pPr>
        <w:ind w:firstLine="8"/>
        <w:spacing w:after="0" w:line="323" w:lineRule="auto"/>
        <w:tabs>
          <w:tab w:leader="none" w:pos="45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2020 Omnibus Incentive Plan. </w:t>
      </w:r>
      <w:r>
        <w:rPr>
          <w:rFonts w:ascii="Arial" w:cs="Arial" w:eastAsia="Arial" w:hAnsi="Arial"/>
          <w:sz w:val="19"/>
          <w:szCs w:val="19"/>
          <w:color w:val="auto"/>
        </w:rPr>
        <w:t>The Restricted Stock Units and payment of dividend equivalents granted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such additional terms and conditions as may be imposed under the terms of the Plan, a copy of which has been provided to Grantee. A copy of the Prospectus for the 2020 Omnibus Incentive Plan shall also be provided to Grantee.</w:t>
      </w:r>
    </w:p>
    <w:p>
      <w:pPr>
        <w:spacing w:after="0" w:line="265"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NATIONAL CINEMEDIA, INC.</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8"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Sarah Kinnick Hilty</w:t>
      </w:r>
    </w:p>
    <w:p>
      <w:pPr>
        <w:spacing w:after="0" w:line="260"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Executive Vice President, General Counsel and</w:t>
      </w:r>
    </w:p>
    <w:p>
      <w:pPr>
        <w:spacing w:after="0" w:line="43"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00"/>
          </w:cols>
          <w:pgMar w:left="320" w:top="558" w:right="37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RESTRICTED STOCK UNIT AGREEMENT</w:t>
      </w:r>
    </w:p>
    <w:p>
      <w:pPr>
        <w:spacing w:after="0" w:line="226"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 xml:space="preserve">The Compensation Committee of the Board of Directors of National CineMedia,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granted an award of Restricted Stock Units under the National CineMedia, Inc. 2020 Omnibus Incentive Plan (the</w:t>
      </w:r>
      <w:r>
        <w:rPr>
          <w:rFonts w:ascii="Arial" w:cs="Arial" w:eastAsia="Arial" w:hAnsi="Arial"/>
          <w:sz w:val="21"/>
          <w:szCs w:val="21"/>
          <w:b w:val="1"/>
          <w:bCs w:val="1"/>
          <w:color w:val="auto"/>
        </w:rPr>
        <w:t xml:space="preserve"> “Plan”</w:t>
      </w:r>
      <w:r>
        <w:rPr>
          <w:rFonts w:ascii="Arial" w:cs="Arial" w:eastAsia="Arial" w:hAnsi="Arial"/>
          <w:sz w:val="21"/>
          <w:szCs w:val="21"/>
          <w:color w:val="auto"/>
        </w:rPr>
        <w:t>), to the Grantee named below. This Restricted Stock Unit Agreement (the</w:t>
      </w:r>
      <w:r>
        <w:rPr>
          <w:rFonts w:ascii="Arial" w:cs="Arial" w:eastAsia="Arial" w:hAnsi="Arial"/>
          <w:sz w:val="21"/>
          <w:szCs w:val="21"/>
          <w:b w:val="1"/>
          <w:bCs w:val="1"/>
          <w:color w:val="auto"/>
        </w:rPr>
        <w:t xml:space="preserve"> “Agreement”</w:t>
      </w:r>
      <w:r>
        <w:rPr>
          <w:rFonts w:ascii="Arial" w:cs="Arial" w:eastAsia="Arial" w:hAnsi="Arial"/>
          <w:sz w:val="21"/>
          <w:szCs w:val="21"/>
          <w:color w:val="auto"/>
        </w:rPr>
        <w:t>) evidences the terms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grant of Restricted Stock Units, each representing the right to receive one share of the Company’s Common Stock, on the terms and subject to the conditions set forth herein and in the Plan. Any capitalized term in this Agreement shall have the meaning assigned to it in this Agreement or in the Plan, as applicable.</w:t>
      </w:r>
    </w:p>
    <w:p>
      <w:pPr>
        <w:spacing w:after="0" w:line="65" w:lineRule="exact"/>
        <w:rPr>
          <w:sz w:val="20"/>
          <w:szCs w:val="20"/>
          <w:color w:val="auto"/>
        </w:rPr>
      </w:pPr>
    </w:p>
    <w:p>
      <w:pPr>
        <w:ind w:right="8800" w:firstLine="8"/>
        <w:spacing w:after="0" w:line="454" w:lineRule="auto"/>
        <w:tabs>
          <w:tab w:leader="none" w:pos="39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GRANT Name of Grantee:</w:t>
      </w:r>
    </w:p>
    <w:p>
      <w:pPr>
        <w:spacing w:after="0" w:line="1" w:lineRule="exact"/>
        <w:rPr>
          <w:rFonts w:ascii="Arial" w:cs="Arial" w:eastAsia="Arial" w:hAnsi="Arial"/>
          <w:sz w:val="22"/>
          <w:szCs w:val="22"/>
          <w:b w:val="1"/>
          <w:bCs w:val="1"/>
          <w:color w:val="auto"/>
        </w:rPr>
      </w:pPr>
    </w:p>
    <w:p>
      <w:pPr>
        <w:ind w:right="8040"/>
        <w:spacing w:after="0" w:line="448" w:lineRule="auto"/>
        <w:rPr>
          <w:rFonts w:ascii="Arial" w:cs="Arial" w:eastAsia="Arial" w:hAnsi="Arial"/>
          <w:sz w:val="22"/>
          <w:szCs w:val="22"/>
          <w:b w:val="1"/>
          <w:bCs w:val="1"/>
          <w:color w:val="auto"/>
        </w:rPr>
      </w:pPr>
      <w:r>
        <w:rPr>
          <w:rFonts w:ascii="Arial" w:cs="Arial" w:eastAsia="Arial" w:hAnsi="Arial"/>
          <w:sz w:val="22"/>
          <w:szCs w:val="22"/>
          <w:b w:val="1"/>
          <w:bCs w:val="1"/>
          <w:color w:val="auto"/>
        </w:rPr>
        <w:t>Number of Restricted Stock Units: Grant Date:</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Except as provided otherwise in this Agreement or the Plan (including but not limited to Section 10(c)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provides for accelerated vesting upon certain terminations in connection with a Change of Control), and subject to Grantee’s continuous Service (as defined below), the Restricted Stock Units shall vest, and the forfeiture provisions set forth in this Agreement shall lapse, as follows: 100% of the Restricted Stock Units shall vest on ________________ (the “</w:t>
      </w:r>
      <w:r>
        <w:rPr>
          <w:rFonts w:ascii="Arial" w:cs="Arial" w:eastAsia="Arial" w:hAnsi="Arial"/>
          <w:sz w:val="22"/>
          <w:szCs w:val="22"/>
          <w:b w:val="1"/>
          <w:bCs w:val="1"/>
          <w:color w:val="auto"/>
        </w:rPr>
        <w:t>Service</w:t>
      </w:r>
      <w:r>
        <w:rPr>
          <w:rFonts w:ascii="Arial" w:cs="Arial" w:eastAsia="Arial" w:hAnsi="Arial"/>
          <w:sz w:val="22"/>
          <w:szCs w:val="22"/>
          <w:color w:val="auto"/>
        </w:rPr>
        <w:t xml:space="preserve"> </w:t>
      </w:r>
      <w:r>
        <w:rPr>
          <w:rFonts w:ascii="Arial" w:cs="Arial" w:eastAsia="Arial" w:hAnsi="Arial"/>
          <w:sz w:val="22"/>
          <w:szCs w:val="22"/>
          <w:b w:val="1"/>
          <w:bCs w:val="1"/>
          <w:color w:val="auto"/>
        </w:rPr>
        <w:t>Vesting Date</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B.</w:t>
        <w:tab/>
        <w:t>RESTRICTED STOCK UNIT AGREEMENT</w:t>
      </w:r>
    </w:p>
    <w:p>
      <w:pPr>
        <w:spacing w:after="0" w:line="233" w:lineRule="exact"/>
        <w:rPr>
          <w:sz w:val="20"/>
          <w:szCs w:val="20"/>
          <w:color w:val="auto"/>
        </w:rPr>
      </w:pPr>
    </w:p>
    <w:p>
      <w:pPr>
        <w:ind w:right="120" w:firstLine="8"/>
        <w:spacing w:after="0" w:line="265" w:lineRule="auto"/>
        <w:tabs>
          <w:tab w:leader="none" w:pos="342"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Restricted Stock Units. </w:t>
      </w:r>
      <w:r>
        <w:rPr>
          <w:rFonts w:ascii="Arial" w:cs="Arial" w:eastAsia="Arial" w:hAnsi="Arial"/>
          <w:sz w:val="21"/>
          <w:szCs w:val="21"/>
          <w:color w:val="auto"/>
        </w:rPr>
        <w:t>Subject to the terms and conditions of this Agreement and the Plan, the Company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p>
    <w:p>
      <w:pPr>
        <w:spacing w:after="0" w:line="168" w:lineRule="exact"/>
        <w:rPr>
          <w:rFonts w:ascii="Arial" w:cs="Arial" w:eastAsia="Arial" w:hAnsi="Arial"/>
          <w:sz w:val="21"/>
          <w:szCs w:val="21"/>
          <w:b w:val="1"/>
          <w:bCs w:val="1"/>
          <w:color w:val="auto"/>
        </w:rPr>
      </w:pPr>
    </w:p>
    <w:p>
      <w:pPr>
        <w:ind w:right="280" w:firstLine="8"/>
        <w:spacing w:after="0" w:line="282" w:lineRule="auto"/>
        <w:tabs>
          <w:tab w:leader="none" w:pos="342"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not sell, transfer, assign, pledge or otherwise encumber or dispose of, by operation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law or otherwise, the Restricted Stock Units.</w:t>
      </w:r>
    </w:p>
    <w:p>
      <w:pPr>
        <w:spacing w:after="0" w:line="148" w:lineRule="exact"/>
        <w:rPr>
          <w:rFonts w:ascii="Arial" w:cs="Arial" w:eastAsia="Arial" w:hAnsi="Arial"/>
          <w:sz w:val="22"/>
          <w:szCs w:val="22"/>
          <w:b w:val="1"/>
          <w:bCs w:val="1"/>
          <w:color w:val="auto"/>
        </w:rPr>
      </w:pPr>
    </w:p>
    <w:p>
      <w:pPr>
        <w:ind w:firstLine="8"/>
        <w:spacing w:after="0" w:line="298" w:lineRule="auto"/>
        <w:tabs>
          <w:tab w:leader="none" w:pos="342"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Vesting; Lapse of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otherwise in this Agreement and the Plan (including but not limited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10(c) of the Plan which provides for accelerated vesting upon certain terminations in connection with a Change of Control), if Grantee has been in continuous service to the Company or another entity the service providers of which are eligible to receive Awards under the Plan from the Grant Date through the applicable Service Vesting Date as an employee, director, consultant or advisor (herein referred to as “</w:t>
      </w:r>
      <w:r>
        <w:rPr>
          <w:rFonts w:ascii="Arial" w:cs="Arial" w:eastAsia="Arial" w:hAnsi="Arial"/>
          <w:sz w:val="19"/>
          <w:szCs w:val="19"/>
          <w:b w:val="1"/>
          <w:bCs w:val="1"/>
          <w:color w:val="auto"/>
        </w:rPr>
        <w:t>Service</w:t>
      </w:r>
      <w:r>
        <w:rPr>
          <w:rFonts w:ascii="Arial" w:cs="Arial" w:eastAsia="Arial" w:hAnsi="Arial"/>
          <w:sz w:val="19"/>
          <w:szCs w:val="19"/>
          <w:color w:val="auto"/>
        </w:rPr>
        <w:t>”), the Restricted Stock Units shall vest as set forth on the Vesting Schedule in the Notice of Grant. As soon as practicable after the Service Vesting Date and in all events no</w:t>
      </w:r>
    </w:p>
    <w:p>
      <w:pPr>
        <w:sectPr>
          <w:pgSz w:w="11900" w:h="16838" w:orient="portrait"/>
          <w:cols w:equalWidth="0" w:num="1">
            <w:col w:w="11240"/>
          </w:cols>
          <w:pgMar w:left="320" w:top="558" w:right="339" w:bottom="1440" w:gutter="0" w:footer="0" w:header="0"/>
        </w:sectPr>
      </w:pPr>
    </w:p>
    <w:bookmarkStart w:id="57" w:name="page58"/>
    <w:bookmarkEnd w:id="57"/>
    <w:p>
      <w:pPr>
        <w:ind w:right="60"/>
        <w:spacing w:after="0" w:line="235" w:lineRule="auto"/>
        <w:rPr>
          <w:sz w:val="20"/>
          <w:szCs w:val="20"/>
          <w:color w:val="auto"/>
        </w:rPr>
      </w:pPr>
      <w:r>
        <w:rPr>
          <w:rFonts w:ascii="Arial" w:cs="Arial" w:eastAsia="Arial" w:hAnsi="Arial"/>
          <w:sz w:val="22"/>
          <w:szCs w:val="22"/>
          <w:color w:val="auto"/>
        </w:rPr>
        <w:t>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calendar year in which the Service Vesting Date occurs, unless Grantee has elected pursuant to Section 6 below to defer, the Company will issue to the Grantee the shares of Common Stock subject to the Restricted Stock Units that vested on such Service Vesting Date. Only following the issuance of the shares of Common Stock to the Grantee may the Grantee transfer the shares of Common Stock (subject to applicable securities law requirements and the Company’s policies and procedures).</w:t>
      </w:r>
    </w:p>
    <w:p>
      <w:pPr>
        <w:spacing w:after="0" w:line="197" w:lineRule="exact"/>
        <w:rPr>
          <w:sz w:val="20"/>
          <w:szCs w:val="20"/>
          <w:color w:val="auto"/>
        </w:rPr>
      </w:pPr>
    </w:p>
    <w:p>
      <w:pPr>
        <w:ind w:firstLine="8"/>
        <w:spacing w:after="0" w:line="265" w:lineRule="auto"/>
        <w:tabs>
          <w:tab w:leader="none" w:pos="342"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Service. </w:t>
      </w:r>
      <w:r>
        <w:rPr>
          <w:rFonts w:ascii="Arial" w:cs="Arial" w:eastAsia="Arial" w:hAnsi="Arial"/>
          <w:sz w:val="21"/>
          <w:szCs w:val="21"/>
          <w:color w:val="auto"/>
        </w:rPr>
        <w:t>If Grantee terminates Service prior to the Service Vesting Date on account of the Grantee’s death,</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shall vest in all of the Restricted Stock Units on the date of death and shall be entitled to the issuance of shares of Common Stock equal to the number of Restricted Stock Units granted to Grantee, together with any accrued dividend equivalents as provided in Section 5. If Grantee terminates Service prior to the Service Vesting Date for any reason other than death, the Restricted Stock Units shall be forfeited upon Grantee’s termination of Service. Upon forfeiture of the Restricted Stock Units, Grantee shall have no further rights with respect to such Restricted Stock Units.</w:t>
      </w:r>
    </w:p>
    <w:p>
      <w:pPr>
        <w:spacing w:after="0" w:line="168" w:lineRule="exact"/>
        <w:rPr>
          <w:rFonts w:ascii="Arial" w:cs="Arial" w:eastAsia="Arial" w:hAnsi="Arial"/>
          <w:sz w:val="21"/>
          <w:szCs w:val="21"/>
          <w:b w:val="1"/>
          <w:bCs w:val="1"/>
          <w:color w:val="auto"/>
        </w:rPr>
      </w:pPr>
    </w:p>
    <w:p>
      <w:pPr>
        <w:ind w:right="160" w:firstLine="8"/>
        <w:spacing w:after="0" w:line="298" w:lineRule="auto"/>
        <w:tabs>
          <w:tab w:leader="none" w:pos="342"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During the period between the Grant Date and the Service Vesting Date, the Company shall accrue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regular, special and extraordinary cash dividends declared and paid with respect to each share of Common Stock underlying the Restricted Stock Units, which amount shall be retained by the Company and shall be subject to the same vesting requirements as specified in the Notice of Grant above. Any accrued dividend equivalents to which Grantee becomes entitled upon vesting on the Service Vesting Date shall be paid to Grantee as soon as practicable following the Service Vesting Date, but in no event later than March 15 of the calendar year following the calendar year in which the Restricted Stock Units vest.</w:t>
      </w:r>
    </w:p>
    <w:p>
      <w:pPr>
        <w:spacing w:after="0" w:line="140" w:lineRule="exact"/>
        <w:rPr>
          <w:rFonts w:ascii="Arial" w:cs="Arial" w:eastAsia="Arial" w:hAnsi="Arial"/>
          <w:sz w:val="19"/>
          <w:szCs w:val="19"/>
          <w:b w:val="1"/>
          <w:bCs w:val="1"/>
          <w:color w:val="auto"/>
        </w:rPr>
      </w:pPr>
    </w:p>
    <w:p>
      <w:pPr>
        <w:ind w:firstLine="8"/>
        <w:spacing w:after="0" w:line="290" w:lineRule="auto"/>
        <w:tabs>
          <w:tab w:leader="none" w:pos="342"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Election to Defer Receipt of Stock and Dividend Equivalents</w:t>
      </w:r>
      <w:r>
        <w:rPr>
          <w:rFonts w:ascii="Arial" w:cs="Arial" w:eastAsia="Arial" w:hAnsi="Arial"/>
          <w:sz w:val="19"/>
          <w:szCs w:val="19"/>
          <w:color w:val="auto"/>
        </w:rPr>
        <w:t>. During the period from the Grant Date through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the last business day on or before the 30th day after the Grant Date, Grantee shall be entitled to elect, in writing, in accordance with the provisions of the Deferral Election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Deferral Election Form</w:t>
      </w:r>
      <w:r>
        <w:rPr>
          <w:rFonts w:ascii="Arial" w:cs="Arial" w:eastAsia="Arial" w:hAnsi="Arial"/>
          <w:sz w:val="19"/>
          <w:szCs w:val="19"/>
          <w:color w:val="auto"/>
        </w:rPr>
        <w:t>”), to defer the issuance of shares of Common Stock and the payment of accrued dividend equivalents for up to five years following the scheduled Service Vesting Date set forth in the Notice of Grant. If any such deferred payment date elected by Grantee falls on a holiday or non-business day, the shares of Common Stock and accrued dividend equivalents shall be issued and paid to Grantee on the immediately preceding business day. An election made by Grantee and delivered to the Company on the Deferral Election Form will be irrevocable, and issuance of the shares of Common Stock and payment of dividend equivalents prior to the date selected by Grantee would occur only upon the earlier death of Grantee or pursuant to Section 10(c) of the Plan. If Grantee fails to properly elect a different payment date in accordance with this Section, the Grantee shall be entitled to issuance of the shares of Common Stock and payment of accrued dividend equivalents in accordance with Section 3.</w:t>
      </w:r>
    </w:p>
    <w:p>
      <w:pPr>
        <w:spacing w:after="0" w:line="146" w:lineRule="exact"/>
        <w:rPr>
          <w:rFonts w:ascii="Arial" w:cs="Arial" w:eastAsia="Arial" w:hAnsi="Arial"/>
          <w:sz w:val="19"/>
          <w:szCs w:val="19"/>
          <w:b w:val="1"/>
          <w:bCs w:val="1"/>
          <w:color w:val="auto"/>
        </w:rPr>
      </w:pPr>
    </w:p>
    <w:p>
      <w:pPr>
        <w:ind w:right="100" w:firstLine="8"/>
        <w:spacing w:after="0" w:line="260" w:lineRule="auto"/>
        <w:tabs>
          <w:tab w:leader="none" w:pos="342"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Company or any affiliate shall have the right to deduct from payments of any kind otherwise due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any federal, state, local or foreign taxes of any kind required by law to be withheld upon the issuance, vesting or payment of any shares of Common Stock upon the vesting of the Restricted Stock Units or the payment of dividend equivalents. By accepting this Agreement,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withheld shall have an aggregate fair market value not in excess of the minimum statutory total tax withholding obligation. The fair market value of the shares of Common Stock used to satisfy the withholding obligation shall be determined by the Company as of the date that the amount of tax to be</w:t>
      </w:r>
    </w:p>
    <w:p>
      <w:pPr>
        <w:sectPr>
          <w:pgSz w:w="11900" w:h="16838" w:orient="portrait"/>
          <w:cols w:equalWidth="0" w:num="1">
            <w:col w:w="11220"/>
          </w:cols>
          <w:pgMar w:left="320" w:top="553" w:right="359" w:bottom="1440" w:gutter="0" w:footer="0" w:header="0"/>
        </w:sectPr>
      </w:pPr>
    </w:p>
    <w:bookmarkStart w:id="58" w:name="page59"/>
    <w:bookmarkEnd w:id="58"/>
    <w:p>
      <w:pPr>
        <w:ind w:right="100"/>
        <w:spacing w:after="0" w:line="263" w:lineRule="auto"/>
        <w:rPr>
          <w:sz w:val="20"/>
          <w:szCs w:val="20"/>
          <w:color w:val="auto"/>
        </w:rPr>
      </w:pPr>
      <w:r>
        <w:rPr>
          <w:rFonts w:ascii="Arial" w:cs="Arial" w:eastAsia="Arial" w:hAnsi="Arial"/>
          <w:sz w:val="22"/>
          <w:szCs w:val="22"/>
          <w:color w:val="auto"/>
        </w:rPr>
        <w:t>withheld is to be determined. Shares of Common Stock used to satisfy any tax withholding obligation must be vested and cannot be subject to any repurchase, forfeiture, or other similar requirements.</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21"/>
          <w:szCs w:val="21"/>
          <w:color w:val="auto"/>
        </w:rPr>
        <w:t>Notwithstanding the foregoing, in lieu of share withholding, Grantee may irrevocably elect to satisfy any required tax withholding obligation by delivering a cashier’s check or other check or wire transfer acceptable to the Company in the amount determined by the Company to satisfy the required tax withholding obligation. Any election to deliver a check / wire transfer shall be indicated within Solium (</w:t>
      </w:r>
      <w:r>
        <w:rPr>
          <w:rFonts w:ascii="Arial" w:cs="Arial" w:eastAsia="Arial" w:hAnsi="Arial"/>
          <w:sz w:val="21"/>
          <w:szCs w:val="21"/>
          <w:u w:val="single" w:color="auto"/>
          <w:color w:val="0000FF"/>
        </w:rPr>
        <w:t>https://shareworks.solium.com</w:t>
      </w:r>
      <w:r>
        <w:rPr>
          <w:rFonts w:ascii="Arial" w:cs="Arial" w:eastAsia="Arial" w:hAnsi="Arial"/>
          <w:sz w:val="21"/>
          <w:szCs w:val="21"/>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73" w:lineRule="exact"/>
        <w:rPr>
          <w:sz w:val="20"/>
          <w:szCs w:val="20"/>
          <w:color w:val="auto"/>
        </w:rPr>
      </w:pPr>
    </w:p>
    <w:p>
      <w:pPr>
        <w:ind w:firstLine="8"/>
        <w:spacing w:after="0" w:line="295" w:lineRule="auto"/>
        <w:tabs>
          <w:tab w:leader="none" w:pos="34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of Prohibited Transfer. </w:t>
      </w:r>
      <w:r>
        <w:rPr>
          <w:rFonts w:ascii="Arial" w:cs="Arial" w:eastAsia="Arial" w:hAnsi="Arial"/>
          <w:sz w:val="19"/>
          <w:szCs w:val="19"/>
          <w:color w:val="auto"/>
        </w:rPr>
        <w:t>If any transfer of Restricted Stock Units is made or attempted to be made contrary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this Agreement, the Company shall have the right 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spacing w:after="0" w:line="145" w:lineRule="exact"/>
        <w:rPr>
          <w:rFonts w:ascii="Arial" w:cs="Arial" w:eastAsia="Arial" w:hAnsi="Arial"/>
          <w:sz w:val="19"/>
          <w:szCs w:val="19"/>
          <w:b w:val="1"/>
          <w:bCs w:val="1"/>
          <w:color w:val="auto"/>
        </w:rPr>
      </w:pPr>
    </w:p>
    <w:p>
      <w:pPr>
        <w:ind w:right="20" w:firstLine="8"/>
        <w:spacing w:after="0" w:line="256" w:lineRule="auto"/>
        <w:tabs>
          <w:tab w:leader="none" w:pos="34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Compensation Committee may require Grantee (or Grantee’s estate or heirs) to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spacing w:after="0" w:line="176" w:lineRule="exact"/>
        <w:rPr>
          <w:rFonts w:ascii="Arial" w:cs="Arial" w:eastAsia="Arial" w:hAnsi="Arial"/>
          <w:sz w:val="22"/>
          <w:szCs w:val="22"/>
          <w:b w:val="1"/>
          <w:bCs w:val="1"/>
          <w:color w:val="auto"/>
        </w:rPr>
      </w:pPr>
    </w:p>
    <w:p>
      <w:pPr>
        <w:ind w:right="180" w:firstLine="8"/>
        <w:spacing w:after="0" w:line="282" w:lineRule="auto"/>
        <w:tabs>
          <w:tab w:leader="none" w:pos="45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Continued Service. </w:t>
      </w:r>
      <w:r>
        <w:rPr>
          <w:rFonts w:ascii="Arial" w:cs="Arial" w:eastAsia="Arial" w:hAnsi="Arial"/>
          <w:sz w:val="22"/>
          <w:szCs w:val="22"/>
          <w:color w:val="auto"/>
        </w:rPr>
        <w:t>Neither the grant of the Restricted Stock Units nor this Agreement gives Grantee the right to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with the Company or its affiliates in any capacity.</w:t>
      </w:r>
    </w:p>
    <w:p>
      <w:pPr>
        <w:spacing w:after="0" w:line="148" w:lineRule="exact"/>
        <w:rPr>
          <w:rFonts w:ascii="Arial" w:cs="Arial" w:eastAsia="Arial" w:hAnsi="Arial"/>
          <w:sz w:val="22"/>
          <w:szCs w:val="22"/>
          <w:b w:val="1"/>
          <w:bCs w:val="1"/>
          <w:color w:val="auto"/>
        </w:rPr>
      </w:pPr>
    </w:p>
    <w:p>
      <w:pPr>
        <w:ind w:right="300" w:firstLine="8"/>
        <w:spacing w:after="0" w:line="323" w:lineRule="auto"/>
        <w:tabs>
          <w:tab w:leader="none" w:pos="438"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116" w:lineRule="exact"/>
        <w:rPr>
          <w:rFonts w:ascii="Arial" w:cs="Arial" w:eastAsia="Arial" w:hAnsi="Arial"/>
          <w:sz w:val="19"/>
          <w:szCs w:val="19"/>
          <w:b w:val="1"/>
          <w:bCs w:val="1"/>
          <w:color w:val="auto"/>
        </w:rPr>
      </w:pPr>
    </w:p>
    <w:p>
      <w:pPr>
        <w:ind w:right="580" w:firstLine="8"/>
        <w:spacing w:after="0" w:line="282" w:lineRule="auto"/>
        <w:tabs>
          <w:tab w:leader="none" w:pos="45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heirs, executors, administrators, legal representatives, successors and assigns.</w:t>
      </w:r>
    </w:p>
    <w:p>
      <w:pPr>
        <w:spacing w:after="0" w:line="148" w:lineRule="exact"/>
        <w:rPr>
          <w:rFonts w:ascii="Arial" w:cs="Arial" w:eastAsia="Arial" w:hAnsi="Arial"/>
          <w:sz w:val="22"/>
          <w:szCs w:val="22"/>
          <w:b w:val="1"/>
          <w:bCs w:val="1"/>
          <w:color w:val="auto"/>
        </w:rPr>
      </w:pPr>
    </w:p>
    <w:p>
      <w:pPr>
        <w:jc w:val="both"/>
        <w:ind w:right="300" w:firstLine="8"/>
        <w:spacing w:after="0" w:line="281" w:lineRule="auto"/>
        <w:tabs>
          <w:tab w:leader="none" w:pos="45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Tax Treatment; Section 83(b); Section 409A</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may incur tax liability as a result of the vesting of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the payment of dividend equivalents or the disposition of shares of Common Stock issued upon the vesting of the Restricted Stock Units. Grantee should consult his or her own tax adviser for tax advice.</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Grantee hereby acknowledges that Grantee has been informed that no election under Section 83(b) of the Internal Revenue Code is permitted with respect to the Restricted Stock Units.</w:t>
      </w:r>
    </w:p>
    <w:p>
      <w:pPr>
        <w:spacing w:after="0" w:line="169" w:lineRule="exact"/>
        <w:rPr>
          <w:sz w:val="20"/>
          <w:szCs w:val="20"/>
          <w:color w:val="auto"/>
        </w:rPr>
      </w:pPr>
    </w:p>
    <w:p>
      <w:pPr>
        <w:ind w:right="480" w:firstLine="8"/>
        <w:spacing w:after="0" w:line="282" w:lineRule="auto"/>
        <w:tabs>
          <w:tab w:leader="none" w:pos="45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Grantee, except to the extent set forth in the Plan.</w:t>
      </w:r>
    </w:p>
    <w:p>
      <w:pPr>
        <w:sectPr>
          <w:pgSz w:w="11900" w:h="16838" w:orient="portrait"/>
          <w:cols w:equalWidth="0" w:num="1">
            <w:col w:w="11220"/>
          </w:cols>
          <w:pgMar w:left="320" w:top="564" w:right="359" w:bottom="1440" w:gutter="0" w:footer="0" w:header="0"/>
        </w:sectPr>
      </w:pPr>
    </w:p>
    <w:bookmarkStart w:id="59" w:name="page60"/>
    <w:bookmarkEnd w:id="59"/>
    <w:p>
      <w:pPr>
        <w:ind w:left="-8" w:firstLine="8"/>
        <w:spacing w:after="0" w:line="323" w:lineRule="auto"/>
        <w:tabs>
          <w:tab w:leader="none" w:pos="44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2020 Omnibus Incentive Plan. </w:t>
      </w:r>
      <w:r>
        <w:rPr>
          <w:rFonts w:ascii="Arial" w:cs="Arial" w:eastAsia="Arial" w:hAnsi="Arial"/>
          <w:sz w:val="19"/>
          <w:szCs w:val="19"/>
          <w:color w:val="auto"/>
        </w:rPr>
        <w:t>The Restricted Stock Units and payment of dividend equivalents granted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such additional terms and conditions as may be imposed under the terms of the Plan, a copy of which has been provided to Grantee. A copy of the Prospectus for the 2020 Omnibus Incentive Plan shall also be provided to Grantee.</w:t>
      </w:r>
    </w:p>
    <w:p>
      <w:pPr>
        <w:spacing w:after="0" w:line="265" w:lineRule="exact"/>
        <w:rPr>
          <w:sz w:val="20"/>
          <w:szCs w:val="20"/>
          <w:color w:val="auto"/>
        </w:rPr>
      </w:pPr>
    </w:p>
    <w:p>
      <w:pPr>
        <w:ind w:left="5932"/>
        <w:spacing w:after="0"/>
        <w:rPr>
          <w:sz w:val="20"/>
          <w:szCs w:val="20"/>
          <w:color w:val="auto"/>
        </w:rPr>
      </w:pPr>
      <w:r>
        <w:rPr>
          <w:rFonts w:ascii="Arial" w:cs="Arial" w:eastAsia="Arial" w:hAnsi="Arial"/>
          <w:sz w:val="22"/>
          <w:szCs w:val="22"/>
          <w:b w:val="1"/>
          <w:bCs w:val="1"/>
          <w:color w:val="auto"/>
        </w:rPr>
        <w:t>NATIONAL CINEMEDIA, INC.</w:t>
      </w:r>
    </w:p>
    <w:p>
      <w:pPr>
        <w:spacing w:after="0" w:line="50" w:lineRule="exact"/>
        <w:rPr>
          <w:sz w:val="20"/>
          <w:szCs w:val="20"/>
          <w:color w:val="auto"/>
        </w:rPr>
      </w:pPr>
    </w:p>
    <w:p>
      <w:pPr>
        <w:ind w:left="5932"/>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24130</wp:posOffset>
            </wp:positionV>
            <wp:extent cx="16973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8" w:lineRule="exact"/>
        <w:rPr>
          <w:sz w:val="20"/>
          <w:szCs w:val="20"/>
          <w:color w:val="auto"/>
        </w:rPr>
      </w:pPr>
    </w:p>
    <w:p>
      <w:pPr>
        <w:ind w:left="6972"/>
        <w:spacing w:after="0"/>
        <w:rPr>
          <w:sz w:val="20"/>
          <w:szCs w:val="20"/>
          <w:color w:val="auto"/>
        </w:rPr>
      </w:pPr>
      <w:r>
        <w:rPr>
          <w:rFonts w:ascii="Arial" w:cs="Arial" w:eastAsia="Arial" w:hAnsi="Arial"/>
          <w:sz w:val="22"/>
          <w:szCs w:val="22"/>
          <w:color w:val="auto"/>
        </w:rPr>
        <w:t>Sarah Kinnick Hilty</w:t>
      </w:r>
    </w:p>
    <w:p>
      <w:pPr>
        <w:spacing w:after="0" w:line="260" w:lineRule="exact"/>
        <w:rPr>
          <w:sz w:val="20"/>
          <w:szCs w:val="20"/>
          <w:color w:val="auto"/>
        </w:rPr>
      </w:pPr>
    </w:p>
    <w:p>
      <w:pPr>
        <w:ind w:left="6972"/>
        <w:spacing w:after="0"/>
        <w:rPr>
          <w:sz w:val="20"/>
          <w:szCs w:val="20"/>
          <w:color w:val="auto"/>
        </w:rPr>
      </w:pPr>
      <w:r>
        <w:rPr>
          <w:rFonts w:ascii="Arial" w:cs="Arial" w:eastAsia="Arial" w:hAnsi="Arial"/>
          <w:sz w:val="22"/>
          <w:szCs w:val="22"/>
          <w:color w:val="auto"/>
        </w:rPr>
        <w:t>Executive Vice President,</w:t>
      </w:r>
    </w:p>
    <w:p>
      <w:pPr>
        <w:ind w:left="6972"/>
        <w:spacing w:after="0" w:line="238" w:lineRule="auto"/>
        <w:rPr>
          <w:sz w:val="20"/>
          <w:szCs w:val="20"/>
          <w:color w:val="auto"/>
        </w:rPr>
      </w:pPr>
      <w:r>
        <w:rPr>
          <w:rFonts w:ascii="Arial" w:cs="Arial" w:eastAsia="Arial" w:hAnsi="Arial"/>
          <w:sz w:val="22"/>
          <w:szCs w:val="22"/>
          <w:color w:val="auto"/>
        </w:rPr>
        <w:t>General Counsel and</w:t>
      </w:r>
    </w:p>
    <w:p>
      <w:pPr>
        <w:ind w:left="6972"/>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192"/>
          </w:cols>
          <w:pgMar w:left="328" w:top="558" w:right="3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NATIONAL CINEMEDIA,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OMNIBUS INCENTIVE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20XX Non-Employee Director Restricted Stock Unit Award - Non-Employee Director Deferral Election Form</w:t>
      </w:r>
    </w:p>
    <w:p>
      <w:pPr>
        <w:spacing w:after="0" w:line="270"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Name:</w:t>
      </w:r>
    </w:p>
    <w:p>
      <w:pPr>
        <w:spacing w:after="0" w:line="54"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No. of Restricted Stock Units:</w:t>
      </w:r>
    </w:p>
    <w:p>
      <w:pPr>
        <w:spacing w:after="0" w:line="54"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Grant Date:</w:t>
      </w:r>
    </w:p>
    <w:p>
      <w:pPr>
        <w:spacing w:after="0" w:line="54"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Service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31115</wp:posOffset>
            </wp:positionV>
            <wp:extent cx="3480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42"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On the Service Vesting Date, the number of Restricted Stock Units (the “</w:t>
      </w:r>
      <w:r>
        <w:rPr>
          <w:rFonts w:ascii="Arial" w:cs="Arial" w:eastAsia="Arial" w:hAnsi="Arial"/>
          <w:sz w:val="18"/>
          <w:szCs w:val="18"/>
          <w:u w:val="single" w:color="auto"/>
          <w:color w:val="auto"/>
        </w:rPr>
        <w:t>Units</w:t>
      </w:r>
      <w:r>
        <w:rPr>
          <w:rFonts w:ascii="Arial" w:cs="Arial" w:eastAsia="Arial" w:hAnsi="Arial"/>
          <w:sz w:val="18"/>
          <w:szCs w:val="18"/>
          <w:color w:val="auto"/>
        </w:rPr>
        <w:t>”) listed above are scheduled to vest with respect to my Non-Employee Director Restricted Stock Unit Award granted under the National CineMedia, Inc. (“</w:t>
      </w:r>
      <w:r>
        <w:rPr>
          <w:rFonts w:ascii="Arial" w:cs="Arial" w:eastAsia="Arial" w:hAnsi="Arial"/>
          <w:sz w:val="18"/>
          <w:szCs w:val="18"/>
          <w:u w:val="single" w:color="auto"/>
          <w:color w:val="auto"/>
        </w:rPr>
        <w:t>Company</w:t>
      </w:r>
      <w:r>
        <w:rPr>
          <w:rFonts w:ascii="Arial" w:cs="Arial" w:eastAsia="Arial" w:hAnsi="Arial"/>
          <w:sz w:val="18"/>
          <w:szCs w:val="18"/>
          <w:color w:val="auto"/>
        </w:rPr>
        <w:t>”) 2020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on the Grant Date pursuant to the terms of my Non-Employee Director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5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Under the terms of the Agreement, the vested Units will be converted into shares of Common Stock (“</w:t>
      </w:r>
      <w:r>
        <w:rPr>
          <w:rFonts w:ascii="Arial" w:cs="Arial" w:eastAsia="Arial" w:hAnsi="Arial"/>
          <w:sz w:val="20"/>
          <w:szCs w:val="20"/>
          <w:u w:val="single" w:color="auto"/>
          <w:color w:val="auto"/>
        </w:rPr>
        <w:t>Shares</w:t>
      </w:r>
      <w:r>
        <w:rPr>
          <w:rFonts w:ascii="Arial" w:cs="Arial" w:eastAsia="Arial" w:hAnsi="Arial"/>
          <w:sz w:val="20"/>
          <w:szCs w:val="20"/>
          <w:color w:val="auto"/>
        </w:rPr>
        <w:t>”) that will automatically be delivered to me as soon as practicable following the scheduled Service Vesting Date, unless I voluntarily make an irrevocable election to defer delivery of the shares of Common Stock (and any accrued dividend equivalents) in accordance with the terms and conditions of this Election and the Agreement. I understand that I may only make this election to the extent that this Award has at least thirteen (13) months of vesting between the Grant Date and the Service Vesting Date. Any election with respect to an Award with lesser vesting shall be of no force or effect.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Irrevocable Voluntary Deferral Election</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 hereby irrevocably elect to defer conversion of 100% of my vested Units and delivery of the shares of Common Stock covered by the Units until the date specified below (</w:t>
      </w:r>
      <w:r>
        <w:rPr>
          <w:rFonts w:ascii="Arial" w:cs="Arial" w:eastAsia="Arial" w:hAnsi="Arial"/>
          <w:sz w:val="20"/>
          <w:szCs w:val="20"/>
          <w:i w:val="1"/>
          <w:iCs w:val="1"/>
          <w:u w:val="single" w:color="auto"/>
          <w:color w:val="auto"/>
        </w:rPr>
        <w:t>select only one date</w:t>
      </w:r>
      <w:r>
        <w:rPr>
          <w:rFonts w:ascii="Arial" w:cs="Arial" w:eastAsia="Arial" w:hAnsi="Arial"/>
          <w:sz w:val="20"/>
          <w:szCs w:val="20"/>
          <w:color w:val="auto"/>
        </w:rPr>
        <w:t>):</w:t>
      </w:r>
    </w:p>
    <w:p>
      <w:pPr>
        <w:sectPr>
          <w:pgSz w:w="11900" w:h="16838" w:orient="portrait"/>
          <w:cols w:equalWidth="0" w:num="1">
            <w:col w:w="11220"/>
          </w:cols>
          <w:pgMar w:left="320" w:top="558" w:right="359" w:bottom="1440" w:gutter="0" w:footer="0" w:header="0"/>
        </w:sectPr>
      </w:pPr>
    </w:p>
    <w:p>
      <w:pPr>
        <w:spacing w:after="0" w:line="3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__________, 20XX+1</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__________, 20XX+2</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__________, 20XX+3</w:t>
      </w:r>
    </w:p>
    <w:p>
      <w:pPr>
        <w:spacing w:after="0" w:line="90" w:lineRule="exact"/>
        <w:rPr>
          <w:sz w:val="20"/>
          <w:szCs w:val="20"/>
          <w:color w:val="auto"/>
        </w:rPr>
      </w:pPr>
    </w:p>
    <w:p>
      <w:pPr>
        <w:sectPr>
          <w:pgSz w:w="11900" w:h="16838" w:orient="portrait"/>
          <w:cols w:equalWidth="0" w:num="3">
            <w:col w:w="3780" w:space="720"/>
            <w:col w:w="2420" w:space="720"/>
            <w:col w:w="3580"/>
          </w:cols>
          <w:pgMar w:left="320" w:top="558" w:right="35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__________, 20XX+4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__________, 20XX+5</w:t>
      </w:r>
    </w:p>
    <w:p>
      <w:pPr>
        <w:spacing w:after="0" w:line="200" w:lineRule="exact"/>
        <w:rPr>
          <w:sz w:val="20"/>
          <w:szCs w:val="20"/>
          <w:color w:val="auto"/>
        </w:rPr>
      </w:pPr>
    </w:p>
    <w:p>
      <w:pPr>
        <w:sectPr>
          <w:pgSz w:w="11900" w:h="16838" w:orient="portrait"/>
          <w:cols w:equalWidth="0" w:num="2">
            <w:col w:w="3780" w:space="720"/>
            <w:col w:w="6720"/>
          </w:cols>
          <w:pgMar w:left="320" w:top="558" w:right="359" w:bottom="1440" w:gutter="0" w:footer="0" w:header="0"/>
          <w:type w:val="continuous"/>
        </w:sectPr>
      </w:pP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hereby further irrevocably elect to defer receipt of 100% of any accrued dividend equivalents payable to me with respect to my vested Units until the date specified above.</w:t>
      </w:r>
    </w:p>
    <w:p>
      <w:pPr>
        <w:spacing w:after="0" w:line="171" w:lineRule="exact"/>
        <w:rPr>
          <w:sz w:val="20"/>
          <w:szCs w:val="20"/>
          <w:color w:val="auto"/>
        </w:rPr>
      </w:pPr>
    </w:p>
    <w:p>
      <w:pPr>
        <w:ind w:right="420"/>
        <w:spacing w:after="0" w:line="393" w:lineRule="auto"/>
        <w:rPr>
          <w:sz w:val="20"/>
          <w:szCs w:val="20"/>
          <w:color w:val="auto"/>
        </w:rPr>
      </w:pPr>
      <w:r>
        <w:rPr>
          <w:rFonts w:ascii="Arial" w:cs="Arial" w:eastAsia="Arial" w:hAnsi="Arial"/>
          <w:sz w:val="16"/>
          <w:szCs w:val="16"/>
          <w:color w:val="auto"/>
        </w:rPr>
        <w:t xml:space="preserve">I understand that this election is irrevocable, must be received by the Company </w:t>
      </w:r>
      <w:r>
        <w:rPr>
          <w:rFonts w:ascii="Arial" w:cs="Arial" w:eastAsia="Arial" w:hAnsi="Arial"/>
          <w:sz w:val="16"/>
          <w:szCs w:val="16"/>
          <w:b w:val="1"/>
          <w:bCs w:val="1"/>
          <w:u w:val="single" w:color="auto"/>
          <w:color w:val="auto"/>
        </w:rPr>
        <w:t>no later than [30 days after grant date]</w:t>
      </w:r>
      <w:r>
        <w:rPr>
          <w:rFonts w:ascii="Arial" w:cs="Arial" w:eastAsia="Arial" w:hAnsi="Arial"/>
          <w:sz w:val="16"/>
          <w:szCs w:val="16"/>
          <w:color w:val="auto"/>
        </w:rPr>
        <w:t xml:space="preserve"> and must be delivered to: General Counsel, National CineMedia, Inc., 6300 S. Syracuse Way, Suite 300, Centennial, CO 80111 Fax: (303) 792-8800.</w:t>
      </w:r>
    </w:p>
    <w:p>
      <w:pPr>
        <w:spacing w:after="0" w:line="7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 acknowledge that I have not relied on the Company, its officers, directors, employees or advisors for any tax advice. I have consulted with my own tax advisor to the extent that I deem necessary prior to making my irrevocable election.</w:t>
      </w:r>
    </w:p>
    <w:p>
      <w:pPr>
        <w:spacing w:after="0" w:line="177"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 acknowledge that any disposition of Shares acquired by me must be made in a manner consistent with the Company’s Insider Trading Policy and applicable securities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Signature</w:t>
      </w:r>
      <w:r>
        <w:rPr>
          <w:rFonts w:ascii="Arial" w:cs="Arial" w:eastAsia="Arial" w:hAnsi="Arial"/>
          <w:sz w:val="20"/>
          <w:szCs w:val="20"/>
          <w:color w:val="auto"/>
        </w:rPr>
        <w:t>: ____________________________________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-10795</wp:posOffset>
            </wp:positionV>
            <wp:extent cx="31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-10795</wp:posOffset>
            </wp:positionV>
            <wp:extent cx="31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type w:val="continuous"/>
        </w:sectPr>
      </w:pPr>
    </w:p>
    <w:bookmarkStart w:id="61" w:name="page62"/>
    <w:bookmarkEnd w:id="61"/>
    <w:p>
      <w:pPr>
        <w:ind w:right="2479" w:firstLine="3579"/>
        <w:spacing w:after="0" w:line="349" w:lineRule="auto"/>
        <w:rPr>
          <w:sz w:val="20"/>
          <w:szCs w:val="20"/>
          <w:color w:val="auto"/>
        </w:rPr>
      </w:pPr>
      <w:r>
        <w:rPr>
          <w:rFonts w:ascii="Arial" w:cs="Arial" w:eastAsia="Arial" w:hAnsi="Arial"/>
          <w:sz w:val="19"/>
          <w:szCs w:val="19"/>
          <w:b w:val="1"/>
          <w:bCs w:val="1"/>
          <w:color w:val="auto"/>
        </w:rPr>
        <w:t xml:space="preserve">Company Acknowledgment and Acceptance </w:t>
      </w:r>
      <w:r>
        <w:rPr>
          <w:rFonts w:ascii="Arial" w:cs="Arial" w:eastAsia="Arial" w:hAnsi="Arial"/>
          <w:sz w:val="19"/>
          <w:szCs w:val="19"/>
          <w:color w:val="auto"/>
        </w:rPr>
        <w:t>This Election was complete, signed, dated and received by the Company on:</w:t>
      </w:r>
    </w:p>
    <w:p>
      <w:pPr>
        <w:spacing w:after="0" w:line="140" w:lineRule="exact"/>
        <w:rPr>
          <w:sz w:val="20"/>
          <w:szCs w:val="20"/>
          <w:color w:val="auto"/>
        </w:rPr>
      </w:pPr>
    </w:p>
    <w:p>
      <w:pPr>
        <w:ind w:left="2600"/>
        <w:spacing w:after="0"/>
        <w:tabs>
          <w:tab w:leader="none" w:pos="3600" w:val="left"/>
        </w:tabs>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 20__.</w:t>
      </w:r>
      <w:r>
        <w:rPr>
          <w:sz w:val="20"/>
          <w:szCs w:val="20"/>
          <w:color w:val="auto"/>
        </w:rPr>
        <w:tab/>
      </w:r>
      <w:r>
        <w:rPr>
          <w:rFonts w:ascii="Arial" w:cs="Arial" w:eastAsia="Arial" w:hAnsi="Arial"/>
          <w:sz w:val="19"/>
          <w:szCs w:val="19"/>
          <w:color w:val="auto"/>
        </w:rPr>
        <w:t>Signature:</w:t>
      </w:r>
    </w:p>
    <w:p>
      <w:pPr>
        <w:sectPr>
          <w:pgSz w:w="11900" w:h="16838" w:orient="portrait"/>
          <w:cols w:equalWidth="0" w:num="1">
            <w:col w:w="10139"/>
          </w:cols>
          <w:pgMar w:left="320" w:top="99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73"/>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80" w:firstLine="507"/>
        <w:spacing w:after="0" w:line="342" w:lineRule="auto"/>
        <w:tabs>
          <w:tab w:leader="none" w:pos="6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07"/>
        <w:spacing w:after="0" w:line="277" w:lineRule="auto"/>
        <w:tabs>
          <w:tab w:leader="none" w:pos="6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07"/>
        <w:spacing w:after="0" w:line="263" w:lineRule="auto"/>
        <w:tabs>
          <w:tab w:leader="none" w:pos="6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07"/>
        <w:spacing w:after="0" w:line="308" w:lineRule="auto"/>
        <w:tabs>
          <w:tab w:leader="none" w:pos="67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40640</wp:posOffset>
            </wp:positionV>
            <wp:extent cx="4200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p>
      <w:pPr>
        <w:sectPr>
          <w:pgSz w:w="11900" w:h="16838" w:orient="portrait"/>
          <w:cols w:equalWidth="0" w:num="1">
            <w:col w:w="11240"/>
          </w:cols>
          <w:pgMar w:left="320" w:top="5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99"/>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June 25, 2020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40640</wp:posOffset>
            </wp:positionV>
            <wp:extent cx="44145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lvl w:ilvl="1">
      <w:lvlJc w:val="left"/>
      <w:lvlText w:val="(%2)"/>
      <w:numFmt w:val="decimal"/>
      <w:start w:val="1"/>
    </w:lvl>
  </w:abstractNum>
  <w:abstractNum w:abstractNumId="10">
    <w:nsid w:val="737B8DDC"/>
    <w:multiLevelType w:val="hybridMultilevel"/>
    <w:lvl w:ilvl="0">
      <w:lvlJc w:val="left"/>
      <w:lvlText w:val="%1."/>
      <w:numFmt w:val="decimal"/>
      <w:start w:val="10"/>
    </w:lvl>
    <w:lvl w:ilvl="1">
      <w:lvlJc w:val="left"/>
      <w:lvlText w:val="%2"/>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upperLetter"/>
      <w:start w:val="1"/>
    </w:lvl>
  </w:abstractNum>
  <w:abstractNum w:abstractNumId="29">
    <w:nsid w:val="153EA438"/>
    <w:multiLevelType w:val="hybridMultilevel"/>
    <w:lvl w:ilvl="0">
      <w:lvlJc w:val="left"/>
      <w:lvlText w:val="%1."/>
      <w:numFmt w:val="decimal"/>
      <w:start w:val="1"/>
    </w:lvl>
    <w:lvl w:ilvl="1">
      <w:lvlJc w:val="left"/>
      <w:lvlText w:val="(%2)"/>
      <w:numFmt w:val="lowerLetter"/>
      <w:start w:val="1"/>
    </w:lvl>
  </w:abstractNum>
  <w:abstractNum w:abstractNumId="30">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
    <w:nsid w:val="6A2342EC"/>
    <w:multiLevelType w:val="hybridMultilevel"/>
    <w:lvl w:ilvl="0">
      <w:lvlJc w:val="left"/>
      <w:lvlText w:val="%1"/>
      <w:numFmt w:val="decimal"/>
      <w:start w:val="1"/>
    </w:lvl>
    <w:lvl w:ilvl="1">
      <w:lvlJc w:val="left"/>
      <w:lvlText w:val="(%2)"/>
      <w:numFmt w:val="lowerRoman"/>
      <w:start w:val="3"/>
    </w:lvl>
  </w:abstractNum>
  <w:abstractNum w:abstractNumId="33">
    <w:nsid w:val="2A487CB0"/>
    <w:multiLevelType w:val="hybridMultilevel"/>
    <w:lvl w:ilvl="0">
      <w:lvlJc w:val="left"/>
      <w:lvlText w:val="%1."/>
      <w:numFmt w:val="decimal"/>
      <w:start w:val="8"/>
    </w:lvl>
    <w:lvl w:ilvl="1">
      <w:lvlJc w:val="left"/>
      <w:lvlText w:val="%2"/>
      <w:numFmt w:val="lowerRoman"/>
      <w:start w:val="1"/>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3"/>
    </w:lvl>
  </w:abstractNum>
  <w:abstractNum w:abstractNumId="36">
    <w:nsid w:val="2CD89A32"/>
    <w:multiLevelType w:val="hybridMultilevel"/>
    <w:lvl w:ilvl="0">
      <w:lvlJc w:val="left"/>
      <w:lvlText w:val="%1."/>
      <w:numFmt w:val="upperLetter"/>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decimal"/>
      <w:start w:val="7"/>
    </w:lvl>
  </w:abstractNum>
  <w:abstractNum w:abstractNumId="41">
    <w:nsid w:val="6DE91B18"/>
    <w:multiLevelType w:val="hybridMultilevel"/>
    <w:lvl w:ilvl="0">
      <w:lvlJc w:val="left"/>
      <w:lvlText w:val="%1."/>
      <w:numFmt w:val="decimal"/>
      <w:start w:val="8"/>
    </w:lvl>
  </w:abstractNum>
  <w:abstractNum w:abstractNumId="42">
    <w:nsid w:val="38437FDB"/>
    <w:multiLevelType w:val="hybridMultilevel"/>
    <w:lvl w:ilvl="0">
      <w:lvlJc w:val="left"/>
      <w:lvlText w:val="%1."/>
      <w:numFmt w:val="decimal"/>
      <w:start w:val="12"/>
    </w:lvl>
  </w:abstractNum>
  <w:abstractNum w:abstractNumId="43">
    <w:nsid w:val="7644A45C"/>
    <w:multiLevelType w:val="hybridMultilevel"/>
    <w:lvl w:ilvl="0">
      <w:lvlJc w:val="left"/>
      <w:lvlText w:val="%1."/>
      <w:numFmt w:val="decimal"/>
      <w:start w:val="14"/>
    </w:lvl>
  </w:abstractNum>
  <w:abstractNum w:abstractNumId="44">
    <w:nsid w:val="32FFF902"/>
    <w:multiLevelType w:val="hybridMultilevel"/>
    <w:lvl w:ilvl="0">
      <w:lvlJc w:val="left"/>
      <w:lvlText w:val="%1."/>
      <w:numFmt w:val="upperLetter"/>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8"/>
    </w:lvl>
  </w:abstractNum>
  <w:abstractNum w:abstractNumId="48">
    <w:nsid w:val="3DC240FB"/>
    <w:multiLevelType w:val="hybridMultilevel"/>
    <w:lvl w:ilvl="0">
      <w:lvlJc w:val="left"/>
      <w:lvlText w:val="%1."/>
      <w:numFmt w:val="decimal"/>
      <w:start w:val="14"/>
    </w:lvl>
  </w:abstractNum>
  <w:abstractNum w:abstractNumId="49">
    <w:nsid w:val="1BA026FA"/>
    <w:multiLevelType w:val="hybridMultilevel"/>
    <w:lvl w:ilvl="0">
      <w:lvlJc w:val="left"/>
      <w:lvlText w:val="%1."/>
      <w:numFmt w:val="decimal"/>
      <w:start w:val="15"/>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20" Type="http://schemas.openxmlformats.org/officeDocument/2006/relationships/hyperlink" Target="http://www.sec.gov/Archives/edgar/data/1377630/000137763020000089/felensteinemploymentag.htm" TargetMode="External"/><Relationship Id="rId21" Type="http://schemas.openxmlformats.org/officeDocument/2006/relationships/hyperlink" Target="http://www.sec.gov/Archives/edgar/data/1377630/000137763020000089/exhibit102equityplan.htm" TargetMode="External"/><Relationship Id="rId22" Type="http://schemas.openxmlformats.org/officeDocument/2006/relationships/hyperlink" Target="http://www.sec.gov/Archives/edgar/data/1377630/000137763020000102/ncm-amendmentno1tocr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2020-08-03T15:27:04Z</dcterms:created>
  <dcterms:modified xsi:type="dcterms:W3CDTF">2020-08-03T15:27:04Z</dcterms:modified>
</cp:coreProperties>
</file>