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141605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178435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1, 2015</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163195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283210</wp:posOffset>
            </wp:positionV>
            <wp:extent cx="17322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150495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172085</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00" w:type="dxa"/>
            <w:vAlign w:val="bottom"/>
          </w:tcPr>
          <w:p>
            <w:pPr>
              <w:ind w:left="500"/>
              <w:spacing w:after="0"/>
              <w:rPr>
                <w:sz w:val="20"/>
                <w:szCs w:val="20"/>
                <w:color w:val="auto"/>
              </w:rPr>
            </w:pPr>
            <w:r>
              <w:rPr>
                <w:rFonts w:ascii="Arial" w:cs="Arial" w:eastAsia="Arial" w:hAnsi="Arial"/>
                <w:sz w:val="18"/>
                <w:szCs w:val="18"/>
                <w:color w:val="auto"/>
              </w:rPr>
              <w:t>o</w:t>
            </w:r>
          </w:p>
        </w:tc>
        <w:tc>
          <w:tcPr>
            <w:tcW w:w="25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360"/>
              <w:spacing w:after="0"/>
              <w:rPr>
                <w:sz w:val="20"/>
                <w:szCs w:val="20"/>
                <w:color w:val="auto"/>
              </w:rPr>
            </w:pPr>
            <w:r>
              <w:rPr>
                <w:rFonts w:ascii="Arial" w:cs="Arial" w:eastAsia="Arial" w:hAnsi="Arial"/>
                <w:sz w:val="18"/>
                <w:szCs w:val="18"/>
                <w:color w:val="auto"/>
              </w:rPr>
              <w:t>o</w:t>
            </w:r>
          </w:p>
        </w:tc>
      </w:t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62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360"/>
              <w:spacing w:after="0"/>
              <w:rPr>
                <w:sz w:val="20"/>
                <w:szCs w:val="20"/>
                <w:color w:val="auto"/>
              </w:rPr>
            </w:pPr>
            <w:r>
              <w:rPr>
                <w:rFonts w:ascii="Arial" w:cs="Arial" w:eastAsia="Arial" w:hAnsi="Arial"/>
                <w:sz w:val="18"/>
                <w:szCs w:val="18"/>
                <w:color w:val="auto"/>
              </w:rPr>
              <w:t>o</w:t>
            </w:r>
          </w:p>
        </w:tc>
      </w:tr>
      <w:tr>
        <w:trPr>
          <w:trHeight w:val="392"/>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r>
      <w:tr>
        <w:trPr>
          <w:trHeight w:val="95"/>
        </w:trPr>
        <w:tc>
          <w:tcPr>
            <w:tcW w:w="208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November 6, 2015, the registrant had 130,723,361 common membership units outstanding. The common membership units are not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0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20" w:type="dxa"/>
            <w:vAlign w:val="bottom"/>
            <w:gridSpan w:val="11"/>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080" w:type="dxa"/>
            <w:vAlign w:val="bottom"/>
            <w:gridSpan w:val="3"/>
            <w:vMerge w:val="restart"/>
          </w:tcPr>
          <w:p>
            <w:pPr>
              <w:spacing w:after="0"/>
              <w:rPr>
                <w:sz w:val="24"/>
                <w:szCs w:val="24"/>
                <w:color w:val="auto"/>
              </w:rPr>
            </w:pPr>
          </w:p>
        </w:tc>
        <w:tc>
          <w:tcPr>
            <w:tcW w:w="2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6660" w:type="dxa"/>
            <w:vAlign w:val="bottom"/>
            <w:gridSpan w:val="15"/>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Balance Sheets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Income</w:t>
              </w:r>
            </w:hyperlink>
          </w:p>
        </w:tc>
        <w:tc>
          <w:tcPr>
            <w:tcW w:w="4520" w:type="dxa"/>
            <w:vAlign w:val="bottom"/>
            <w:gridSpan w:val="11"/>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Comprehensive Income</w:t>
              </w:r>
            </w:hyperlink>
          </w:p>
        </w:tc>
        <w:tc>
          <w:tcPr>
            <w:tcW w:w="3340" w:type="dxa"/>
            <w:vAlign w:val="bottom"/>
            <w:gridSpan w:val="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Statements of Cash Flows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8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8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7"/>
          </w:tcPr>
          <w:p>
            <w:pPr>
              <w:jc w:val="center"/>
              <w:ind w:right="29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8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3060" w:type="dxa"/>
            <w:vAlign w:val="bottom"/>
            <w:gridSpan w:val="2"/>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40" w:type="dxa"/>
            <w:vAlign w:val="bottom"/>
            <w:gridSpan w:val="16"/>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3820" w:type="dxa"/>
            <w:vAlign w:val="bottom"/>
            <w:gridSpan w:val="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5840" w:type="dxa"/>
            <w:vAlign w:val="bottom"/>
            <w:gridSpan w:val="13"/>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6400" w:type="dxa"/>
            <w:vAlign w:val="bottom"/>
            <w:gridSpan w:val="1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60" w:type="dxa"/>
            <w:vAlign w:val="bottom"/>
            <w:gridSpan w:val="1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October 1, 2015</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January 1, 2015</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Receivables, net of allowance of $5.1 and $4.3, respectively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NON-CURRENT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of $71.1 and $72.9,</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0"/>
                <w:szCs w:val="20"/>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$86.0 and $69.3, respectively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19"/>
                <w:szCs w:val="19"/>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 net of accumulated amortization of $19.7 and $17.8,</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20"/>
                <w:szCs w:val="20"/>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investments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assets</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founding members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Amounts due to managing member</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Accrued payroll and related expenses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liabilities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MEMBERS’ EQUITY/DEFICIT (including accumulated other comprehensive loss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$0.0 and $1.6, respectively)</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(317.4)</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LIABILITIES AND EQUITY/DEFICIT</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91"/>
              </w:rPr>
              <w:t>September 25,</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w w:val="93"/>
              </w:rPr>
              <w:t>September 25,</w:t>
            </w:r>
          </w:p>
        </w:tc>
        <w:tc>
          <w:tcPr>
            <w:tcW w:w="120" w:type="dxa"/>
            <w:vAlign w:val="bottom"/>
          </w:tcPr>
          <w:p>
            <w:pPr>
              <w:spacing w:after="0"/>
              <w:rPr>
                <w:sz w:val="11"/>
                <w:szCs w:val="11"/>
                <w:color w:val="auto"/>
              </w:rPr>
            </w:pPr>
          </w:p>
        </w:tc>
      </w:tr>
      <w:tr>
        <w:trPr>
          <w:trHeight w:val="171"/>
        </w:trPr>
        <w:tc>
          <w:tcPr>
            <w:tcW w:w="50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 (including revenue from founding</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members of $6.5, $9.1, $23.2 and $28.4, respectively)</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FF0FC"/>
          </w:tcPr>
          <w:p>
            <w:pPr>
              <w:spacing w:after="0"/>
              <w:rPr>
                <w:sz w:val="20"/>
                <w:szCs w:val="20"/>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 operating costs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Theatre access fees—founding members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fee—managing member</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on borrowings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expense</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1"/>
              </w:rPr>
              <w:t>September 25,</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3"/>
              </w:rPr>
              <w:t>September 25,</w:t>
            </w:r>
          </w:p>
        </w:tc>
        <w:tc>
          <w:tcPr>
            <w:tcW w:w="120" w:type="dxa"/>
            <w:vAlign w:val="bottom"/>
          </w:tcPr>
          <w:p>
            <w:pPr>
              <w:spacing w:after="0"/>
              <w:rPr>
                <w:sz w:val="11"/>
                <w:szCs w:val="1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195"/>
        </w:trPr>
        <w:tc>
          <w:tcPr>
            <w:tcW w:w="5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INCOME, NET OF TAX OF $0.2, $0.0, $0.3 AND</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$0.5, RESPECTIVELY</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9"/>
              </w:rPr>
              <w:t>October 1, 2015</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25, 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Amortization of terminated derivatives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Receivables, net</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Accounts payable and accrued expenses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Amounts due to founding members and managing member</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Other, net</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ind w:left="124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borrowings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Repayments of borrowings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of debt issuance costs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Founding member integration payments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1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Beginning of period</w:t>
            </w:r>
          </w:p>
        </w:tc>
        <w:tc>
          <w:tcPr>
            <w:tcW w:w="1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End of period</w:t>
            </w:r>
          </w:p>
        </w:tc>
        <w:tc>
          <w:tcPr>
            <w:tcW w:w="1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6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9"/>
              </w:rPr>
              <w:t>October 1, 2015</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w w:val="93"/>
              </w:rPr>
              <w:t>September 25, 2014</w:t>
            </w:r>
          </w:p>
        </w:tc>
        <w:tc>
          <w:tcPr>
            <w:tcW w:w="120" w:type="dxa"/>
            <w:vAlign w:val="bottom"/>
          </w:tcPr>
          <w:p>
            <w:pPr>
              <w:spacing w:after="0"/>
              <w:rPr>
                <w:sz w:val="13"/>
                <w:szCs w:val="13"/>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Write-off of property and equipment included in accrued expenses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(approximately 21 years remaining as of October 1, 2015) and certain third-party theatre circuits (known as “network affiliates”) under long-term network affiliate agreements, which have terms from three to twenty years.</w:t>
      </w:r>
    </w:p>
    <w:p>
      <w:pPr>
        <w:spacing w:after="0" w:line="12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October 1, 2015, NCM LLC had 130,723,361 common membership units outstanding, of which 59,018,867 (45.2%) were owned by NCM, Inc., 26,409,784 (20.2%) were owned by Regal, 25,631,046 (19.6%) were owned by Cinemark and 19,663,664 (15.0%) were owned by AMC. The membership units held by the founding members are exchangeable into NCM, Inc. common stock on a one-for-one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77"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This payment was $2 million lower than the reverse termination fee contemplated by the Merger Agreement. During the nine months ended October 1, 2015, the Company also either paid directly or reimbursed NCM, Inc. for the legal and other merger-related costs of approximately $15.0 million ($7.5 million incurred by NCM, Inc. during the year ended January 1, 2015 and approximately $7.5 million incurred by NCM LLC during the nine months ended October 1, 2015). NCM, Inc. and the founding members each bore a pro rata portion of the merger termination fee and the related merger expenses based on their aggregate ownership percentages in NCM LLC.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January 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January 1, 2015.</w:t>
      </w:r>
    </w:p>
    <w:p>
      <w:pPr>
        <w:spacing w:after="0" w:line="97"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advertising.</w:t>
      </w:r>
    </w:p>
    <w:p>
      <w:pPr>
        <w:spacing w:after="0" w:line="9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January 1, 2015 contain a complete discussion of the Company’s significant accounting policies. Following is additional information related to the Company’s accounting policies.</w:t>
      </w:r>
    </w:p>
    <w:p>
      <w:pPr>
        <w:spacing w:after="0" w:line="170"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—Bad debts are provided for using the allowance for doubtful accounts method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the fact that the majority of accounts receivable are with large, national advertising agencies that have strong reputations in the advertising industry and clients with stable financial positions. The Company has smaller contracts with thousands of local clients that are not individually significant. As of October 1, 2015 and January 1, 2015, there were no advertising agency groups or individual customers through which the Company sources national advertising revenue representing more than 10% of the Company’s outstanding gross receivable balance. During the three and nine months ended October 1, 2015 and the three months ended September 25, 2014, there were no customers that accounted for more than 10% of revenue. During the nine months ended September 25, 2014, revenue related to advertisements of NCM LLC’s founding members’ beverage supplier accounted for 10.4% of total revenue.</w:t>
      </w:r>
    </w:p>
    <w:p>
      <w:pPr>
        <w:spacing w:after="0" w:line="178"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NCM, Inc. Equity Incentive Plan. NCM, Inc. has issued stock options and restricted stock to certain employees and restricted stock units to its independent directors under the NCM, Inc. Equity Incentive Plan. In 2015 and 2014, NCM, Inc. did not grant stock options. In 2015 and 2014,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October 1, 2015 and September 25, 2014 and the nine months ended October 1, 2015 and September 25, 2014, NCM, Inc. acquired 6,829, 4,799, 267,941 and 227,851 units, respectively, due to the vesting of restricted stock and restricted stock units and exercise of stock options and contributed $0.1 million, $0.0 million, $1.2 million and $0.8 million to NCM LLC for the three months ended October 1, 2015 and September 25, 2014 and the nine months ended October 1, 2015 and September 25, 2014, respectively.</w:t>
      </w:r>
    </w:p>
    <w:p>
      <w:pPr>
        <w:spacing w:after="0" w:line="169"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(“ASU 2014-09”), which supersedes the revenue recognition requirements in Accounting Standards Codification 605,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The new revenue recognition standard requires entities to recognize revenue in a way that depicts the transfer of promised goods or services to customers in 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amount that reflects the consideration to which the entity expects to be entitled to in exchange for those goods or services. This guidance will be effective for annual periods beginning after December 15, 2017 and early adoption is permitted no earlier than fiscal years beginning after December 15, 2016.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54"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 xml:space="preserve">In January 2015, the FASB issued Accounting Standards Update 2015-01, </w:t>
      </w:r>
      <w:r>
        <w:rPr>
          <w:rFonts w:ascii="Arial" w:cs="Arial" w:eastAsia="Arial" w:hAnsi="Arial"/>
          <w:sz w:val="17"/>
          <w:szCs w:val="17"/>
          <w:i w:val="1"/>
          <w:iCs w:val="1"/>
          <w:color w:val="auto"/>
        </w:rPr>
        <w:t>Income Statement Extraordinary and Unusual Items (Subtopic 225-20):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Income Statement Presentation by Eliminating the Concept of Extraordinary Items </w:t>
      </w:r>
      <w:r>
        <w:rPr>
          <w:rFonts w:ascii="Arial" w:cs="Arial" w:eastAsia="Arial" w:hAnsi="Arial"/>
          <w:sz w:val="17"/>
          <w:szCs w:val="17"/>
          <w:color w:val="auto"/>
        </w:rPr>
        <w:t>(“ASU 2015-01”), which eliminates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This guidance is effective for fiscal years, and interim periods within those fiscal years, beginning after December 15, 2015. Early adoption is permitted provided that the guidance is applied from the beginning of the fiscal year of adoption. A reporting entity may apply ASU 2015-01 prospectively. A reporting entity may also apply ASU 2015-01 retrospectively to all periods presented in the financial statements. The Company expects to adopt this accounting guidance in its first quarter of 2016 and does not expect the application of ASU 2015-01 to have a material impact in the unaudited Condensed Financial Statements or notes thereto.</w:t>
      </w:r>
    </w:p>
    <w:p>
      <w:pPr>
        <w:spacing w:after="0" w:line="182"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 xml:space="preserve">In February 2015, the FASB issued Accounting Standards Update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xml:space="preserve"> (“ASU 2015-02”).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ASU 2015-02 is effective for interim and annual reporting periods beginning after December 15, 2015, with early adoption permitted. The Company does not expect the application of ASU 2015-02 to have a material impact in the unaudited Condensed Financial Statements or notes thereto.</w:t>
      </w:r>
    </w:p>
    <w:p>
      <w:pPr>
        <w:spacing w:after="0" w:line="178"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 xml:space="preserve">In April 2015, the FASB issued Accounting Standards Update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(“ASU 2015-03”), which provides guidance for simplifying the presentation of debt issuance costs. ASU 2015-03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that debt issuance costs be presented in the balance sheet as a direct deduction from the carrying amount of debt liability, consistent with debt discounts or premiums. This guidance will be effective for fiscal years beginning after December 15, 2015, and early adoption is permitted for financial statements that have not been previously issued. The standard requires application on a retrospective basis and represents a change in accounting principle. In addition, in August 2015, Accounting Standards Update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was released which added SEC paragraphs pursuant to the SEC Staff Announcement at the June 18, 2015 Emerging Issues Task Force (EITF) meeting about the presentation and subsequent measurement of debt issuance costs associated with line-of-credit arrangements.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impact of ASU 2015-03 and ASU 2015-15 on the Company’s Financial Statements includes a reclassification of net deferred financing costs related to the Company’s Term Loans, Senior Secured Notes and Senior Unsecured Notes to be presented in the Balance Sheets as a direct deduction from the carrying amount of those borrowings, while net deferred financing costs related to the Company’s Revolving Credit Facility will remain an asset. As of October 1, 2015, the Company had $11.2 million of net deferred financing costs related to its Term Loans, Senior Secured Notes and Senior Unsecured Notes. The Company is currently evaluating when it will adopt this accounting guidance.</w:t>
      </w:r>
    </w:p>
    <w:p>
      <w:pPr>
        <w:spacing w:after="0" w:line="169"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April 2015, the FASB issued Accounting Standards Update 2015-05, “</w:t>
      </w:r>
      <w:r>
        <w:rPr>
          <w:rFonts w:ascii="Arial" w:cs="Arial" w:eastAsia="Arial" w:hAnsi="Arial"/>
          <w:sz w:val="17"/>
          <w:szCs w:val="17"/>
          <w:i w:val="1"/>
          <w:iCs w:val="1"/>
          <w:color w:val="auto"/>
        </w:rPr>
        <w:t>Intangibles-Goodwill and Other – 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Fees Paid in a Cloud Computing Arrangement” </w:t>
      </w:r>
      <w:r>
        <w:rPr>
          <w:rFonts w:ascii="Arial" w:cs="Arial" w:eastAsia="Arial" w:hAnsi="Arial"/>
          <w:sz w:val="17"/>
          <w:szCs w:val="17"/>
          <w:color w:val="auto"/>
        </w:rPr>
        <w:t>(“ASU 2015-05”), which provides guidance on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This guidance is effective for fiscal years beginning after December 15, 2015, including interim periods within that reporting period, with early adoption permitted. The Company does not expect the application of ASU 2015-05 to have a material impact in the unaudited Condensed Financial Statements or notes thereto.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2015 and 2014, the Company issued 2,160,915 and 1,087,911 common membership units to our founding members, respectively, for the rights to exclusive access to the theatre screens and attendees added, net of dispositions by the founding members to NCM LLC’s network during the previous year. The Company recorded a net intangible asset of $31.4 million and $16.4 million during the three months ended April 2, 2015 and March 27, 2014, respectively, as a result of the Common Unit Adjustments.</w:t>
      </w:r>
    </w:p>
    <w:p>
      <w:pPr>
        <w:spacing w:after="0" w:line="178"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October 1, 2015 and September 25, 2014 and the nine months ended October 1, 2015 and September 25, 2014, the Company recorded a reduction to net intangible assets of $0.7 million, $0.6 million, $1.8 million and $1.4 million, respectively, related to integration payments due from AMC and Cinemark related to their acquisitions of theatres from Rave Cinemas that are encumbered by an existing on-screen advertising agreement with an alternative provider. During the three months ended October 1, 2015 and September 25, 2014 and the nine months ended October 1, 2015 and September 25, 2014, AMC and Cinemark paid a total of $0.8 million, $0.6 million, $1.9 million and $1.5 million, respectively, in integration payments.</w:t>
      </w:r>
    </w:p>
    <w:p>
      <w:pPr>
        <w:spacing w:after="0" w:line="173"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40" w:hanging="558"/>
        <w:spacing w:after="0" w:line="272" w:lineRule="auto"/>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64" w:lineRule="exact"/>
        <w:rPr>
          <w:rFonts w:ascii="Arial" w:cs="Arial" w:eastAsia="Arial" w:hAnsi="Arial"/>
          <w:sz w:val="17"/>
          <w:szCs w:val="17"/>
          <w:color w:val="auto"/>
        </w:rPr>
      </w:pPr>
    </w:p>
    <w:p>
      <w:pPr>
        <w:ind w:left="1120" w:right="380" w:hanging="558"/>
        <w:spacing w:after="0" w:line="282"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71"/>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1112"/>
        <w:spacing w:after="0"/>
        <w:rPr>
          <w:sz w:val="20"/>
          <w:szCs w:val="20"/>
          <w:color w:val="auto"/>
        </w:rPr>
      </w:pPr>
      <w:r>
        <w:rPr>
          <w:rFonts w:ascii="Arial" w:cs="Arial" w:eastAsia="Arial" w:hAnsi="Arial"/>
          <w:sz w:val="17"/>
          <w:szCs w:val="17"/>
          <w:color w:val="auto"/>
        </w:rPr>
        <w:t>construction of new theatres or sale of theatres that are operated by each founding member and included in the Company’s network.</w:t>
      </w:r>
    </w:p>
    <w:p>
      <w:pPr>
        <w:spacing w:after="0" w:line="125" w:lineRule="exact"/>
        <w:rPr>
          <w:sz w:val="20"/>
          <w:szCs w:val="20"/>
          <w:color w:val="auto"/>
        </w:rPr>
      </w:pPr>
    </w:p>
    <w:p>
      <w:pPr>
        <w:ind w:left="1112" w:right="80" w:hanging="558"/>
        <w:spacing w:after="0" w:line="303" w:lineRule="auto"/>
        <w:tabs>
          <w:tab w:leader="none" w:pos="111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155" w:lineRule="exact"/>
        <w:rPr>
          <w:sz w:val="20"/>
          <w:szCs w:val="20"/>
          <w:color w:val="auto"/>
        </w:rPr>
      </w:pPr>
    </w:p>
    <w:p>
      <w:pPr>
        <w:ind w:left="552"/>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98"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6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72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2"/>
              </w:rPr>
              <w:t>October 1, 2015</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25,</w:t>
            </w:r>
          </w:p>
        </w:tc>
        <w:tc>
          <w:tcPr>
            <w:tcW w:w="18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3"/>
              </w:rPr>
              <w:t>October 1, 2015</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w w:val="96"/>
              </w:rPr>
              <w:t>September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25, 2014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Borders>
              <w:top w:val="single" w:sz="8" w:color="CFF0FC"/>
            </w:tcBorders>
            <w:shd w:val="clear" w:color="auto" w:fill="CFF0FC"/>
          </w:tcPr>
          <w:p>
            <w:pPr>
              <w:spacing w:after="0"/>
              <w:rPr>
                <w:sz w:val="15"/>
                <w:szCs w:val="15"/>
                <w:color w:val="auto"/>
              </w:rPr>
            </w:pPr>
          </w:p>
        </w:tc>
        <w:tc>
          <w:tcPr>
            <w:tcW w:w="442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8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66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17.0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products and rental of theatre space (included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products and rental of theatre space (included</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in other administrative and other costs)</w:t>
            </w: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0FC"/>
          </w:tcPr>
          <w:p>
            <w:pPr>
              <w:spacing w:after="0"/>
              <w:rPr>
                <w:sz w:val="16"/>
                <w:szCs w:val="16"/>
                <w:color w:val="auto"/>
              </w:rPr>
            </w:pPr>
          </w:p>
        </w:tc>
        <w:tc>
          <w:tcPr>
            <w:tcW w:w="442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Interest income from notes receivable (included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2" w:right="80" w:hanging="552"/>
        <w:spacing w:after="0" w:line="253" w:lineRule="auto"/>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For the three months ended October 1, 2015,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 For the first six months of 2015 and for the three and nine months ended September 25, 2014, the founding members purchased 60 seconds of on-screen advertising time.</w:t>
      </w:r>
    </w:p>
    <w:p>
      <w:pPr>
        <w:spacing w:after="0" w:line="3" w:lineRule="exact"/>
        <w:rPr>
          <w:rFonts w:ascii="Arial" w:cs="Arial" w:eastAsia="Arial" w:hAnsi="Arial"/>
          <w:sz w:val="18"/>
          <w:szCs w:val="18"/>
          <w:i w:val="1"/>
          <w:iCs w:val="1"/>
          <w:color w:val="auto"/>
        </w:rPr>
      </w:pPr>
    </w:p>
    <w:p>
      <w:pPr>
        <w:ind w:left="552" w:hanging="552"/>
        <w:spacing w:after="0"/>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52" w:hanging="552"/>
        <w:spacing w:after="0" w:line="250" w:lineRule="auto"/>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ind w:left="552" w:hanging="552"/>
        <w:spacing w:after="0"/>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52" w:hanging="552"/>
        <w:spacing w:after="0" w:line="250" w:lineRule="auto"/>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552" w:right="40" w:hanging="552"/>
        <w:spacing w:after="0" w:line="253" w:lineRule="auto"/>
        <w:tabs>
          <w:tab w:leader="none" w:pos="552"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2"/>
          </w:cols>
          <w:pgMar w:left="248" w:top="121"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Included in the Condensed Balance Sheets:</w:t>
            </w: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October 1, 2015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1, 2015</w:t>
            </w:r>
          </w:p>
        </w:tc>
        <w:tc>
          <w:tcPr>
            <w:tcW w:w="0" w:type="dxa"/>
            <w:vAlign w:val="bottom"/>
          </w:tcPr>
          <w:p>
            <w:pPr>
              <w:spacing w:after="0"/>
              <w:rPr>
                <w:sz w:val="1"/>
                <w:szCs w:val="1"/>
                <w:color w:val="auto"/>
              </w:rPr>
            </w:pPr>
          </w:p>
        </w:tc>
      </w:tr>
      <w:tr>
        <w:trPr>
          <w:trHeight w:val="209"/>
        </w:trPr>
        <w:tc>
          <w:tcPr>
            <w:tcW w:w="5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(included in Prepaid expenses) </w:t>
            </w:r>
            <w:r>
              <w:rPr>
                <w:rFonts w:ascii="Arial" w:cs="Arial" w:eastAsia="Arial" w:hAnsi="Arial"/>
                <w:sz w:val="18"/>
                <w:szCs w:val="18"/>
                <w:i w:val="1"/>
                <w:iCs w:val="1"/>
                <w:color w:val="auto"/>
              </w:rPr>
              <w:t>(1)</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(2)</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(2)</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(2)</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(3)</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40"/>
              <w:spacing w:after="0"/>
              <w:rPr>
                <w:sz w:val="20"/>
                <w:szCs w:val="20"/>
                <w:color w:val="auto"/>
              </w:rPr>
            </w:pPr>
            <w:r>
              <w:rPr>
                <w:rFonts w:ascii="Arial" w:cs="Arial" w:eastAsia="Arial" w:hAnsi="Arial"/>
                <w:sz w:val="18"/>
                <w:szCs w:val="18"/>
                <w:color w:val="auto"/>
              </w:rPr>
              <w:t>Common unit adjustments and integration payments, net of</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8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(4)</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rFonts w:ascii="Arial" w:cs="Arial" w:eastAsia="Arial" w:hAnsi="Arial"/>
          <w:sz w:val="18"/>
          <w:szCs w:val="18"/>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560" w:right="320" w:hanging="552"/>
        <w:spacing w:after="0" w:line="281" w:lineRule="auto"/>
        <w:tabs>
          <w:tab w:leader="none" w:pos="5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16, 2015, NCM, Inc. announced the termination of the Merger Agreement with Screenvision. After the Merger Agreement was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NCM LLC reimbursed NCM, Inc. for certain expenses pursuant to an indemnification agreement among NCM LLC, NCM, Inc. and the founding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members. On March 17, 2015, the Company paid Screenvision an approximate $26.8 million termination payment on behalf of NCM, Inc. This payment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lower than the reverse termination fee contemplated by the Merger Agreement. During the nine months ended October 1, 2015,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paid directly or reimbursed NCM, Inc. for the legal and other merger-related costs of approximately $15.0 million ($7.5 million incurred by NCM,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January 1, 2015 and approximately $7.5 million incurred by NCM LLC during the nine months ended October 1, 2015). NCM, Inc.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founding members each bore a pro rata portion of the termination fee and the related merger expenses based on their aggregate ownership percentages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NCM LLC.</w:t>
      </w:r>
    </w:p>
    <w:p>
      <w:pPr>
        <w:spacing w:after="0" w:line="211"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nine months ended October 1, 2015 and September 25, 2014 were as follows (in millions):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3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w w:val="93"/>
              </w:rPr>
              <w:t>September 25,</w:t>
            </w:r>
          </w:p>
        </w:tc>
        <w:tc>
          <w:tcPr>
            <w:tcW w:w="120" w:type="dxa"/>
            <w:vAlign w:val="bottom"/>
          </w:tcPr>
          <w:p>
            <w:pPr>
              <w:spacing w:after="0"/>
              <w:rPr>
                <w:sz w:val="11"/>
                <w:szCs w:val="11"/>
                <w:color w:val="auto"/>
              </w:rPr>
            </w:pPr>
          </w:p>
        </w:tc>
      </w:tr>
      <w:tr>
        <w:trPr>
          <w:trHeight w:val="171"/>
        </w:trPr>
        <w:tc>
          <w:tcPr>
            <w:tcW w:w="32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AMC</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Cinemark</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3"/>
        </w:trPr>
        <w:tc>
          <w:tcPr>
            <w:tcW w:w="328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NCM LLC revolving credit facility.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mandatory distributions of available cash by the Company to its founding members for the three months ended October 1, 2015 of $24.7 million is included in amounts due to founding members on the unaudited Condensed Balance Sheets as of October 1, 2015 and will be made in the fourth quarter of 2015. The mandatory distributions of available cash by NCM LLC to its managing member for the three months ended October 1, 2015 of $20.4 million is included in amounts due to managing member on the unaudited Condensed Balance Sheets as of October 1, 2015 and will be made in the fourth quarter of 2015.</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October 1, 2015 were comprised of the following (in millions):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Cinemark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ind w:left="40"/>
              <w:spacing w:after="0"/>
              <w:rPr>
                <w:sz w:val="20"/>
                <w:szCs w:val="20"/>
                <w:color w:val="auto"/>
              </w:rPr>
            </w:pPr>
            <w:r>
              <w:rPr>
                <w:rFonts w:ascii="Arial" w:cs="Arial" w:eastAsia="Arial" w:hAnsi="Arial"/>
                <w:sz w:val="14"/>
                <w:szCs w:val="14"/>
                <w:b w:val="1"/>
                <w:bCs w:val="1"/>
                <w:color w:val="auto"/>
              </w:rPr>
              <w:t>Regal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4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24.7</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 amounts due to founding members</w:t>
            </w:r>
          </w:p>
        </w:tc>
        <w:tc>
          <w:tcPr>
            <w:tcW w:w="4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19"/>
          </w:tcPr>
          <w:p>
            <w:pPr>
              <w:spacing w:after="0"/>
              <w:rPr>
                <w:sz w:val="20"/>
                <w:szCs w:val="20"/>
                <w:color w:val="auto"/>
              </w:rPr>
            </w:pPr>
            <w:r>
              <w:rPr>
                <w:rFonts w:ascii="Arial" w:cs="Arial" w:eastAsia="Arial" w:hAnsi="Arial"/>
                <w:sz w:val="18"/>
                <w:szCs w:val="18"/>
                <w:color w:val="auto"/>
                <w:w w:val="95"/>
              </w:rPr>
              <w:t>Amounts due to founding members as of January 1, 2015 were comprised of the following (in millions):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60" w:type="dxa"/>
            <w:vAlign w:val="bottom"/>
            <w:gridSpan w:val="4"/>
            <w:vMerge w:val="restart"/>
          </w:tcPr>
          <w:p>
            <w:pPr>
              <w:ind w:left="20"/>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Cinemark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b w:val="1"/>
                <w:bCs w:val="1"/>
                <w:color w:val="auto"/>
                <w:w w:val="89"/>
              </w:rPr>
              <w:t>Regal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60" w:type="dxa"/>
            <w:vAlign w:val="bottom"/>
            <w:gridSpan w:val="4"/>
            <w:vMerge w:val="continue"/>
          </w:tcPr>
          <w:p>
            <w:pPr>
              <w:spacing w:after="0"/>
              <w:rPr>
                <w:sz w:val="19"/>
                <w:szCs w:val="19"/>
                <w:color w:val="auto"/>
              </w:rPr>
            </w:pPr>
          </w:p>
        </w:tc>
        <w:tc>
          <w:tcPr>
            <w:tcW w:w="44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center"/>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 and other reimbursement</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5"/>
              <w:spacing w:after="0"/>
              <w:rPr>
                <w:sz w:val="20"/>
                <w:szCs w:val="20"/>
                <w:color w:val="auto"/>
              </w:rPr>
            </w:pPr>
            <w:r>
              <w:rPr>
                <w:rFonts w:ascii="Arial" w:cs="Arial" w:eastAsia="Arial" w:hAnsi="Arial"/>
                <w:sz w:val="18"/>
                <w:szCs w:val="18"/>
                <w:color w:val="auto"/>
              </w:rPr>
              <w:t>(0.6)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5"/>
            <w:shd w:val="clear" w:color="auto" w:fill="CFF0FC"/>
          </w:tcPr>
          <w:p>
            <w:pPr>
              <w:jc w:val="right"/>
              <w:ind w:right="8"/>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Distributions payable to founding members</w:t>
            </w:r>
          </w:p>
        </w:tc>
        <w:tc>
          <w:tcPr>
            <w:tcW w:w="4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44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13.4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9"/>
          </w:tcPr>
          <w:p>
            <w:pPr>
              <w:spacing w:after="0"/>
              <w:rPr>
                <w:sz w:val="20"/>
                <w:szCs w:val="20"/>
                <w:color w:val="auto"/>
              </w:rPr>
            </w:pPr>
            <w:r>
              <w:rPr>
                <w:rFonts w:ascii="Arial" w:cs="Arial" w:eastAsia="Arial" w:hAnsi="Arial"/>
                <w:sz w:val="18"/>
                <w:szCs w:val="18"/>
                <w:color w:val="auto"/>
                <w:w w:val="94"/>
              </w:rPr>
              <w:t>Amounts due to/from managing member were comprised of the following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jc w:val="right"/>
              <w:ind w:right="168"/>
              <w:spacing w:after="0" w:line="133"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5"/>
              </w:rPr>
              <w:t>20.4</w:t>
            </w:r>
          </w:p>
        </w:tc>
        <w:tc>
          <w:tcPr>
            <w:tcW w:w="1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5"/>
              </w:rPr>
              <w:t>15.5</w:t>
            </w: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$1.4 million and $1.3 million as of October 1, 2015 and January 1, 2015, respectively. Equity in earnings from AC JV, LLC was $0.0 million, $0.0 million, $0.1 million and $0.1 million for the three months ended October 1, 2015 and September 25, 2014 and the nine months ended October 1, 2015 and September 25, 2014, respectively and is included in non-operating expenses in the unaudited Condensed Statements of Income.</w:t>
      </w:r>
    </w:p>
    <w:p>
      <w:pPr>
        <w:spacing w:after="0" w:line="178"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October 1, 2015 and September 25, 2014 and the nine months ended October 1, 2015 and September 25, 2014, there was approximately $0.1 million, $0.0 million $0.2 million and $0.1 million, respectively, included in advertising</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costs related to LA Live, and there was approximately $0.1 million and $0.1 million of accounts payable with this company as of October 1, 2015 and January 1, 2015, respectively.</w:t>
      </w:r>
    </w:p>
    <w:p>
      <w:pPr>
        <w:spacing w:after="0" w:line="170"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Company has an agreement with Starplex Operating L.P. (“Starplex”), an affiliate of one of NCM, Inc.’s former directors, who was a member of NCM, Inc.’s board of directors from the IPO date until his resignation during 2014. During the three and nine months ended September 25, 2014, there was approximately $0.8 million and $1.3 million included in advertising operating costs related to Starplex, and there was approximately $0.9 million of accounts payable with Starplex as of January 1, 2015. Following the director’s resignation from NCM, Inc.’s board of directors in 2014, Starplex is no longer a related party.</w:t>
      </w:r>
    </w:p>
    <w:p>
      <w:pPr>
        <w:spacing w:after="0" w:line="188"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has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During the three months ended October 1, 2015 and September 25, 2014 and the nine months ended October 1, 2015 and September 25, 2014, this company generated approximately $0.0 million, $0.0 million, $0.0 million and $0.1 million, respectively, in revenue for NCM LLC and there was approximately $0.3 million and $0.3 million of accounts receivable due from this company as of October 1, 2015 and January 1, 2015, respectively.</w:t>
      </w:r>
    </w:p>
    <w:p>
      <w:pPr>
        <w:spacing w:after="0" w:line="188"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 xml:space="preserve">NCM LLC has an agreement with AEG Live, an affiliate of The Anschutz Corporation, for AEG Live to showcase musical artists in NCM LLC’s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During the three months ended October 1, 2015 and September 25, 2014 and the nine months ended October 1, 2015 and September 25,</w:t>
      </w:r>
      <w:r>
        <w:rPr>
          <w:rFonts w:ascii="Arial" w:cs="Arial" w:eastAsia="Arial" w:hAnsi="Arial"/>
          <w:sz w:val="17"/>
          <w:szCs w:val="17"/>
          <w:i w:val="1"/>
          <w:iCs w:val="1"/>
          <w:color w:val="auto"/>
        </w:rPr>
        <w:t xml:space="preserve"> </w:t>
      </w:r>
      <w:r>
        <w:rPr>
          <w:rFonts w:ascii="Arial" w:cs="Arial" w:eastAsia="Arial" w:hAnsi="Arial"/>
          <w:sz w:val="17"/>
          <w:szCs w:val="17"/>
          <w:color w:val="auto"/>
        </w:rPr>
        <w:t>2014, NCM LLC received approximately $0.3 million, $0.2 million, $1.2 million and $0.2 million, respectively, in revenue from AEG Live and as of October 1, 2015 and January 1, 2015, had $0.3 million and $0.4 million, respectively, of accounts receivable from AEG Live.</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October 1, 2015 and January 1, 2015 and the significant terms of its borrowing arrangements (in millions):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Outstanding Balance as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w w:val="98"/>
              </w:rPr>
              <w:t>October 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Maturity Date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November 26, 2019</w:t>
            </w:r>
          </w:p>
        </w:tc>
        <w:tc>
          <w:tcPr>
            <w:tcW w:w="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i w:val="1"/>
                <w:iCs w:val="1"/>
                <w:color w:val="auto"/>
                <w:w w:val="99"/>
              </w:rPr>
              <w:t>(1)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Term Loans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26, 2019</w:t>
            </w:r>
          </w:p>
        </w:tc>
        <w:tc>
          <w:tcPr>
            <w:tcW w:w="110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Notes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July 15, 2021</w:t>
            </w:r>
          </w:p>
        </w:tc>
        <w:tc>
          <w:tcPr>
            <w:tcW w:w="110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Notes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8"/>
                <w:szCs w:val="18"/>
                <w:color w:val="auto"/>
                <w:w w:val="95"/>
              </w:rPr>
              <w:t>April 15, 2022</w:t>
            </w:r>
          </w:p>
        </w:tc>
        <w:tc>
          <w:tcPr>
            <w:tcW w:w="1100" w:type="dxa"/>
            <w:vAlign w:val="bottom"/>
            <w:tcBorders>
              <w:bottom w:val="single" w:sz="8" w:color="CFF0FC"/>
            </w:tcBorders>
          </w:tcPr>
          <w:p>
            <w:pPr>
              <w:jc w:val="right"/>
              <w:ind w:right="174"/>
              <w:spacing w:after="0"/>
              <w:rPr>
                <w:sz w:val="20"/>
                <w:szCs w:val="20"/>
                <w:color w:val="auto"/>
              </w:rPr>
            </w:pPr>
            <w:r>
              <w:rPr>
                <w:rFonts w:ascii="Arial" w:cs="Arial" w:eastAsia="Arial" w:hAnsi="Arial"/>
                <w:sz w:val="18"/>
                <w:szCs w:val="18"/>
                <w:color w:val="auto"/>
              </w:rPr>
              <w:t>6.000%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October 1, 2015 and January 1, 2015, the Company’s senior secured credit facility consisted of a $135.0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revolving credit facility and a $270.0 million term loan.</w:t>
      </w:r>
    </w:p>
    <w:p>
      <w:pPr>
        <w:spacing w:after="0" w:line="170"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As of October 1, 2015, the Company’s total availability under the revolving credit facility was $69.0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October 1, 2015 was 2.51%.</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October 1, 2015 was 2.95%. Interest on the term loans is currently paid monthly.</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October 1, 2015,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October 1, 2015, the Company’s consolidated net senior secured leverage ratio was 3.2 times (versus the covenant of 6.5 times).</w:t>
      </w:r>
    </w:p>
    <w:p>
      <w:pPr>
        <w:spacing w:after="0" w:line="18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Senior Unsecured Notes due 2021</w:t>
      </w:r>
      <w:r>
        <w:rPr>
          <w:rFonts w:ascii="Arial" w:cs="Arial" w:eastAsia="Arial" w:hAnsi="Arial"/>
          <w:sz w:val="18"/>
          <w:szCs w:val="18"/>
          <w:color w:val="auto"/>
        </w:rPr>
        <w:t>—On July 5, 2011, the Company completed a private placement of $200.0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is in compliance as of October 1, 2015.</w:t>
      </w:r>
    </w:p>
    <w:p>
      <w:pPr>
        <w:spacing w:after="0" w:line="19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was in compliance as of October 1, 2015.</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into in the ordinary course of business under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twenty years, prior to any renewal periods of which some are at the option of the Company. As of October 1, 2015, the maximum potential amount of future payments the Company could be required to make pursuant to the minimum revenue guarantees is $37.5 million over the remaining terms of the network affiliate agreements, which calculation does not include any potential future extensions. As of October 1, 2015 and January 1, 2015, the Company had an inconsequential amount of liabilities recorded for these obligations.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2015</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1, 2015</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560" w:hanging="552"/>
        <w:spacing w:after="0" w:line="255" w:lineRule="auto"/>
        <w:tabs>
          <w:tab w:leader="none" w:pos="5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During 2014 and 2015, 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190"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fair value of the investments has not been estimated as of October 1, 2015 and January 1, 2015 as there were no identified events or changes in the circumstances that had a significant adverse effect on the fair value of the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87"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As of October 1, 2015 and January 1, 2015, the Company had notes receivable totaling $20.8 million and $20.8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16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9"/>
              </w:rPr>
              <w:t>As of October 1, 2015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9"/>
              </w:rPr>
              <w:t>As of January 1, 2015</w:t>
            </w:r>
          </w:p>
        </w:tc>
        <w:tc>
          <w:tcPr>
            <w:tcW w:w="60" w:type="dxa"/>
            <w:vAlign w:val="bottom"/>
          </w:tcPr>
          <w:p>
            <w:pPr>
              <w:spacing w:after="0"/>
              <w:rPr>
                <w:sz w:val="14"/>
                <w:szCs w:val="14"/>
                <w:color w:val="auto"/>
              </w:rPr>
            </w:pPr>
          </w:p>
        </w:tc>
      </w:tr>
      <w:tr>
        <w:trPr>
          <w:trHeight w:val="237"/>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Carrying Value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Carrying Value</w:t>
            </w:r>
          </w:p>
        </w:tc>
        <w:tc>
          <w:tcPr>
            <w:tcW w:w="1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Senior Unsecured Notes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right="80" w:hanging="552"/>
        <w:spacing w:after="0" w:line="277" w:lineRule="auto"/>
        <w:tabs>
          <w:tab w:leader="none" w:pos="5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2012, the Company terminated interest rate swap agreements that were used to hedge its interest rate risk associated with its term</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loan. Following the termination of the swap agreements, the variable interest rate on the Company’s $270.0 million term loan is unhedged and as of October 1, 2015 and January 1, 2015, the Company did not have any outstanding derivative assets or liabilities.</w:t>
      </w:r>
    </w:p>
    <w:p>
      <w:pPr>
        <w:spacing w:after="0" w:line="184"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October 1, 2015, there were no amounts outstanding related to these discontinued cash flow hedges.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AOCI by component for the nine months ended October 1, 2015 and September 25, 2014 were as follows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247"/>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right"/>
              <w:ind w:right="130"/>
              <w:spacing w:after="0" w:line="133" w:lineRule="exact"/>
              <w:rPr>
                <w:sz w:val="20"/>
                <w:szCs w:val="20"/>
                <w:color w:val="auto"/>
              </w:rPr>
            </w:pPr>
            <w:r>
              <w:rPr>
                <w:rFonts w:ascii="Arial" w:cs="Arial" w:eastAsia="Arial" w:hAnsi="Arial"/>
                <w:sz w:val="14"/>
                <w:szCs w:val="14"/>
                <w:b w:val="1"/>
                <w:bCs w:val="1"/>
                <w:color w:val="auto"/>
              </w:rPr>
              <w:t>September 25,</w:t>
            </w:r>
          </w:p>
        </w:tc>
        <w:tc>
          <w:tcPr>
            <w:tcW w:w="180" w:type="dxa"/>
            <w:vAlign w:val="bottom"/>
          </w:tcPr>
          <w:p>
            <w:pPr>
              <w:spacing w:after="0"/>
              <w:rPr>
                <w:sz w:val="11"/>
                <w:szCs w:val="11"/>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 Location</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(1.6)</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(11.6)</w:t>
            </w:r>
          </w:p>
        </w:tc>
        <w:tc>
          <w:tcPr>
            <w:tcW w:w="2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Amounts reclassified from AOCI:</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on discontinued cash flow</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Amortization of terminated</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hedges</w:t>
            </w:r>
          </w:p>
        </w:tc>
        <w:tc>
          <w:tcPr>
            <w:tcW w:w="880" w:type="dxa"/>
            <w:vAlign w:val="bottom"/>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20"/>
                <w:szCs w:val="20"/>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amounts reclassified from AOCI</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2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other comprehensive income</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heading “Risk Factors” contained in our annual report on Form 10-K for the Company’s fiscal year ended January 1, 2015. The following discussion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January 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 xml:space="preserve">We operate the largest digital in-theatre video advertising network in North America, through which we distribute national and local advertising that the Company has sold on theatre screens and video monitors in theatre lobbies. NCM LLC also sells theatre lobby promotions and online and mobile advertising that are displayed on its and other company websites and mobile sites and apps. Our revenue is principally derived from advertising distributed to our founding member theatres in accordance with long-term ESAs (approximately 21 years remaining as of October 1, 2015) and to network affiliates in accordance with multi-year agreements, which expire at various dates through July 2031. The weighted average remaining term (based on attendance) of the ESAs and the network affiliate agreements is 19.2 years as of October 1, 2015. The ESAs with the founding members and network affiliate agreements grant NCM LLC exclusive rights in their theatres to sell advertising, subject to limited exceptions.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theatre attendance is generated by theatres connected to our DCN (the remaining 622 screens receive advertisements on USB drives) and 100%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is projected on digital projectors (88% digital cinema projectors and 12% LCD projectors).</w:t>
      </w:r>
    </w:p>
    <w:p>
      <w:pPr>
        <w:spacing w:after="0" w:line="61"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“Non-GAAP Financial Measures” below, as some of our primary measurement metrics. In addition, we monitor our monthly advertising performance measurements, including advertising inventory utilization, national advertising pricing (CPM), local/regional advertising rate per screen per week, local/regional and total advertising revenue per attendee, as well as, our free cash flow, dividend coverage ratio, financial leverage and cash balances and revolving credit facility availability to ensure that there is adequate cash availability to fund our working capital needs and debt obligations and current and future distributions to members.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20" w:firstLine="555"/>
        <w:spacing w:after="0" w:line="274" w:lineRule="auto"/>
        <w:rPr>
          <w:sz w:val="20"/>
          <w:szCs w:val="20"/>
          <w:color w:val="auto"/>
        </w:rPr>
      </w:pPr>
      <w:r>
        <w:rPr>
          <w:rFonts w:ascii="Arial" w:cs="Arial" w:eastAsia="Arial" w:hAnsi="Arial"/>
          <w:sz w:val="17"/>
          <w:szCs w:val="17"/>
          <w:color w:val="auto"/>
        </w:rPr>
        <w:t>On May 5, 2014, NCM, Inc. entered into the Merger Agreement to merge with Screenvision. On November 3, 2014, the Department of Justice filed a lawsuit seeking to enjoin the merger. On March 16, 2015, NCM, Inc. announced the termination of the Merger Agreement and the lawsuit was</w:t>
      </w:r>
    </w:p>
    <w:p>
      <w:pPr>
        <w:ind w:right="40"/>
        <w:spacing w:after="0" w:line="269" w:lineRule="auto"/>
        <w:rPr>
          <w:sz w:val="20"/>
          <w:szCs w:val="20"/>
          <w:color w:val="auto"/>
        </w:rPr>
      </w:pPr>
      <w:r>
        <w:rPr>
          <w:rFonts w:ascii="Arial" w:cs="Arial" w:eastAsia="Arial" w:hAnsi="Arial"/>
          <w:sz w:val="17"/>
          <w:szCs w:val="17"/>
          <w:color w:val="auto"/>
        </w:rPr>
        <w:t>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This payment was $2 million lower than the reverse termination fee contemplated by the Merger Agreement. During the nine months ended October 1, 2015, the Company also either paid directly or reimbursed NCM, Inc. for the legal and other merger-related costs of approximately $15.0 million ($7.5 million incurred by NCM, Inc. during the year ended January 1, 2015 and approximately $7.5 million incurred by NCM LLC during the nine months ended October 1, 2015). NCM, Inc. and the founding members each bore a pro rata portion of the termination fee and the related merger expenses based on their aggregate ownership percentages in NCM LLC.</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500" w:firstLine="555"/>
        <w:spacing w:after="0" w:line="342" w:lineRule="auto"/>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 in our Form 10-K filed with the SEC on March 10, 2015 for the Company’s fiscal year ended January 1, 2015 and Item 1A of this Form 10-Q.</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Oct. 1,</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3"/>
              </w:rPr>
              <w:t>Sept. 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Oct. 1,</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3"/>
              </w:rPr>
              <w:t>Sept. 25,</w:t>
            </w:r>
          </w:p>
        </w:tc>
        <w:tc>
          <w:tcPr>
            <w:tcW w:w="28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Q3 2015 to</w:t>
            </w:r>
          </w:p>
        </w:tc>
        <w:tc>
          <w:tcPr>
            <w:tcW w:w="11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rPr>
              <w:t>YTD 2015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2014</w:t>
            </w:r>
          </w:p>
        </w:tc>
        <w:tc>
          <w:tcPr>
            <w:tcW w:w="3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YTD 2014</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Network, administrative and unallocated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termination fee and related merger</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(1)</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Non-operating expenses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28.9%</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Adjusted OIBDA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154.7</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Adjusted OIBDA margin</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46.8%</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505.4</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560" w:right="740" w:hanging="552"/>
        <w:spacing w:after="0" w:line="250"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60" w:right="320" w:hanging="552"/>
        <w:spacing w:after="0" w:line="261"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net income plus income tax expense, interest and other costs and depreciation and amortization expense. Adjusted OIBDA excludes from OIBDA non-cash share based payment costs and the merger termination fee and related merger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Screenvision merger.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presentations may not be comparable to other similarly titled measures of other companies, or calculations in the Company’s debt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net income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Oct. 1,</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Sept. 25,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Oct. 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Sept. 25,</w:t>
            </w:r>
          </w:p>
        </w:tc>
        <w:tc>
          <w:tcPr>
            <w:tcW w:w="180" w:type="dxa"/>
            <w:vAlign w:val="bottom"/>
          </w:tcPr>
          <w:p>
            <w:pPr>
              <w:spacing w:after="0"/>
              <w:rPr>
                <w:sz w:val="11"/>
                <w:szCs w:val="11"/>
                <w:color w:val="auto"/>
              </w:rPr>
            </w:pPr>
          </w:p>
        </w:tc>
      </w:tr>
      <w:tr>
        <w:trPr>
          <w:trHeight w:val="171"/>
        </w:trPr>
        <w:tc>
          <w:tcPr>
            <w:tcW w:w="44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FF0FC"/>
            </w:tcBorders>
          </w:tcPr>
          <w:p>
            <w:pPr>
              <w:spacing w:after="0"/>
              <w:rPr>
                <w:sz w:val="19"/>
                <w:szCs w:val="19"/>
                <w:color w:val="auto"/>
              </w:rPr>
            </w:pPr>
          </w:p>
        </w:tc>
      </w:tr>
      <w:tr>
        <w:trPr>
          <w:trHeight w:val="223"/>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4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Adjusted OIBDA</w:t>
            </w:r>
          </w:p>
        </w:tc>
        <w:tc>
          <w:tcPr>
            <w:tcW w:w="7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80" w:type="dxa"/>
            <w:vAlign w:val="bottom"/>
            <w:shd w:val="clear" w:color="auto" w:fill="CFF0FC"/>
          </w:tcPr>
          <w:p>
            <w:pPr>
              <w:spacing w:after="0"/>
              <w:rPr>
                <w:sz w:val="18"/>
                <w:szCs w:val="18"/>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Adjusted OIBDA margin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r>
    </w:tbl>
    <w:p>
      <w:pPr>
        <w:spacing w:after="0" w:line="201" w:lineRule="exact"/>
        <w:rPr>
          <w:sz w:val="20"/>
          <w:szCs w:val="20"/>
          <w:color w:val="auto"/>
        </w:rPr>
      </w:pPr>
    </w:p>
    <w:p>
      <w:pPr>
        <w:ind w:left="560" w:right="40" w:hanging="552"/>
        <w:spacing w:after="0" w:line="253" w:lineRule="auto"/>
        <w:tabs>
          <w:tab w:leader="none" w:pos="5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$2.1 million, $0.6 million, $5.5 million and $3.0 million for the three months ended October 1, 2015 and September 25, 2014 and the nine months ended October 1, 2015 and September 25, 2014, respectively.</w:t>
      </w:r>
    </w:p>
    <w:p>
      <w:pPr>
        <w:spacing w:after="0" w:line="3" w:lineRule="exact"/>
        <w:rPr>
          <w:rFonts w:ascii="Arial" w:cs="Arial" w:eastAsia="Arial" w:hAnsi="Arial"/>
          <w:sz w:val="18"/>
          <w:szCs w:val="18"/>
          <w:i w:val="1"/>
          <w:iCs w:val="1"/>
          <w:color w:val="auto"/>
        </w:rPr>
      </w:pPr>
    </w:p>
    <w:p>
      <w:pPr>
        <w:ind w:left="560" w:right="720" w:hanging="552"/>
        <w:spacing w:after="0" w:line="261" w:lineRule="auto"/>
        <w:tabs>
          <w:tab w:leader="none" w:pos="5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84"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2015 results to our 2014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740" w:firstLine="555"/>
        <w:spacing w:after="0" w:line="308" w:lineRule="auto"/>
        <w:rPr>
          <w:sz w:val="20"/>
          <w:szCs w:val="20"/>
          <w:color w:val="auto"/>
        </w:rPr>
      </w:pPr>
      <w:r>
        <w:rPr>
          <w:rFonts w:ascii="Arial" w:cs="Arial" w:eastAsia="Arial" w:hAnsi="Arial"/>
          <w:sz w:val="17"/>
          <w:szCs w:val="17"/>
          <w:color w:val="auto"/>
        </w:rPr>
        <w:t>The results of operations data for the three and nine months ended October 1, 2015 and September 25, 2014 was derived from the unaudited Condensed Financial Statements and accounting records of NCM LLC and should be read in conjunction with the notes thereto.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1, 2015 and September 25, 2014</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10.8%, from $100.8 million for the three months ended September 25, 2014 to $111.7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2015. The following is a summary of revenue by category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8"/>
              <w:spacing w:after="0" w:line="133" w:lineRule="exact"/>
              <w:rPr>
                <w:sz w:val="20"/>
                <w:szCs w:val="20"/>
                <w:color w:val="auto"/>
              </w:rPr>
            </w:pPr>
            <w:r>
              <w:rPr>
                <w:rFonts w:ascii="Arial" w:cs="Arial" w:eastAsia="Arial" w:hAnsi="Arial"/>
                <w:sz w:val="14"/>
                <w:szCs w:val="14"/>
                <w:b w:val="1"/>
                <w:bCs w:val="1"/>
                <w:color w:val="auto"/>
                <w:w w:val="98"/>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Q3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2015 to</w:t>
            </w:r>
          </w:p>
        </w:tc>
        <w:tc>
          <w:tcPr>
            <w:tcW w:w="260" w:type="dxa"/>
            <w:vAlign w:val="bottom"/>
          </w:tcPr>
          <w:p>
            <w:pPr>
              <w:spacing w:after="0"/>
              <w:rPr>
                <w:sz w:val="11"/>
                <w:szCs w:val="1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Q3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2014</w:t>
            </w:r>
          </w:p>
        </w:tc>
        <w:tc>
          <w:tcPr>
            <w:tcW w:w="26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w:t>
            </w: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data on theatre attendance and revenue per attendee for the three months ended October 1, 2015 and September 25, 2014:</w:t>
      </w:r>
    </w:p>
    <w:p>
      <w:pPr>
        <w:spacing w:after="0" w:line="321"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89"/>
              </w:rPr>
              <w:t>September 25,</w:t>
            </w:r>
          </w:p>
        </w:tc>
        <w:tc>
          <w:tcPr>
            <w:tcW w:w="2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Q3 2015 to</w:t>
            </w:r>
          </w:p>
        </w:tc>
        <w:tc>
          <w:tcPr>
            <w:tcW w:w="24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2014</w:t>
            </w:r>
          </w:p>
        </w:tc>
        <w:tc>
          <w:tcPr>
            <w:tcW w:w="24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0.385</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26.2%</w:t>
            </w: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0.177</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5"/>
        </w:trPr>
        <w:tc>
          <w:tcPr>
            <w:tcW w:w="2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0.561</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0.617</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ind w:left="560" w:right="320" w:hanging="552"/>
        <w:spacing w:after="0" w:line="277" w:lineRule="auto"/>
        <w:tabs>
          <w:tab w:leader="none" w:pos="5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that are currently part of another cinema advertising network for all periods presented.</w:t>
      </w:r>
    </w:p>
    <w:p>
      <w:pPr>
        <w:spacing w:after="0" w:line="62" w:lineRule="exact"/>
        <w:rPr>
          <w:rFonts w:ascii="Arial" w:cs="Arial" w:eastAsia="Arial" w:hAnsi="Arial"/>
          <w:sz w:val="18"/>
          <w:szCs w:val="18"/>
          <w:i w:val="1"/>
          <w:iCs w:val="1"/>
          <w:color w:val="auto"/>
        </w:rPr>
      </w:pPr>
    </w:p>
    <w:p>
      <w:pPr>
        <w:ind w:left="560"/>
        <w:spacing w:after="0" w:line="288"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$16.9 million, or 26.9%, increase in national advertising revenue (excluding beverage revenue from NCM LLC’s founding members) was due primarily to a 18.4% increase in impressions sold (net of make-good reserve) in the third quarter of 2015, compared to the third quarter of 2014 and a 12.4% increase in national advertising CPMs (excluding beverage) in the third quarter of 2015, compared to the third quarter of 2014. The increase in impressions sold (net of make-good reserve) was driven by an increase in national inventory utilization, which rose from 125.3% for the third quarter of 2014 to 145.8% for the third quarter of 2015, due to an expansion of our client base and increased spending by certain existing clients, related in part to the success of our strategy to compete in the national television upfront marketplace and changes in television viewing habits related to greater DVR usage and the expansion of new online and mobile video networks. Inventory utilization is calculated as utilized impressions divided by total advertising impressions, which is based on eleven 30-second salable national advertising units in our pre-show, which can be expanded, should market demand dictate. The increase in national advertising CPMs relates primarily to strong scatter market demand combined with limited inventory availability due to our successful upfront sales campaign last year.</w:t>
      </w:r>
    </w:p>
    <w:p>
      <w:pPr>
        <w:spacing w:after="0" w:line="61" w:lineRule="exact"/>
        <w:rPr>
          <w:rFonts w:ascii="Arial" w:cs="Arial" w:eastAsia="Arial" w:hAnsi="Arial"/>
          <w:sz w:val="18"/>
          <w:szCs w:val="18"/>
          <w:i w:val="1"/>
          <w:iCs w:val="1"/>
          <w:color w:val="auto"/>
        </w:rPr>
      </w:pPr>
    </w:p>
    <w:p>
      <w:pPr>
        <w:ind w:left="560" w:right="40"/>
        <w:spacing w:after="0" w:line="254"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$3.4 million, or 11.8% decrease in local advertising revenue was driven by a 6.9% decrease in total contract volume and a 5.4% decrease in average contract value, compared to the third quarter of 2014. The decrease in total contract volume and average contract value was driven by an increase in the number of unfilled local sales positions and a reduction in larger regional contracts (those greater than $100,000) during the third quarter of 2015 compared to the third quarter of 2014. The increase in unfilled local sales positions was related to a delay in hiring during the Screenvision merger regulatory review to provide openings for Screenvision sales personnel upon consummation of the merger. As of the end of the third quarter of 2015, the majority of the unfilled positions had been filled. The fewer number of larger regional contracts was also due to a shift in the timing of client commitments to other quarters within 2015 and a few larger regional clients that increased their budgets and bought our network nationally.</w:t>
      </w:r>
    </w:p>
    <w:p>
      <w:pPr>
        <w:spacing w:after="0" w:line="84" w:lineRule="exact"/>
        <w:rPr>
          <w:rFonts w:ascii="Arial" w:cs="Arial" w:eastAsia="Arial" w:hAnsi="Arial"/>
          <w:sz w:val="18"/>
          <w:szCs w:val="18"/>
          <w:i w:val="1"/>
          <w:iCs w:val="1"/>
          <w:color w:val="auto"/>
        </w:rPr>
      </w:pPr>
    </w:p>
    <w:p>
      <w:pPr>
        <w:ind w:left="560" w:right="380"/>
        <w:spacing w:after="0" w:line="277"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$2.6 million, or 28.9%, decrease in national advertising revenue from NCM LLC’s founding members’ beverage concessionaire agreements was due to a 14.4% decrease in beverage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left="560" w:right="280"/>
        <w:spacing w:after="0" w:line="302" w:lineRule="auto"/>
        <w:rPr>
          <w:sz w:val="20"/>
          <w:szCs w:val="20"/>
          <w:color w:val="auto"/>
        </w:rPr>
      </w:pPr>
      <w:r>
        <w:rPr>
          <w:rFonts w:ascii="Arial" w:cs="Arial" w:eastAsia="Arial" w:hAnsi="Arial"/>
          <w:sz w:val="16"/>
          <w:szCs w:val="16"/>
          <w:color w:val="auto"/>
        </w:rPr>
        <w:t xml:space="preserve">CPMs and a 0.3% decrease in founding member attendance in the third quarter of 2015, compared to the third quarter of 2014. The 2015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2013 to 2014, which decreased 14.4%. This revenue also decreased by $1.3 million due to one of NCM LLC’s founding members reducing the length of the beverage advertising unit from 60 seconds to 30 seconds during the third quarter of 2015 to accommodate a test of other in-theatre marketing activities by their beverage supplier.</w:t>
      </w:r>
    </w:p>
    <w:p>
      <w:pPr>
        <w:spacing w:after="0" w:line="154"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10.0%, from $58.1 million for the three months ended September 25, 2014 to $63.9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October 1, 2015. The following table shows the changes in operating expense for the three months ended October 1, 2015 and September 25,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w w:val="98"/>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93"/>
              </w:rPr>
              <w:t>Q3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2015 to</w:t>
            </w:r>
          </w:p>
        </w:tc>
        <w:tc>
          <w:tcPr>
            <w:tcW w:w="260" w:type="dxa"/>
            <w:vAlign w:val="bottom"/>
          </w:tcPr>
          <w:p>
            <w:pPr>
              <w:spacing w:after="0"/>
              <w:rPr>
                <w:sz w:val="11"/>
                <w:szCs w:val="11"/>
                <w:color w:val="auto"/>
              </w:rPr>
            </w:pPr>
          </w:p>
        </w:tc>
      </w:tr>
      <w:tr>
        <w:trPr>
          <w:trHeight w:val="171"/>
        </w:trPr>
        <w:tc>
          <w:tcPr>
            <w:tcW w:w="438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Q3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2014</w:t>
            </w:r>
          </w:p>
        </w:tc>
        <w:tc>
          <w:tcPr>
            <w:tcW w:w="26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Network costs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58.1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$1.3 million, or 20.0%, from $6.5 million for the third quarter of 2014 to $7.8 million for the third quarter of 2015. This increase was primarily the result of a $1.0 million increase in affiliate advertising payments. The increase in affiliate advertising payments was driven by higher national advertising revenue and a 4.0% or 142 screen increase in the number of average affiliate screens for the third quarter of 2015, compared to the third quarter of 2014, partially offset by lower local advertising revenue.</w:t>
      </w:r>
    </w:p>
    <w:p>
      <w:pPr>
        <w:spacing w:after="0" w:line="6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$0.1 million, or 2.3%, from $4.4 million for the third quarter of 2014 to $4.3 million for the third quarter of 2015.</w:t>
      </w:r>
    </w:p>
    <w:p>
      <w:pPr>
        <w:spacing w:after="0" w:line="62"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$0.6 million, or 3.5%, from $17.0 million for the third quarter of 2014 to $17.6 million for the third quarter of 2015. The increase was due to an increase in the fee associated with the number of digital screens that are connected to the DCN, including higher quality digital cinema projectors and related equipment. The fees for digital screens and equipment increased $0.4 million related to an annual 5% rate increase specified in the ESAs and $0.2 million from an increase in the number of founding member screens equipped with the higher quality digital cinema equipment.</w:t>
      </w:r>
    </w:p>
    <w:p>
      <w:pPr>
        <w:spacing w:after="0" w:line="80"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$2.2 million, or 15.0%, from $14.7 million for the third quarter of 2014 to $16.9 million for the third quarter of 2015. This increase was primarily due to an increase of $1.3 million in personnel related expenses due primarily to higher non-cash share-based compensation expense and higher bonus expense, both primarily related to better performance against targets compared to 2014, which was partially offset by lower commission expense related to lower local advertising revenue during the period. Selling and marketing costs also increased due to an increase of $0.4 million in certain marketing and research expenses and an increase of $0.4 million in non-cash barter expense related to timing of barter transactions.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$0.6 million, or 12.5%, from $4.8 million for the third quarter of 2014 to</w:t>
      </w:r>
    </w:p>
    <w:p>
      <w:pPr>
        <w:spacing w:after="0" w:line="35" w:lineRule="exact"/>
        <w:rPr>
          <w:sz w:val="20"/>
          <w:szCs w:val="20"/>
          <w:color w:val="auto"/>
        </w:rPr>
      </w:pPr>
    </w:p>
    <w:p>
      <w:pPr>
        <w:ind w:left="560" w:right="80"/>
        <w:spacing w:after="0" w:line="290" w:lineRule="auto"/>
        <w:rPr>
          <w:sz w:val="20"/>
          <w:szCs w:val="20"/>
          <w:color w:val="auto"/>
        </w:rPr>
      </w:pPr>
      <w:r>
        <w:rPr>
          <w:rFonts w:ascii="Arial" w:cs="Arial" w:eastAsia="Arial" w:hAnsi="Arial"/>
          <w:sz w:val="17"/>
          <w:szCs w:val="17"/>
          <w:color w:val="auto"/>
        </w:rPr>
        <w:t>$5.4 million for the third quarter of 2015 due primarily to a $0.5 million increase in personnel related expenses primarily from higher non-cash share-based compensation expense and higher bonus expense, both primarily related to better performance against targets compared to 2014.</w:t>
      </w:r>
    </w:p>
    <w:p>
      <w:pPr>
        <w:spacing w:after="0" w:line="53" w:lineRule="exact"/>
        <w:rPr>
          <w:sz w:val="20"/>
          <w:szCs w:val="20"/>
          <w:color w:val="auto"/>
        </w:rPr>
      </w:pPr>
    </w:p>
    <w:p>
      <w:pPr>
        <w:jc w:val="both"/>
        <w:ind w:left="560"/>
        <w:spacing w:after="0" w:line="288"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from $2.1 million for the three months ended September 25, 2014 to $3.9 million for the three months ended October 1, 2015 due primarily to an increase in personnel related expenses primarily from higher non-cash share-based compensation expense and higher bonus expense, both primarily related to better performance against targets compared to 2014.</w:t>
      </w:r>
    </w:p>
    <w:p>
      <w:pPr>
        <w:ind w:left="560" w:right="420"/>
        <w:spacing w:after="0" w:line="261" w:lineRule="auto"/>
        <w:rPr>
          <w:sz w:val="20"/>
          <w:szCs w:val="20"/>
          <w:color w:val="auto"/>
        </w:rPr>
      </w:pPr>
      <w:r>
        <w:rPr>
          <w:rFonts w:ascii="Arial" w:cs="Arial" w:eastAsia="Arial" w:hAnsi="Arial"/>
          <w:sz w:val="18"/>
          <w:szCs w:val="18"/>
          <w:color w:val="auto"/>
        </w:rPr>
        <w:t>Amounts recorded are based on the terms of the management services agreement which states NCM LLC pays NCM, Inc. service fees which are equal to the cost of NCM, Inc. employees and any reimbursable costs incurred by NCM,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5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decreased $0.6 million, or 7.0%, from $8.6 million for the third quarter of 2014 to $8.0 million for the third quarter of 2015. The decrease was due to lower depreciation expense related to an increase in assets that are fully depreciated, partially offset by amortization expense related to the 2015 NCM LLC founding member common unit adjustment and amortization of intangible assets related to new affiliate agreements.</w:t>
      </w:r>
    </w:p>
    <w:p>
      <w:pPr>
        <w:spacing w:after="0" w:line="187"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$2.9 million, or 18.5%, from $15.7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25, 2014 to $12.8 million for the three months ended October 1, 2015. The following table shows the changes in non-operating expense for the three months ended October 1, 2015 and September 25,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8"/>
              </w:rPr>
              <w:t>October 1,</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Q3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2015 to</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Q3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2014</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12.7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15.7</w:t>
            </w:r>
          </w:p>
        </w:tc>
        <w:tc>
          <w:tcPr>
            <w:tcW w:w="1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$2.6 million decrease in the amortization of terminated derivatives as the amortization period ended in February 2015 and a decrease in other non-operating expense of $0.6 million.</w:t>
      </w:r>
    </w:p>
    <w:p>
      <w:pPr>
        <w:spacing w:after="0" w:line="170"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$7.8 million from $27.0 million for the three months ended September 25, 2014 to $34.8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1, 2015. The increase in net income was primarily due to an increase in operating income of $5.1 million, as described further above and a decrease in non-operating expense of $2.9 million, as described further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1, 2015 and September 25, 2014</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14.5%, from $270.9 million for the nine months ended September 25, 2014 to $310.1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2015. The following is a summary of revenue by category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8"/>
              <w:spacing w:after="0" w:line="133" w:lineRule="exact"/>
              <w:rPr>
                <w:sz w:val="20"/>
                <w:szCs w:val="20"/>
                <w:color w:val="auto"/>
              </w:rPr>
            </w:pPr>
            <w:r>
              <w:rPr>
                <w:rFonts w:ascii="Arial" w:cs="Arial" w:eastAsia="Arial" w:hAnsi="Arial"/>
                <w:sz w:val="14"/>
                <w:szCs w:val="14"/>
                <w:b w:val="1"/>
                <w:bCs w:val="1"/>
                <w:color w:val="auto"/>
                <w:w w:val="98"/>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YTD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60" w:type="dxa"/>
            <w:vAlign w:val="bottom"/>
          </w:tcPr>
          <w:p>
            <w:pPr>
              <w:spacing w:after="0"/>
              <w:rPr>
                <w:sz w:val="11"/>
                <w:szCs w:val="1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YTD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26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w:t>
            </w: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data on theatre attendance and revenue per attendee for the nine months ended October 1, 2015 and September 25, 2014:</w:t>
      </w:r>
    </w:p>
    <w:p>
      <w:pPr>
        <w:spacing w:after="0" w:line="321"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89"/>
              </w:rPr>
              <w:t>September 25,</w:t>
            </w:r>
          </w:p>
        </w:tc>
        <w:tc>
          <w:tcPr>
            <w:tcW w:w="2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9"/>
              </w:rPr>
              <w:t>YTD 2015 to</w:t>
            </w:r>
          </w:p>
        </w:tc>
        <w:tc>
          <w:tcPr>
            <w:tcW w:w="24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24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0.344</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w:t>
            </w: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0.136</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5"/>
        </w:trPr>
        <w:tc>
          <w:tcPr>
            <w:tcW w:w="2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0.480</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0.536</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left="560" w:right="320" w:hanging="552"/>
        <w:spacing w:after="0" w:line="277" w:lineRule="auto"/>
        <w:tabs>
          <w:tab w:leader="none" w:pos="5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that are currently part of another cinema advertising network for all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560" w:right="40"/>
        <w:spacing w:after="0" w:line="268"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$45.9 million, or 26.4%, increase in national advertising revenue (excluding beverage revenue from NCM LLC’s founding members) was due primarily to a 23.8% increase in impressions sold (net of make-good reserve) in the nine months ended October 1, 2015, compared to the nine months ended September 25, 2014 and a 5.6% increase in national advertising CPMs (excluding beverage) in the nine months ended October 1, 2015, compared to the nine months ended September 25, 2014. The increase in impressions sold (net of make-good reserve) was driven by an increase in national inventory utilization from 107.3% for the nine months ended September 25, 2014 to 127.0% for the nine months ended October 1, 2015, due to an expansion of our client base and increased spending by certain existing clients, related in part to the success of our strategy to compete in the national television upfront marketplace and changes in television viewing habits related to greater DVR usage and the expansion of new online and mobile video networks. Inventory utilization is calculated as utilized impressions divided by total advertising impressions, which is based on eleven 30-second salable national advertising units in our pre-show, which can be expanded, should market demand dictate. This increase in impressions sold (net of make-good reserve) was also driven by an increase in our network theatre attendance of 2.4% related to an overall increase in cinema industry attendance resulting from a stronger film release schedule and the addition of new network affiliates discussed below in “Known Trends and Uncertainties”. The increase in CPMs relates primarily to strong scatter market demand combined with limited inventory availability due to our successful upfront sales campaign last year.</w:t>
      </w:r>
    </w:p>
    <w:p>
      <w:pPr>
        <w:spacing w:after="0" w:line="80" w:lineRule="exact"/>
        <w:rPr>
          <w:sz w:val="20"/>
          <w:szCs w:val="20"/>
          <w:color w:val="auto"/>
        </w:rPr>
      </w:pPr>
    </w:p>
    <w:p>
      <w:pPr>
        <w:ind w:left="560" w:right="180"/>
        <w:spacing w:after="0" w:line="290"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The $1.5 million, or 2.2%, decrease in local advertising revenue was driven by a 5.3% decrease in total contract volume, partially offset by an increase in average contract value of 3.3%, compared to the nine months ended September 25, 2014. The decrease in total contract volume was driven by an increase in the number of unfilled local sales positions and a reduction in larger regional contracts (those greater than $100,000) and smaller local contracts (those less than $10,000) during the third quarter of 2015 compared to the third quarter of 2014. The increase in unfilled local sales positions was related to a delay in hiring during the Screenvision merger regulatory review to provide openings for Screenvision sales personnel upon consummation of the merger. As of the end of the third quarter of 2015, the majority of the unfilled positions had been filled. The fewer number of larger regional contracts was also due to a few larger regional clients that increased their budgets and bought our network nationally. The increase in average contract value was driven by an increase in the average value of contracts under $100,000.</w:t>
      </w:r>
    </w:p>
    <w:p>
      <w:pPr>
        <w:spacing w:after="0" w:line="58" w:lineRule="exact"/>
        <w:rPr>
          <w:sz w:val="20"/>
          <w:szCs w:val="20"/>
          <w:color w:val="auto"/>
        </w:rPr>
      </w:pPr>
    </w:p>
    <w:p>
      <w:pPr>
        <w:ind w:left="560" w:right="140"/>
        <w:spacing w:after="0" w:line="254"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$5.2 million, or 18.4%, decrease in national advertising revenue from NCM LLC’s founding members’ beverage concessionaire agreements was due to a 14.4% decrease in beverage revenue CPMs, partially offset by an increase of 0.7% in founding member attendance in the nine months ended October 1, 2015, compared to the nine months ended September 25, 2014. The 2015 beverage revenue CPM is based on the change in CPM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2013 to 2014, which decreased 14.4%. The increase in founding member attendance was primarily related to an overall increase in cinema industry attendance resulting from a stronger film release schedule. This revenue also decreased by $1.3 million due to one of NCM LLC’s founding members reducing the length of the beverage advertising unit from 60 seconds to 30 seconds during the third quarter of 2015 to accommodate a test of other in-theatre marketing activities by their beverage supplier.</w:t>
      </w:r>
    </w:p>
    <w:p>
      <w:pPr>
        <w:spacing w:after="0" w:line="192"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33.3%, from $173.4 million for the nine months ended September 25, 2014 to 231.1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October 1, 2015 due primarily to the Screenvision merger termination fee and related merger costs. The following table shows the changes in operating expense for the nine months ended October 1, 2015 and September 25, 2014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Change</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3"/>
              <w:spacing w:after="0" w:line="133" w:lineRule="exact"/>
              <w:rPr>
                <w:sz w:val="20"/>
                <w:szCs w:val="20"/>
                <w:color w:val="auto"/>
              </w:rPr>
            </w:pPr>
            <w:r>
              <w:rPr>
                <w:rFonts w:ascii="Arial" w:cs="Arial" w:eastAsia="Arial" w:hAnsi="Arial"/>
                <w:sz w:val="14"/>
                <w:szCs w:val="14"/>
                <w:b w:val="1"/>
                <w:bCs w:val="1"/>
                <w:color w:val="auto"/>
                <w:w w:val="91"/>
              </w:rPr>
              <w:t>September 25,</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YTD 2014</w:t>
            </w:r>
          </w:p>
        </w:tc>
        <w:tc>
          <w:tcPr>
            <w:tcW w:w="2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2014</w:t>
            </w:r>
          </w:p>
        </w:tc>
        <w:tc>
          <w:tcPr>
            <w:tcW w:w="240" w:type="dxa"/>
            <w:vAlign w:val="bottom"/>
            <w:tcBorders>
              <w:bottom w:val="single" w:sz="8" w:color="CFF0FC"/>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Network costs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6" w:name="page27"/>
    <w:bookmarkEnd w:id="26"/>
    <w:p>
      <w:pPr>
        <w:ind w:right="40"/>
        <w:spacing w:after="0" w:line="297"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$3.8 million, or 21.0%, from $18.1 million for the nine months ended September 25, 2014 to $21.9 million for the nine months ended October 1, 2015. This increase was primarily the result of a $3.1 million increase in affiliate advertising payments and an increase of $0.2 million in personnel related expenses. The increase in affiliate advertising payments was driven by higher national advertising revenue and a 6.1% or 210 screen increase in the number of average affiliate screens for the nine months ended October 1, 2015, compared to the nine months ended September 25, 2014, partially offset by lower local advertising revenue.</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$0.4 million, or 3.0%, from $13.4 million for the nine months ended September 25, 2014 to $13.0 million for the nine months ended October 1, 2015 due primarily to a decrease of $0.5 million in personnel related expenses.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$1.7 million, or 3.3%, from $52.3 million for the nine months ended September 25, 2014 to $54.0 million for the nine months ended October 1, 2015. The increase was due to a $1.4 million increase in theatre access fees due to an increase in the fee associated with the number of digital screens that are connected to the DCN, including higher quality digital cinema projectors and related equipment and a $0.3 million increase related to a 0.7% increase in founding member attendance during the nine months ended October 1, 2015 compared to the nine months ended September 25, 2014. The fees for digital screens and equipment increased $1.0 million related to an annual 5% rate increase specified in the ESAs and $0.4 million from an increase in the number of founding member screens equipped with the higher quality digital cinema equipment.</w:t>
      </w:r>
    </w:p>
    <w:p>
      <w:pPr>
        <w:spacing w:after="0" w:line="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$6.1 million, or 13.9%, from $43.8 million for the nine months ended September 25, 2014 to $49.9 million for the nine months ended October 1, 2015. This increase was primarily due to an increase of $3.8 million in personnel related expenses due primarily to $2.1 million of higher non-cash share-based compensation expense and $0.6 million in higher bonus expense, both primarily related to better performance against targets compared to 2014. Selling and marketing costs also increased due to an increase of $0.7 million in certain marketing and research expenses and an increase of $1.0 million in non-cash barter expense related to timing of barter transactions.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$1.9 million, or 13.9%, from $13.7 million for the nine months ended September 25, 2014 to $15.6 million for the nine months ended October 1, 2015 due primarily to a $1.6 million increase in personnel related expenses due primarily to a $0.6 million increase in bonus expense and a $0.5 million increase in non-cash share-based compensation expense, both due primarily to better performance against targets compared to 2014.</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Administrative fee – managing member.</w:t>
      </w:r>
      <w:r>
        <w:rPr>
          <w:rFonts w:ascii="Arial" w:cs="Arial" w:eastAsia="Arial" w:hAnsi="Arial"/>
          <w:sz w:val="17"/>
          <w:szCs w:val="17"/>
          <w:color w:val="auto"/>
        </w:rPr>
        <w:t xml:space="preserve"> Administrative fee-managing member increased from $7.9 million for the nine months ended September 25, 2014 to $10.7 million for the nine months ended October 1, 2015 due primarily to an increase in personnel related expenses primarily from higher non-cash share-based compensation expense and higher bonus expense, both primarily related to better performance against targets compared to 2014. Amounts recorded are based on the terms of the management services agreement which states NCM LLC pays NCM, Inc. service fees which are equal to the cost of NCM, Inc. employees and any reimbursable costs incurred by NCM, Inc.</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remained consistent at $24.2 million for the nine months ended September 25, 2014 and the nine months ended October 1, 2015.</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$41.8 million for the nine months ended October 1, 2015 due to the merger termination payment of approximately $26.8 million, approximately $7.5 million in primarily legal, accounting, advisory and other professional fees associated with the terminated Screenvision merger incurred during the nine months ended October 1, 2015 and the payment to NCM, Inc. for the reimbursement of merger-related administrative costs of $7.5 million incurred during the year ended January 1, 2015.</w:t>
      </w:r>
    </w:p>
    <w:p>
      <w:pPr>
        <w:spacing w:after="0" w:line="200" w:lineRule="exact"/>
        <w:rPr>
          <w:sz w:val="20"/>
          <w:szCs w:val="20"/>
          <w:color w:val="auto"/>
        </w:rPr>
      </w:pP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00" w:top="341" w:right="259" w:bottom="1440" w:gutter="0" w:footer="0" w:header="0"/>
        </w:sectPr>
      </w:pPr>
    </w:p>
    <w:bookmarkStart w:id="27" w:name="page28"/>
    <w:bookmarkEnd w:id="27"/>
    <w:p>
      <w:pPr>
        <w:ind w:right="10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13.4%, from $46.4 million for the nine months ended September 25, 2014 to $40.2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October 1, 2015. The following table shows the changes in non-operating expense for the nine months ended October 1, 2015 and September 25,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8"/>
              </w:rPr>
              <w:t>October 1,</w:t>
            </w:r>
          </w:p>
        </w:tc>
        <w:tc>
          <w:tcPr>
            <w:tcW w:w="104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4"/>
                <w:szCs w:val="14"/>
                <w:b w:val="1"/>
                <w:bCs w:val="1"/>
                <w:color w:val="auto"/>
                <w:w w:val="96"/>
              </w:rPr>
              <w:t>September 25,</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9"/>
              </w:rPr>
              <w:t>YTD 2015 to</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YTD 2014</w:t>
            </w:r>
          </w:p>
        </w:tc>
        <w:tc>
          <w:tcPr>
            <w:tcW w:w="1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38.8</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46.4</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3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$6.0 million decrease in the amortization of terminated derivatives as the amortization period ended in February 2015.</w:t>
      </w:r>
    </w:p>
    <w:p>
      <w:pPr>
        <w:spacing w:after="0" w:line="17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$12.1 million from $50.6 million for the nine months ended September 25, 2014 to $38.5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1, 2015. The decrease in net income was primarily due to an increase of $41.8 million of the merger termination fee and related merger costs, as described further above, and an increase of $15.9 million in other operating expenses, partially offset by a $39.2 million increase in revenue and a $6.2 million decrease in non-operating expenses, as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20" w:firstLine="555"/>
        <w:spacing w:after="0" w:line="267" w:lineRule="auto"/>
        <w:rPr>
          <w:sz w:val="20"/>
          <w:szCs w:val="20"/>
          <w:color w:val="auto"/>
        </w:rPr>
      </w:pPr>
      <w:r>
        <w:rPr>
          <w:rFonts w:ascii="Arial" w:cs="Arial" w:eastAsia="Arial" w:hAnsi="Arial"/>
          <w:sz w:val="17"/>
          <w:szCs w:val="17"/>
          <w:color w:val="auto"/>
        </w:rPr>
        <w:t>Changes in the current macro-economic environment and changes in the national, regional and local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audience targeting systems, the development of which has recently been accelerated. We could also benefit from the effectiveness of cinema advertising relative to other advertising mediums as consumer viewing habits shift to smaller less effective mobile devices and television ratings and effectiveness as a marketing platform declines due to the time-shifting of programming and related ad-skipping associated with the increasing use of DVRs by consumers. The impact of these consumer and media market trends appear to have helped increase the level of upfront national advertising bookings that were up approximately 100% going into 2015 (for the period from October 1, 2014 through December 31, 2015). Our recent upfront national advertising campaign was also a success with bookings for the period October 1, 2015 through December 31, 2016 currently up approximately 13% compared to the same five-quarter period last year, while television upfront bookings were reported to be down compared to the previous year. Consistent with last year, we are currently expecting to begin 2016 with national advertising commitments that represent approximately 70%-75% of our 2016 national advertising revenue target. While we could have booked additional upfront advertising commitments, given the strong CPM environment that we have experienced in the 2015 scatter marketplace, we believe that limiting the level of upfront commitments and scatter commitments booked between now and the end of 2015 to approximately 70%-75% of our national advertising revenue target will create the most attractive pricing environment for us in 2016. Consistent with the television industry upfront booking practices, a portion of our upfront commitments have cancellation options that could reduce what is ultimately spent by clients that have made upfront commitments.</w:t>
      </w:r>
    </w:p>
    <w:p>
      <w:pPr>
        <w:spacing w:after="0" w:line="191" w:lineRule="exact"/>
        <w:rPr>
          <w:sz w:val="20"/>
          <w:szCs w:val="20"/>
          <w:color w:val="auto"/>
        </w:rPr>
      </w:pPr>
    </w:p>
    <w:p>
      <w:pPr>
        <w:ind w:right="160" w:firstLine="555"/>
        <w:spacing w:after="0" w:line="291" w:lineRule="auto"/>
        <w:rPr>
          <w:sz w:val="20"/>
          <w:szCs w:val="20"/>
          <w:color w:val="auto"/>
        </w:rPr>
      </w:pPr>
      <w:r>
        <w:rPr>
          <w:rFonts w:ascii="Arial" w:cs="Arial" w:eastAsia="Arial" w:hAnsi="Arial"/>
          <w:sz w:val="16"/>
          <w:szCs w:val="16"/>
          <w:color w:val="auto"/>
        </w:rPr>
        <w:t>During 2014 and thus far in 2015, we have entered into agreements with seven new affiliate theatre circuits with 406 screens. In total, these affiliate additions are expected to add approximately 15 million new attendees on a full-year pro-forma basis, which we expect will result in approximately</w:t>
      </w:r>
    </w:p>
    <w:p>
      <w:pPr>
        <w:ind w:right="180"/>
        <w:spacing w:after="0" w:line="253" w:lineRule="auto"/>
        <w:rPr>
          <w:sz w:val="20"/>
          <w:szCs w:val="20"/>
          <w:color w:val="auto"/>
        </w:rPr>
      </w:pPr>
      <w:r>
        <w:rPr>
          <w:rFonts w:ascii="Arial" w:cs="Arial" w:eastAsia="Arial" w:hAnsi="Arial"/>
          <w:sz w:val="18"/>
          <w:szCs w:val="18"/>
          <w:color w:val="auto"/>
        </w:rPr>
        <w:t>231 million new salable national advertising impressions (assuming 15 national advertising units of 30 seconds each). One of these affiliates, with 142 screens and approximately 7 million attendees, will become a part of our network in January 2016. We expect this expansion of our network and additional attendees will provide our advertising clients with a better marketing product with increased reach (more advertising impressions) and improved geographic coverage. During 2016, we also plan to offer our advertising clients better audience targeting capabilities that are expected to assist with our strategy to expand our client base and increase our revenue,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100"/>
        <w:spacing w:after="0" w:line="257" w:lineRule="auto"/>
        <w:rPr>
          <w:sz w:val="20"/>
          <w:szCs w:val="20"/>
          <w:color w:val="auto"/>
        </w:rPr>
      </w:pPr>
      <w:r>
        <w:rPr>
          <w:rFonts w:ascii="Arial" w:cs="Arial" w:eastAsia="Arial" w:hAnsi="Arial"/>
          <w:sz w:val="18"/>
          <w:szCs w:val="18"/>
          <w:color w:val="auto"/>
        </w:rPr>
        <w:t>operating income and cash flow and our revenue sharing payments to our network affiliates. Our future revenue growth could also be positively impacted by the expansion of our advertising network through the new construction and merger and acquisition activities of our founding members and network affiliates. We also believe that the continued growth of our market coverage ubiquity and overall number of impressions will also strengthen our selling proposition and competitive positioning versus other national, regional and local video advertising platforms, including television, online and mobile video platforms and other out of home video advertising platforms.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2013 and 2014, we experienced a decline of 7.6% and 16.4%, respectively, in national advertising CPMs (excluding beverage revenue) compared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the prior period due primarily to the increased competition from other national video networks, including online and mobile advertising platforms,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television networks and other out-of-home video networks and the implementation of more aggressive seasonal and volume pricing strategies that contributed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expansion of our inventory utilization related to the addition of new client categories that traditionally buy their television advertising at lower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CPMs. After the resetting of our pricing over the last few years to be more attractive to a broader number of potential clients and reflect seasonal marketplace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supply and demand characteristics, during the first nine months of 2015, we experienced an increase of 5.6% in national advertising CPMs (excluding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beverage revenue) as a result of a 12.4% increase in CPMs during the third quarter of 2015, a 10.6% increase in CPMs during the second quarter of 2015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11.1% decline in CPMs during the first quarter of 2015. This volatility in quarterly national CPMs combined with an increase in national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utilization reflects the success of our upfront inventory packaging strategy that created multi-flight campaigns for clients that were priced based on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market demand in the first quarter of 2015 as compared to the rest of the year. As a result of this new packaging strategy and more dynamic scatter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pricing that is responsive to week-to-week market demand and inventory availability, we expect our national advertising CPMs (excluding beverage)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continue to be higher during higher market demand periods and lower during periods of lower market demand where we have greater amounts of unsold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11"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2014 and in the first six months of 2015, we sold 60 seconds to our founding members. In December 2014, we were notified by one of our founding members that beginning in July 2015, they would reduce their beverage advertising from 60 seconds to 30 seconds to accommodate other in-theatre marketing activities by their beverage supplier. We have the right to sell the 30 second unit to other clients. This contributed to a decrease in beverage revenue of $1.3 million during the three months ended October 1, 2015, and we expect a similar impact during the fourth quarter of 2015. We expect that most of this revenue will be replaced through the sale of national advertising to other brands. The other founding members have signed long-term contracts with their beverage suppliers that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beginning in 2012,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us. Due to a 14.4% decline in segment one CPMs in 2014, the CPM on our beverage concessionaire revenue declined during the first nine months of 2015 by 14.4% and the CPMs for the remainder of 2015 will decline by an equivalent percentage. The expected higher CPMs for 2015 are expected to increase the CPM on our beverage concessionaire revenue during 2016.</w:t>
      </w:r>
    </w:p>
    <w:p>
      <w:pPr>
        <w:spacing w:after="0" w:line="17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October 1, 2015, 94.8% of our founding member network screens were showing advertising on digital cinema projectors, and thus the future impact on the theatre access fee related to additional digital cinema installations within existing founding member theatres will be minimal.</w:t>
      </w:r>
    </w:p>
    <w:p>
      <w:pPr>
        <w:spacing w:after="0" w:line="178"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impressions. During 2016, the remainder of our content partner agreements will provide for two minute entertainment content segments.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 xml:space="preserve">The reduction in the length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partner entertainment segments from two and one-half minutes to two minutes will provide two additional 30-second national units and one additional local or regional advertising unit for us to sell across approximately 50% of our network impressions in 2015 and 100% in 2016. This additional salable national, local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inventory could allow us to increase our future advertising revenue provided that there is adequate market demand.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by over six years. The weighted average remaining maturity is 5.5 years as of October 1, 2015. As of October 1, 2015, approximately 64% of our total borrowings bear interest at fixed rates. The remaining 36% of our borrowings bear interest at variable rates and as such, our net income could fluctuate with market interest rate fluctuations that could increase the interest paid on our borrowings. Refer to Note 4—</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the unaudited Condensed Financial Statements in Item 1 of this Form 10-Q for more information regarding the Company’s borrowings.</w:t>
      </w:r>
    </w:p>
    <w:p>
      <w:pPr>
        <w:spacing w:after="0" w:line="189"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As described within Item 2. “Management’s Discussion and Analysis of Financial Condition and Results of Operations – Overview”, on March 16, 2015, NCM, Inc. announced the termination of the Merger Agreement with Screenvision. We do not expect to incur additional material expenses related to the terminated merger.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2015 and 2014, we issued 2,160,915 and 1,087,911 common membership units to our founding members, respectively, for the rights to exclusive access to the theatre screens and attendees added, net of dispositions by the founding members to our network during the previous year. We recorded a net intangible asset of $31.4 million and $16.4 million during the first quarter of 2015 and 2014, respectively, as a result of the Common Unit Adjustments.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January 1,</w:t>
            </w:r>
          </w:p>
        </w:tc>
        <w:tc>
          <w:tcPr>
            <w:tcW w:w="9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25,</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Q3 2015 to</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Q3 2015 to</w:t>
            </w:r>
          </w:p>
        </w:tc>
        <w:tc>
          <w:tcPr>
            <w:tcW w:w="120" w:type="dxa"/>
            <w:vAlign w:val="bottom"/>
          </w:tcPr>
          <w:p>
            <w:pPr>
              <w:spacing w:after="0"/>
              <w:rPr>
                <w:sz w:val="11"/>
                <w:szCs w:val="11"/>
                <w:color w:val="auto"/>
              </w:rPr>
            </w:pPr>
          </w:p>
        </w:tc>
      </w:tr>
      <w:tr>
        <w:trPr>
          <w:trHeight w:val="17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YE 2014</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Q3 2014</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23"/>
        </w:trPr>
        <w:tc>
          <w:tcPr>
            <w:tcW w:w="5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60" w:right="80" w:hanging="552"/>
        <w:spacing w:after="0" w:line="264" w:lineRule="auto"/>
        <w:tabs>
          <w:tab w:leader="none" w:pos="5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is $135.0 million.</w:t>
      </w:r>
    </w:p>
    <w:p>
      <w:pPr>
        <w:spacing w:after="0" w:line="181"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The $61.0 million decrease in liquidity as of October 1, 2015, compared to September 25, 2014, was due primarily to the funding of the merger termination fee of $26.8 million during the first three months of 2015 and related merger costs of approximately $15.0 million ($7.5 million incurred by NCM, Inc. during the year ended January 1, 2015 and approximately $7.5 million incurred by NCM LLC during the nine months ended October 1, 2015). The decrease in liquidity was also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120"/>
        <w:spacing w:after="0" w:line="276" w:lineRule="auto"/>
        <w:rPr>
          <w:sz w:val="20"/>
          <w:szCs w:val="20"/>
          <w:color w:val="auto"/>
        </w:rPr>
      </w:pPr>
      <w:r>
        <w:rPr>
          <w:rFonts w:ascii="Arial" w:cs="Arial" w:eastAsia="Arial" w:hAnsi="Arial"/>
          <w:sz w:val="17"/>
          <w:szCs w:val="17"/>
          <w:color w:val="auto"/>
        </w:rPr>
        <w:t>result of the maturity of $14.0 million of the revolving credit facility in December 2014, for which the Company paid the balance in full, thus decreasing the capacity under the revolving credit facility to $135.0 million from $149.0 million. Pursuant to the NCM LLC Operating Agreement, the $25.5 million negative available cash distribution calculation for the first quarter of 2015 will be netted against the available cash distributions for the second quarter of 2016 (to be paid in the third quarter of 2016). At that time, these remaining merger costs that had been funded by our revolving credit facility will be effectively repaid and our borrowing capacity under our revolving credit facility and overall liquidity will increase by approximately $25.5 million.</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October 1, 2015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89"/>
              </w:rPr>
              <w:t>September 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Investing cash flow</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60" w:right="80" w:hanging="545"/>
        <w:spacing w:after="0" w:line="298" w:lineRule="auto"/>
        <w:tabs>
          <w:tab w:leader="none" w:pos="1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$39.9 million decrease in cash provided by operating activities for the nine months ended October 1, 2015</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nine months ended September 25, 2014 was due primarily to the $32.4 million lower change in accounts receivable period over period primarily due to higher revenue and timing of collections in the period and a $12.1 million decrease in net income, primarily related to the Screenvision merger termination fee and related merger costs, as described further above, partially offset by a $8.3 million decrease in accounts payable and accrued expenses period over period primarily due to the timing of payments.</w:t>
      </w:r>
    </w:p>
    <w:p>
      <w:pPr>
        <w:spacing w:after="0" w:line="46" w:lineRule="exact"/>
        <w:rPr>
          <w:rFonts w:ascii="Arial" w:cs="Arial" w:eastAsia="Arial" w:hAnsi="Arial"/>
          <w:sz w:val="16"/>
          <w:szCs w:val="16"/>
          <w:color w:val="auto"/>
        </w:rPr>
      </w:pPr>
    </w:p>
    <w:p>
      <w:pPr>
        <w:ind w:left="1660" w:right="320" w:hanging="545"/>
        <w:spacing w:after="0" w:line="261"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$0.1 million increase in cash used in investing activities for the nine months ended October 1, 2015</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25, 2014 was due to an increase of $1.1 million of purchases of property, plant and equipment, partially offset by an increase of $1.0 million in affiliate payments for the up-front fees paid upon commencement of network affiliate agreements.</w:t>
      </w:r>
    </w:p>
    <w:p>
      <w:pPr>
        <w:spacing w:after="0" w:line="71" w:lineRule="exact"/>
        <w:rPr>
          <w:rFonts w:ascii="Arial" w:cs="Arial" w:eastAsia="Arial" w:hAnsi="Arial"/>
          <w:sz w:val="18"/>
          <w:szCs w:val="18"/>
          <w:color w:val="auto"/>
        </w:rPr>
      </w:pPr>
    </w:p>
    <w:p>
      <w:pPr>
        <w:ind w:left="1660" w:right="160" w:hanging="545"/>
        <w:spacing w:after="0" w:line="261"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$37.1 million decrease in cash used in financing activities during the nine months ended October 1, 2015</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25, 2014 was due primarily to an increase in proceeds from borrowings, net of repayments of $39.0 million due to higher borrowings on the revolving credit facility to pay the Screenvision merger termination fee and related merger costs, as described above.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will be netted against available cash distributions for the second quarter of 2016, which will be paid in the third quarter of 2016. The available cash distribution to the members of NCM LLC for the three months ended October 1, 2015 (which will be made during the fourth quarter of 2015) was approximately $45.1 million.</w:t>
      </w:r>
    </w:p>
    <w:p>
      <w:pPr>
        <w:spacing w:after="0" w:line="16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We expect to make $13.0 million to $15.0 million of capital expenditures in fiscal 2015. This increase of $2.0 million to $3.0 million from our initial estimates is primarily related to an acceleration of the development of our management systems, including upgrades to our digital content software distribution and content management software and our proposal, inventory and audience targeting management systems. Our total capital expenditure projections also include investments in reporting systems, server and storage upgrades, software licensing, our internet site and network equipment related to currently contracted network affiliate theatres.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January 1, 2015 and incorporated by reference herein. As of October 1, 2015,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January 1, 2015 and incorporated by reference herein. We do not believe these arrangements are material to our current or future financial condition, results of operations, liquidity, capital resources or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October 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2011, 2012 2013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c>
          <w:tcPr>
            <w:tcW w:w="23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27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26.2%</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FY 2012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2300" w:type="dxa"/>
            <w:vAlign w:val="bottom"/>
          </w:tcPr>
          <w:p>
            <w:pPr>
              <w:spacing w:after="0"/>
              <w:rPr>
                <w:sz w:val="20"/>
                <w:szCs w:val="20"/>
                <w:color w:val="auto"/>
              </w:rPr>
            </w:pPr>
          </w:p>
        </w:tc>
      </w:tr>
      <w:tr>
        <w:trPr>
          <w:trHeight w:val="891"/>
        </w:trPr>
        <w:tc>
          <w:tcPr>
            <w:tcW w:w="2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27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Senior Unsecured Notes and the Senior Secured Notes are at fixed rates, and therefore are not subject to market risk. As of October 1, 2015, the only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$3.4 million for an annual period on the $66.0 million revolving credit balance and $270.0 million term loan outstanding as of October 1, 2015. For a discussion of market risks, see Item 7A. “Quantitative and Qualitative Disclosures About Market Risk” contained in our annual report on Form 10-K for the fiscal year ended January 1, 2015 and incorporated by reference herein.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October 1, 2015,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October 1, 2015 were effective.</w:t>
      </w:r>
    </w:p>
    <w:p>
      <w:pPr>
        <w:spacing w:after="0" w:line="179"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October 1, 2015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There have been no material changes from risk factors as previously disclosed in our annual report on Form 10-K filed with the SEC on March 10, 2015 for the fiscal year ended January 1, 2015. However, on March 16, 2015, NCM, Inc. announced the termination of the Merger Agreement, as described in Note 1 –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this Form 10-Q and the Company believes the merger-related risk factors in the Form 10-K are no longer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ind w:left="5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500"/>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10, 2015</w:t>
            </w:r>
          </w:p>
        </w:tc>
        <w:tc>
          <w:tcPr>
            <w:tcW w:w="6100" w:type="dxa"/>
            <w:vAlign w:val="bottom"/>
          </w:tcPr>
          <w:p>
            <w:pPr>
              <w:spacing w:after="0"/>
              <w:rPr>
                <w:sz w:val="20"/>
                <w:szCs w:val="20"/>
                <w:color w:val="auto"/>
              </w:rPr>
            </w:pPr>
            <w:r>
              <w:rPr>
                <w:rFonts w:ascii="Arial" w:cs="Arial" w:eastAsia="Arial" w:hAnsi="Arial"/>
                <w:sz w:val="18"/>
                <w:szCs w:val="18"/>
                <w:color w:val="auto"/>
              </w:rPr>
              <w:t>/s/ Kurt C. Hall</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Kurt C. Hall</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10, 2015</w:t>
            </w:r>
          </w:p>
        </w:tc>
        <w:tc>
          <w:tcPr>
            <w:tcW w:w="6100" w:type="dxa"/>
            <w:vAlign w:val="bottom"/>
          </w:tcPr>
          <w:p>
            <w:pPr>
              <w:spacing w:after="0"/>
              <w:rPr>
                <w:sz w:val="20"/>
                <w:szCs w:val="20"/>
                <w:color w:val="auto"/>
              </w:rPr>
            </w:pPr>
            <w:r>
              <w:rPr>
                <w:rFonts w:ascii="Arial" w:cs="Arial" w:eastAsia="Arial" w:hAnsi="Arial"/>
                <w:sz w:val="18"/>
                <w:szCs w:val="18"/>
                <w:color w:val="auto"/>
              </w:rPr>
              <w:t>/s/ David J. Oddo</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Oddo</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w w:val="96"/>
              </w:rPr>
              <w:t>Senior Vice President, Finance and Interim Co-Chief Financial Officer (Principal</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10, 2015</w:t>
            </w:r>
          </w:p>
        </w:tc>
        <w:tc>
          <w:tcPr>
            <w:tcW w:w="6100" w:type="dxa"/>
            <w:vAlign w:val="bottom"/>
          </w:tcPr>
          <w:p>
            <w:pPr>
              <w:spacing w:after="0"/>
              <w:rPr>
                <w:sz w:val="20"/>
                <w:szCs w:val="20"/>
                <w:color w:val="auto"/>
              </w:rPr>
            </w:pPr>
            <w:r>
              <w:rPr>
                <w:rFonts w:ascii="Arial" w:cs="Arial" w:eastAsia="Arial" w:hAnsi="Arial"/>
                <w:sz w:val="18"/>
                <w:szCs w:val="18"/>
                <w:color w:val="auto"/>
              </w:rPr>
              <w:t>/s/ Jeffrey T. Cabot</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T. Cabot</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w w:val="93"/>
              </w:rPr>
              <w:t>Senior Vice President, Controller and Interim Co-Chief Financial Officer (Principal</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225" w:lineRule="exact"/>
        <w:rPr>
          <w:sz w:val="20"/>
          <w:szCs w:val="20"/>
          <w:color w:val="auto"/>
        </w:rPr>
      </w:pPr>
    </w:p>
    <w:p>
      <w:pPr>
        <w:ind w:left="700" w:hanging="17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2015</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700" w:hanging="17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2015</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October 1, 2015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10, 2015</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October 1, 2015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10, 2015</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2019-12-29T15:21:08Z</dcterms:created>
  <dcterms:modified xsi:type="dcterms:W3CDTF">2019-12-29T15:21:08Z</dcterms:modified>
</cp:coreProperties>
</file>