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28" w:lineRule="exact"/>
        <w:rPr>
          <w:sz w:val="24"/>
          <w:szCs w:val="24"/>
          <w:color w:val="auto"/>
        </w:rPr>
      </w:pPr>
    </w:p>
    <w:p>
      <w:pPr>
        <w:ind w:left="3820" w:right="780" w:hanging="3596"/>
        <w:spacing w:after="0" w:line="391" w:lineRule="auto"/>
        <w:tabs>
          <w:tab w:leader="none" w:pos="13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1280" w:hanging="1090"/>
        <w:spacing w:after="0"/>
        <w:tabs>
          <w:tab w:leader="none" w:pos="1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92075</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240"/>
          </w:cols>
          <w:pgMar w:left="320" w:top="767" w:right="339" w:bottom="1440" w:gutter="0" w:footer="0" w:header="0"/>
        </w:sectPr>
      </w:pPr>
    </w:p>
    <w:p>
      <w:pPr>
        <w:spacing w:after="0" w:line="13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20-5665602</w:t>
      </w:r>
    </w:p>
    <w:p>
      <w:pPr>
        <w:spacing w:after="0" w:line="12" w:lineRule="exact"/>
        <w:rPr>
          <w:sz w:val="24"/>
          <w:szCs w:val="24"/>
          <w:color w:val="auto"/>
        </w:rPr>
      </w:pPr>
    </w:p>
    <w:p>
      <w:pPr>
        <w:sectPr>
          <w:pgSz w:w="11900" w:h="16838" w:orient="portrait"/>
          <w:cols w:equalWidth="0" w:num="2">
            <w:col w:w="7420" w:space="720"/>
            <w:col w:w="3100"/>
          </w:cols>
          <w:pgMar w:left="320" w:top="767"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300" w:space="720"/>
            <w:col w:w="322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80111</w:t>
      </w:r>
    </w:p>
    <w:p>
      <w:pPr>
        <w:spacing w:after="0" w:line="42" w:lineRule="exact"/>
        <w:rPr>
          <w:sz w:val="24"/>
          <w:szCs w:val="24"/>
          <w:color w:val="auto"/>
        </w:rPr>
      </w:pPr>
    </w:p>
    <w:p>
      <w:pPr>
        <w:sectPr>
          <w:pgSz w:w="11900" w:h="16838" w:orient="portrait"/>
          <w:cols w:equalWidth="0" w:num="4">
            <w:col w:w="3840" w:space="720"/>
            <w:col w:w="840" w:space="320"/>
            <w:col w:w="1920" w:space="720"/>
            <w:col w:w="288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520" w:space="720"/>
            <w:col w:w="3000"/>
          </w:cols>
          <w:pgMar w:left="320" w:top="767"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 792-3600</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67"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7"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NCMI</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105" w:lineRule="exact"/>
        <w:rPr>
          <w:sz w:val="24"/>
          <w:szCs w:val="24"/>
          <w:color w:val="auto"/>
        </w:rPr>
      </w:pPr>
    </w:p>
    <w:p>
      <w:pPr>
        <w:sectPr>
          <w:pgSz w:w="11900" w:h="16838" w:orient="portrait"/>
          <w:cols w:equalWidth="0" w:num="3">
            <w:col w:w="4160" w:space="720"/>
            <w:col w:w="1720" w:space="720"/>
            <w:col w:w="3920"/>
          </w:cols>
          <w:pgMar w:left="320" w:top="767"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240"/>
          </w:cols>
          <w:pgMar w:left="320" w:top="767" w:right="339" w:bottom="1440" w:gutter="0" w:footer="0" w:header="0"/>
          <w:type w:val="continuous"/>
        </w:sectPr>
      </w:pPr>
    </w:p>
    <w:p>
      <w:pPr>
        <w:spacing w:after="0" w:line="27" w:lineRule="exact"/>
        <w:rPr>
          <w:sz w:val="24"/>
          <w:szCs w:val="24"/>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7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 w:name="page2"/>
    <w:bookmarkEnd w:id="1"/>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May 4, 2022, 81,754,381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Income and Comprehensive Income</w:t>
            </w:r>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w:t>
            </w:r>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Equity/(Deficit)</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62"/>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Short-term marketable securities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Receivables, net of allowance of $1.4 and $1.7, respectively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Other current assets and prepaid expenses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$56.2 and $59.9, respectively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Intangible assets, net of accumulated amortization of $251.7 and $245.6, respectively</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Deferred tax assets, net of valuation allowance of $225.5 and $223.8, respectively</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investments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Long-term marketable securities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Debt issuance costs, net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non-current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Amounts due to founding members,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Short-term debt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64"/>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Long-term debt, net of debt issuance costs of $9.9 and $10.5,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ind w:left="560" w:right="3080" w:hanging="93"/>
        <w:spacing w:after="0" w:line="229" w:lineRule="auto"/>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 parties of $11.9 and $11.9,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99"/>
              </w:rPr>
              <w:t>1,143.3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1,094.3</w:t>
            </w:r>
          </w:p>
        </w:tc>
      </w:tr>
      <w:tr>
        <w:trPr>
          <w:trHeight w:val="310"/>
        </w:trPr>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22.2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3"/>
        </w:trPr>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19.8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bl>
    <w:p>
      <w:pPr>
        <w:spacing w:after="0" w:line="7" w:lineRule="exact"/>
        <w:rPr>
          <w:sz w:val="20"/>
          <w:szCs w:val="20"/>
          <w:color w:val="auto"/>
        </w:rPr>
      </w:pPr>
    </w:p>
    <w:p>
      <w:pPr>
        <w:sectPr>
          <w:pgSz w:w="11900" w:h="16838" w:orient="portrait"/>
          <w:cols w:equalWidth="0" w:num="2">
            <w:col w:w="8200" w:space="720"/>
            <w:col w:w="232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6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liabilities</w:t>
            </w:r>
          </w:p>
        </w:tc>
        <w:tc>
          <w:tcPr>
            <w:tcW w:w="6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1,243.0</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0" w:type="dxa"/>
            <w:vAlign w:val="bottom"/>
          </w:tcPr>
          <w:p>
            <w:pPr>
              <w:spacing w:after="0"/>
              <w:rPr>
                <w:sz w:val="1"/>
                <w:szCs w:val="1"/>
                <w:color w:val="auto"/>
              </w:rPr>
            </w:pPr>
          </w:p>
        </w:tc>
      </w:tr>
      <w:tr>
        <w:trPr>
          <w:trHeight w:val="150"/>
        </w:trPr>
        <w:tc>
          <w:tcPr>
            <w:tcW w:w="7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EQUITY/(DEFICIT):</w:t>
            </w: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NCM, Inc. Stockholders’ Equity/(Deficit):</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700" w:type="dxa"/>
            <w:vAlign w:val="bottom"/>
            <w:shd w:val="clear" w:color="auto" w:fill="CCEEFF"/>
          </w:tcPr>
          <w:p>
            <w:pPr>
              <w:ind w:left="480"/>
              <w:spacing w:after="0" w:line="128" w:lineRule="exact"/>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66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respectively</w:t>
            </w:r>
          </w:p>
        </w:tc>
        <w:tc>
          <w:tcPr>
            <w:tcW w:w="6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vMerge w:val="continue"/>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color w:val="auto"/>
              </w:rPr>
              <w:t>Common stock, $0.01 par value; 175,000,000 shares authorized, 81,403,872 and 80,626,889 issued</w:t>
            </w:r>
          </w:p>
        </w:tc>
        <w:tc>
          <w:tcPr>
            <w:tcW w:w="6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and outstanding, respectively</w:t>
            </w:r>
          </w:p>
        </w:tc>
        <w:tc>
          <w:tcPr>
            <w:tcW w:w="6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Additional paid in capital/(deficit)</w:t>
            </w: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Retained earnings (distributions in excess of earnings)</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NCM, Inc. stockholders’ equity/(deficit)</w:t>
            </w: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equity/(deficit)</w:t>
            </w:r>
          </w:p>
        </w:tc>
        <w:tc>
          <w:tcPr>
            <w:tcW w:w="6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EQUITY/(DEFICIT)</w:t>
            </w:r>
          </w:p>
        </w:tc>
        <w:tc>
          <w:tcPr>
            <w:tcW w:w="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202"/>
        </w:trPr>
        <w:tc>
          <w:tcPr>
            <w:tcW w:w="8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(including revenue from related parties of $2.8 and $0.4,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Advertising operating costs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Network costs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854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Theater access fees and revenue share to founding members (including fees to related parties of $12.8 and $1.3,</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 costs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Administrative and other costs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expense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90"/>
        </w:trPr>
        <w:tc>
          <w:tcPr>
            <w:tcW w:w="85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EXPENSES (INCOME):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borrowings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modification and retirement of debt,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(gain) on re-measurement of the payable to founding members under the tax receivable agreement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non-operating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85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96"/>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NCM,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NCM, INC. COMMON SHARE:</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81,040,652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78,481,355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81,040,652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78,481,355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4"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net loss</w:t>
            </w:r>
          </w:p>
        </w:tc>
        <w:tc>
          <w:tcPr>
            <w:tcW w:w="168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6"/>
                <w:szCs w:val="16"/>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consolidated net loss to net cash used in operating activities: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expense</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modification and retirement of debt, net</w:t>
            </w:r>
          </w:p>
        </w:tc>
        <w:tc>
          <w:tcPr>
            <w:tcW w:w="1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39"/>
        </w:trPr>
        <w:tc>
          <w:tcPr>
            <w:tcW w:w="65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Non-cash loss (gain) on re-measurement of the payable to founding members under</w:t>
            </w:r>
          </w:p>
        </w:tc>
        <w:tc>
          <w:tcPr>
            <w:tcW w:w="16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tax receivable agreement</w:t>
            </w:r>
          </w:p>
        </w:tc>
        <w:tc>
          <w:tcPr>
            <w:tcW w:w="16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Founding member integration and other encumbered theater payments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65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Payment to the founding members under tax receivable agreement (including</w:t>
            </w:r>
          </w:p>
        </w:tc>
        <w:tc>
          <w:tcPr>
            <w:tcW w:w="16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to related parties of $0.0 and $0.6, respectively)</w:t>
            </w:r>
          </w:p>
        </w:tc>
        <w:tc>
          <w:tcPr>
            <w:tcW w:w="1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cash flows from operating activities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net</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due to/from founding members, net</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dividends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of revolving credit facility</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Issuance of term loans</w:t>
            </w:r>
          </w:p>
        </w:tc>
        <w:tc>
          <w:tcPr>
            <w:tcW w:w="16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 of term loan facility</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1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80" w:type="dxa"/>
            <w:vAlign w:val="bottom"/>
            <w:tcBorders>
              <w:bottom w:val="single" w:sz="8" w:color="auto"/>
            </w:tcBorders>
            <w:shd w:val="clear" w:color="auto" w:fill="CCEEFF"/>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April 1, 2021</w:t>
            </w:r>
          </w:p>
        </w:tc>
      </w:tr>
      <w:tr>
        <w:trPr>
          <w:trHeight w:val="18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financing and investing activity:</w:t>
            </w: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an intangible asset with NCM LLC equity</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subsidiary equity with NCM, Inc. equity</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Increase in dividend equivalent accrual not requiring cash in the period</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refunds for income taxes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12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80" w:type="dxa"/>
            <w:vAlign w:val="bottom"/>
          </w:tcPr>
          <w:p>
            <w:pPr>
              <w:spacing w:after="0"/>
              <w:rPr>
                <w:sz w:val="9"/>
                <w:szCs w:val="9"/>
                <w:color w:val="auto"/>
              </w:rPr>
            </w:pPr>
          </w:p>
        </w:tc>
        <w:tc>
          <w:tcPr>
            <w:tcW w:w="1180" w:type="dxa"/>
            <w:vAlign w:val="bottom"/>
            <w:gridSpan w:val="2"/>
            <w:vMerge w:val="restart"/>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40" w:type="dxa"/>
            <w:vAlign w:val="bottom"/>
          </w:tcPr>
          <w:p>
            <w:pPr>
              <w:spacing w:after="0"/>
              <w:rPr>
                <w:sz w:val="9"/>
                <w:szCs w:val="9"/>
                <w:color w:val="auto"/>
              </w:rPr>
            </w:pPr>
          </w:p>
        </w:tc>
        <w:tc>
          <w:tcPr>
            <w:tcW w:w="1140" w:type="dxa"/>
            <w:vAlign w:val="bottom"/>
            <w:vMerge w:val="restart"/>
          </w:tcPr>
          <w:p>
            <w:pPr>
              <w:jc w:val="right"/>
              <w:ind w:right="10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78,040,818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6"/>
        </w:trPr>
        <w:tc>
          <w:tcPr>
            <w:tcW w:w="3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Income tax and other impacts of NCM LLC ownership</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w:t>
            </w: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1,390,567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LLC common membership redemption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$0.05 per share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Balance—April 1, 2021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80,017,551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30,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80,626,889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9"/>
        </w:trPr>
        <w:tc>
          <w:tcPr>
            <w:tcW w:w="3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 ownership</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776,983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$0.05 per share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81,403,872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4" w:right="479" w:bottom="1440" w:gutter="0" w:footer="0" w:header="0"/>
        </w:sectPr>
      </w:pPr>
    </w:p>
    <w:bookmarkStart w:id="8" w:name="page9"/>
    <w:bookmarkEnd w:id="8"/>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40" w:firstLine="526"/>
        <w:spacing w:after="0" w:line="247" w:lineRule="auto"/>
        <w:rPr>
          <w:sz w:val="20"/>
          <w:szCs w:val="20"/>
          <w:color w:val="auto"/>
        </w:rPr>
      </w:pPr>
      <w:r>
        <w:rPr>
          <w:rFonts w:ascii="Times New Roman" w:cs="Times New Roman" w:eastAsia="Times New Roman" w:hAnsi="Times New Roman"/>
          <w:sz w:val="18"/>
          <w:szCs w:val="18"/>
          <w:color w:val="auto"/>
        </w:rPr>
        <w:t>National CineMedia, Inc., a Delaware corporation (“NCM, Inc.”), is a holding company with the sole purpose of becoming a member and sole manager of National CineMedia, LLC (“NCM LLC”), a Delaware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72" w:lineRule="exact"/>
        <w:rPr>
          <w:sz w:val="20"/>
          <w:szCs w:val="20"/>
          <w:color w:val="auto"/>
        </w:rPr>
      </w:pPr>
    </w:p>
    <w:p>
      <w:pPr>
        <w:ind w:firstLine="526"/>
        <w:spacing w:after="0" w:line="243"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and sells advertising under long-term exhibitor service agreements (“ESAs”) with the founding members and with certain third-party network affiliates, under long-term network affiliate agreements. As previously disclosed, the COVID-19 pandemic has had a significant impact on the world and the Company’s business as the United States’ government and other state and local governments issued restrictions on travel, public gatherings and other events and issued social distancing guidelines. These and subsequent developments are referred to as the “COVID-19 Pandemic.” All of the theaters within the Company’s network have been open and the release of major motion pictures has resumed since the third quarter of 2021 resulting in the highest theater attendance since the start of the COVID-19 Pandemic. Despite the increase in network attendance, in-theater advertising revenue for the year ended December 30, 2021 and the quarter ended March 31, 2022 remained below historical levels due to the lag between the recovery of attendees and advertisers.</w:t>
      </w:r>
    </w:p>
    <w:p>
      <w:pPr>
        <w:spacing w:after="0" w:line="92" w:lineRule="exact"/>
        <w:rPr>
          <w:sz w:val="20"/>
          <w:szCs w:val="20"/>
          <w:color w:val="auto"/>
        </w:rPr>
      </w:pPr>
    </w:p>
    <w:p>
      <w:pPr>
        <w:ind w:right="20" w:firstLine="526"/>
        <w:spacing w:after="0" w:line="246" w:lineRule="auto"/>
        <w:rPr>
          <w:sz w:val="20"/>
          <w:szCs w:val="20"/>
          <w:color w:val="auto"/>
        </w:rPr>
      </w:pPr>
      <w:r>
        <w:rPr>
          <w:rFonts w:ascii="Times New Roman" w:cs="Times New Roman" w:eastAsia="Times New Roman" w:hAnsi="Times New Roman"/>
          <w:sz w:val="18"/>
          <w:szCs w:val="18"/>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(weighted based upon pre-COVID-19 attendance levels) of approximately 17.5 years as of March 31, 2022. The network affiliate agreements expire at various dates between July 2022 and December 2037. The weighted average remaining term of the ESAs and the network affiliate agreements together is 15.2 years as of March 31, 2022 (weighted based upon pre-COVID-19 attendance levels).</w:t>
      </w:r>
    </w:p>
    <w:p>
      <w:pPr>
        <w:spacing w:after="0" w:line="127" w:lineRule="exact"/>
        <w:rPr>
          <w:sz w:val="20"/>
          <w:szCs w:val="20"/>
          <w:color w:val="auto"/>
        </w:rPr>
      </w:pPr>
    </w:p>
    <w:p>
      <w:pPr>
        <w:ind w:right="240" w:firstLine="526"/>
        <w:spacing w:after="0" w:line="258" w:lineRule="auto"/>
        <w:rPr>
          <w:sz w:val="20"/>
          <w:szCs w:val="20"/>
          <w:color w:val="auto"/>
        </w:rPr>
      </w:pPr>
      <w:r>
        <w:rPr>
          <w:rFonts w:ascii="Times New Roman" w:cs="Times New Roman" w:eastAsia="Times New Roman" w:hAnsi="Times New Roman"/>
          <w:sz w:val="18"/>
          <w:szCs w:val="18"/>
          <w:color w:val="auto"/>
        </w:rPr>
        <w:t>As of March 31, 2022, NCM LLC had 171,733,112 common membership units outstanding, of which 81,403,872 (47.4%) were owned by NCM, Inc., 40,683,797 (23.7%) were owned by Regal, 43,690,797 (25.4%) were owned by Cinemark and 5,954,646 (3.5%) were owned by AMC. The membership units held by the founding members are exchangeable into NCM, Inc. common stock on a one-for-one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firstLine="526"/>
        <w:spacing w:after="0" w:line="244"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30, 2021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30, 2021.</w:t>
      </w:r>
    </w:p>
    <w:p>
      <w:pPr>
        <w:spacing w:after="0" w:line="141" w:lineRule="exact"/>
        <w:rPr>
          <w:sz w:val="20"/>
          <w:szCs w:val="20"/>
          <w:color w:val="auto"/>
        </w:rPr>
      </w:pPr>
    </w:p>
    <w:p>
      <w:pPr>
        <w:ind w:right="40" w:firstLine="526"/>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As a result of the various related party agreements discussed in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25" w:lineRule="exact"/>
        <w:rPr>
          <w:sz w:val="20"/>
          <w:szCs w:val="20"/>
          <w:color w:val="auto"/>
        </w:rPr>
      </w:pPr>
    </w:p>
    <w:p>
      <w:pPr>
        <w:ind w:right="6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580" w:firstLine="526"/>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30, 2021 contain a complete discussion of the Company’s significant accounting policies. Following is additional information related to the Company’s accounting policies.</w:t>
      </w:r>
    </w:p>
    <w:p>
      <w:pPr>
        <w:spacing w:after="0" w:line="82" w:lineRule="exact"/>
        <w:rPr>
          <w:sz w:val="20"/>
          <w:szCs w:val="20"/>
          <w:color w:val="auto"/>
        </w:rPr>
      </w:pPr>
    </w:p>
    <w:p>
      <w:pPr>
        <w:ind w:firstLine="5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advertising through its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 The Company has changed the classification of the make good provision, retrospectively, to now be included within “Deferred Revenue” on the unaudited Consolidated Balance Sheet rather than “Accrued Expenses” as of March 31, 2022.</w:t>
      </w:r>
    </w:p>
    <w:p>
      <w:pPr>
        <w:spacing w:after="0" w:line="128"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32" w:lineRule="exact"/>
        <w:rPr>
          <w:sz w:val="20"/>
          <w:szCs w:val="20"/>
          <w:color w:val="auto"/>
        </w:rPr>
      </w:pPr>
    </w:p>
    <w:p>
      <w:pPr>
        <w:ind w:right="260" w:firstLine="526"/>
        <w:spacing w:after="0" w:line="266" w:lineRule="auto"/>
        <w:rPr>
          <w:sz w:val="20"/>
          <w:szCs w:val="20"/>
          <w:color w:val="auto"/>
        </w:rPr>
      </w:pPr>
      <w:r>
        <w:rPr>
          <w:rFonts w:ascii="Times New Roman" w:cs="Times New Roman" w:eastAsia="Times New Roman" w:hAnsi="Times New Roman"/>
          <w:sz w:val="18"/>
          <w:szCs w:val="18"/>
          <w:color w:val="auto"/>
        </w:rPr>
        <w:t>The Company had one agency through which it sourced advertising revenue that accounted for 21.8% and 15.7% of the Company's gross outstanding receivable balance as of March 31, 2022 and December 30, 2021, respectively. During the three months ended March 31, 2022 and April 1, 2021, the Company had one customer that accounted for 11.4% and 14.0% of the Company's revenue, respectively.</w:t>
      </w:r>
    </w:p>
    <w:p>
      <w:pPr>
        <w:spacing w:after="0" w:line="118" w:lineRule="exact"/>
        <w:rPr>
          <w:sz w:val="20"/>
          <w:szCs w:val="20"/>
          <w:color w:val="auto"/>
        </w:rPr>
      </w:pPr>
    </w:p>
    <w:p>
      <w:pPr>
        <w:jc w:val="both"/>
        <w:ind w:right="8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 ASC 360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whether certain triggering events have occurred that could affect the value of an asset. The Company recorded losses of $5.8 million and $0.0 million related to the write-off of certain internally developed software during the three months ended March 31, 2022 and April 1, 2021, respectively.</w:t>
      </w:r>
    </w:p>
    <w:p>
      <w:pPr>
        <w:spacing w:after="0" w:line="117" w:lineRule="exact"/>
        <w:rPr>
          <w:sz w:val="20"/>
          <w:szCs w:val="20"/>
          <w:color w:val="auto"/>
        </w:rPr>
      </w:pPr>
    </w:p>
    <w:p>
      <w:pPr>
        <w:ind w:right="20"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restricted stock, and restricted stock units to certain employees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January 19, 2022, March 2, 2021 and February 28, 2021, the Company’s Board of Directors approved certain modifications to equity awards awarded under the Company’s 2016 Equity Incentive Plan and 2020 Omnibus Equity Incentive Plan to adjust performance metrics, vesting amount and future performance goals in light of the COVID-19 Pandemic resulting in incremental share-based compensation expense of $0.2 million and $1.3 million for the three months ended March 31, 2022 and April 1, 2021, respectively. During the three months ended March 31, 2022 and April 1, 2021, 855,753 and 843,729, shares of restricted stock and restricted stock units vested, respectively.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ind w:right="140" w:firstLine="52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Consolidation</w:t>
      </w:r>
      <w:r>
        <w:rPr>
          <w:rFonts w:ascii="Times New Roman" w:cs="Times New Roman" w:eastAsia="Times New Roman" w:hAnsi="Times New Roman"/>
          <w:sz w:val="17"/>
          <w:szCs w:val="17"/>
          <w:color w:val="auto"/>
        </w:rPr>
        <w:t>—NCM, Inc. consolidates the accounts of NCM LLC under the provisions of ASC 810,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following table presents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changes in NCM, Inc.’s equity resulting from net income attributable to NCM, Inc. and transfers to or from noncontrolling interests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common membership unit redemption</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to founding members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56"/>
        </w:trPr>
        <w:tc>
          <w:tcPr>
            <w:tcW w:w="84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income attributable to NCM, Inc. and transfers from noncontrolling</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1"/>
        </w:trPr>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100" w:firstLine="526"/>
        <w:spacing w:after="0" w:line="258" w:lineRule="auto"/>
        <w:rPr>
          <w:sz w:val="20"/>
          <w:szCs w:val="20"/>
          <w:color w:val="auto"/>
        </w:rPr>
      </w:pPr>
      <w:r>
        <w:rPr>
          <w:rFonts w:ascii="Times New Roman" w:cs="Times New Roman" w:eastAsia="Times New Roman" w:hAnsi="Times New Roman"/>
          <w:sz w:val="18"/>
          <w:szCs w:val="18"/>
          <w:color w:val="auto"/>
        </w:rPr>
        <w:t xml:space="preserve">During the first quarter of 2021, the Company adopted Accounting Standards Update 2019-12, Income Taxes (Topic 740):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(“ASU 2019-12”), which removes the following exceptions for the Company to analyze in a given period: the exception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concluded the LIBOR transition did not have a material impact on the Company’s unaudited Condensed Consolidated Financial Statements.</w:t>
      </w:r>
    </w:p>
    <w:p>
      <w:pPr>
        <w:spacing w:after="0" w:line="129" w:lineRule="exact"/>
        <w:rPr>
          <w:sz w:val="20"/>
          <w:szCs w:val="20"/>
          <w:color w:val="auto"/>
        </w:rPr>
      </w:pPr>
    </w:p>
    <w:p>
      <w:pPr>
        <w:ind w:right="16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04" w:lineRule="exact"/>
        <w:rPr>
          <w:sz w:val="20"/>
          <w:szCs w:val="20"/>
          <w:color w:val="auto"/>
        </w:rPr>
      </w:pPr>
    </w:p>
    <w:p>
      <w:pPr>
        <w:ind w:right="392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40" w:firstLine="526"/>
        <w:spacing w:after="0" w:line="256"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Audience Accelerator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NCM's digital gaming products including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ARcade</w:t>
      </w:r>
      <w:r>
        <w:rPr>
          <w:rFonts w:ascii="Times New Roman" w:cs="Times New Roman" w:eastAsia="Times New Roman" w:hAnsi="Times New Roman"/>
          <w:sz w:val="18"/>
          <w:szCs w:val="18"/>
          <w:i w:val="1"/>
          <w:iCs w:val="1"/>
          <w:color w:val="auto"/>
        </w:rPr>
        <w:t>, Name That Movie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Shuffle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played on the mobile apps and through partnerships with certain internet platforms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the Company sells advertising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variety of complementary out of home venues, including restaurants, convenience stores and college campuses. The Company also has a long-term agreement to exhibit the advertising of the founding members’ beverage suppliers.</w:t>
      </w:r>
    </w:p>
    <w:p>
      <w:pPr>
        <w:spacing w:after="0" w:line="77" w:lineRule="exact"/>
        <w:rPr>
          <w:sz w:val="20"/>
          <w:szCs w:val="20"/>
          <w:color w:val="auto"/>
        </w:rPr>
      </w:pPr>
    </w:p>
    <w:p>
      <w:pPr>
        <w:ind w:right="120" w:firstLine="526"/>
        <w:spacing w:after="0" w:line="258"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or the make-good period expires. The make-good provision is recorded within deferred revenue in the unaudited Condensed Consolidated Balance Sheet.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does not have any contracts with customers with terms in excess of one year that are noncancellable as of March 31,</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2022.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20" w:firstLine="526"/>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and regional, local and beverage concessionaire. This method of disaggregation is in alignment with how revenue is reviewed by management and discussed with, and historically disclosed to investors.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ended March 31, 2022 and April 1, 2021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April 1, 2021</w:t>
            </w:r>
          </w:p>
        </w:tc>
      </w:tr>
      <w:tr>
        <w:trPr>
          <w:trHeight w:val="22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Founding member advertising revenue from beverage concessionaire agreements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62" w:lineRule="exact"/>
        <w:rPr>
          <w:sz w:val="20"/>
          <w:szCs w:val="20"/>
          <w:color w:val="auto"/>
        </w:rPr>
      </w:pPr>
    </w:p>
    <w:p>
      <w:pPr>
        <w:ind w:right="280" w:firstLine="526"/>
        <w:spacing w:after="0" w:line="250" w:lineRule="auto"/>
        <w:rPr>
          <w:sz w:val="20"/>
          <w:szCs w:val="20"/>
          <w:color w:val="auto"/>
        </w:rPr>
      </w:pPr>
      <w:r>
        <w:rPr>
          <w:rFonts w:ascii="Times New Roman" w:cs="Times New Roman" w:eastAsia="Times New Roman" w:hAnsi="Times New Roman"/>
          <w:sz w:val="18"/>
          <w:szCs w:val="18"/>
          <w:color w:val="auto"/>
        </w:rPr>
        <w:t>Revenue recognized in the three months ended March 31, 2022 that was included within the Deferred Revenue balance as of December 30, 2021 was $4.5 million. As of March 31, 2022 and December 30, 2021, the Company had $3.9 million and $4.4 million in unbilled accounts receivable,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67" w:lineRule="exact"/>
        <w:rPr>
          <w:sz w:val="20"/>
          <w:szCs w:val="20"/>
          <w:color w:val="auto"/>
        </w:rPr>
      </w:pPr>
    </w:p>
    <w:p>
      <w:pPr>
        <w:ind w:right="180" w:firstLine="526"/>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three months ended March 31, 2022 and April 1, 2021, respectively, were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372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Allowance for Local/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19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Local/ Regional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Regional Customer</w:t>
            </w: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22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180" w:type="dxa"/>
            <w:vAlign w:val="bottom"/>
          </w:tcPr>
          <w:p>
            <w:pPr>
              <w:spacing w:after="0"/>
              <w:rPr>
                <w:sz w:val="17"/>
                <w:szCs w:val="17"/>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center"/>
              <w:ind w:left="1219"/>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center"/>
              <w:ind w:left="1254"/>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30"/>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bad debt</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80" w:type="dxa"/>
            <w:vAlign w:val="bottom"/>
          </w:tcPr>
          <w:p>
            <w:pPr>
              <w:jc w:val="center"/>
              <w:ind w:left="1219"/>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20" w:type="dxa"/>
            <w:vAlign w:val="bottom"/>
          </w:tcPr>
          <w:p>
            <w:pPr>
              <w:jc w:val="center"/>
              <w:ind w:left="1234"/>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199"/>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center"/>
              <w:ind w:left="1219"/>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center"/>
              <w:ind w:left="1254"/>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121"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229"/>
        </w:trPr>
        <w:tc>
          <w:tcPr>
            <w:tcW w:w="8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NCM, Inc. (in millions)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81,040,652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78,481,355</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Dilutive effect of stock options, restricted stock and exchangeable membership units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81,040,652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78,481,355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NCM, Inc.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4"/>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526"/>
        <w:spacing w:after="0" w:line="256" w:lineRule="auto"/>
        <w:rPr>
          <w:sz w:val="20"/>
          <w:szCs w:val="20"/>
          <w:color w:val="auto"/>
        </w:rPr>
      </w:pPr>
      <w:r>
        <w:rPr>
          <w:rFonts w:ascii="Times New Roman" w:cs="Times New Roman" w:eastAsia="Times New Roman" w:hAnsi="Times New Roman"/>
          <w:sz w:val="18"/>
          <w:szCs w:val="18"/>
          <w:color w:val="auto"/>
        </w:rPr>
        <w:t>The effect of 86,233,848 and 84,427,289 weighted average exchangeable NCM LLC common units held by the founding members for the three months ended March 31, 2022 and April 1, 2021, respectively, have been excluded from the calculation of diluted weighted average shares and loss per NCM, Inc. share as they were anti-dilutive. NCM LLC common units do not participate in dividends paid on NCM, Inc.’s common stock. In addition, there were 3,463,302 and 5,523,285 stock options and non-vested (restricted) shares for the three months ended March 31, 2022 and April 1, 2021, respectively, excluded from the calculation as they were anti-dilutive. The Company’s non-vested (restricted) shares do not meet the definition of a participating security as the dividends will not be paid if the shares do not vest.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right="40" w:firstLine="526"/>
        <w:spacing w:after="0" w:line="252" w:lineRule="auto"/>
        <w:rPr>
          <w:sz w:val="20"/>
          <w:szCs w:val="20"/>
          <w:color w:val="auto"/>
        </w:rPr>
      </w:pPr>
      <w:r>
        <w:rPr>
          <w:rFonts w:ascii="Times New Roman" w:cs="Times New Roman" w:eastAsia="Times New Roman" w:hAnsi="Times New Roman"/>
          <w:sz w:val="18"/>
          <w:szCs w:val="18"/>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the fourth quarter of 2021, the Company determined that recent adverse changes in macroeconomic trends, reduced cash flows as a consequence of the temporary, and sometimes permanent, closure of the theaters within the Company's network in response to the COVID-19 Pandemic, a decline in the fair value of NCM LLC’s debt and the further sustained decline in the market price of NCM, Inc.'s common stock constituted a triggering event for certain of its intangible assets under </w:t>
      </w:r>
      <w:r>
        <w:rPr>
          <w:rFonts w:ascii="Times New Roman" w:cs="Times New Roman" w:eastAsia="Times New Roman" w:hAnsi="Times New Roman"/>
          <w:sz w:val="18"/>
          <w:szCs w:val="18"/>
          <w:i w:val="1"/>
          <w:iCs w:val="1"/>
          <w:color w:val="auto"/>
        </w:rPr>
        <w:t xml:space="preserve">Accounting Standards Certification No. 360, Impairment and Disposal of Long-Lived Assets. </w:t>
      </w:r>
      <w:r>
        <w:rPr>
          <w:rFonts w:ascii="Times New Roman" w:cs="Times New Roman" w:eastAsia="Times New Roman" w:hAnsi="Times New Roman"/>
          <w:sz w:val="18"/>
          <w:szCs w:val="18"/>
          <w:color w:val="auto"/>
        </w:rPr>
        <w:t>Management considered possible scenarios in a probability-weighted estimated future undiscounted cash flow analysis, including the potential of further delays in major motion picture releases, a delay in audience return to the theaters and other potential adverse impacts to certain of NCM LLC's founding members' and affiliates' financial liquidity related to the COVID-19 Pandemic. The estimated future cash flows from the ESAs calculated within the probability-weighted analyses were in excess of the net book value of these intangible assets and no impairment charges were recorded in the year ended December 30, 2021.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4" w:lineRule="exact"/>
        <w:rPr>
          <w:sz w:val="20"/>
          <w:szCs w:val="20"/>
          <w:color w:val="auto"/>
        </w:rPr>
      </w:pPr>
    </w:p>
    <w:p>
      <w:pPr>
        <w:ind w:firstLine="5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with its founding members, on an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33"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NCM LLC issued 6,483,893 common membership units to two founding members for the rights to exclusive access to the theater screens and attendees added, net of dispositions, to NCM LLC’s network during the 2021 fiscal year and calculated a negative common membership unit adjustment for one founding member resulting in 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reduction of 2,342,997 to its common membership unit balance. The net impact as a result of the Common Unit Adjustment to the intangible asset was $10.4 million during the first quarter of 2022.</w:t>
      </w:r>
    </w:p>
    <w:p>
      <w:pPr>
        <w:spacing w:after="0" w:line="108"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 receivable included within “Other assets and prepaid expenses” on the unaudited Consolidated Balance Sheet. The net impact as a result of the Common Unit Adjustment to the intangible asset was $4.8 million during the first quarter of 2021.</w:t>
      </w:r>
    </w:p>
    <w:p>
      <w:pPr>
        <w:spacing w:after="0" w:line="125"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March 31, 2022 and April 1, 2021, the Company recorded a reduction to net intangible assets of $0.2 million and $0.0 million, respectively, related to other encumbered theater payments. No integration payments were earned for the three months ended March 31, 2022 because the Company generated negative Adjusted Operating Income Before Depreciation and Amortization (“Adjusted OIBDA”) during this period. During the three months ended March 31, 2022 and April 1, 2021, AMC and Cinemark paid a total of $1.2 million and $0.0 million, respectively, in integration and other encumbered theater payments (as payments are made one quarter and one month in arrears, respectively). The payments received during the three months ended April 1, 2021 primarily relate to AMC's acquisition of theaters from Carmike.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right="8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Founding Member Transactions</w:t>
      </w:r>
      <w:r>
        <w:rPr>
          <w:rFonts w:ascii="Times New Roman" w:cs="Times New Roman" w:eastAsia="Times New Roman" w:hAnsi="Times New Roman"/>
          <w:sz w:val="18"/>
          <w:szCs w:val="18"/>
          <w:color w:val="auto"/>
        </w:rPr>
        <w:t>—In connection with NCM, Inc.’s initial public offering (“IPO”), the Company entered into several agreements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 and regulate the relationships among NCM, Inc., NCM LLC and the founding members which are outlined below. AMC has owned less than 5% of NCM LLC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March 31, 2022, AMC’s ownership was 3.5%.</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material agreements with the founding members are as follows:</w:t>
      </w:r>
    </w:p>
    <w:p>
      <w:pPr>
        <w:spacing w:after="0" w:line="167" w:lineRule="exact"/>
        <w:rPr>
          <w:sz w:val="20"/>
          <w:szCs w:val="20"/>
          <w:color w:val="auto"/>
        </w:rPr>
      </w:pPr>
    </w:p>
    <w:p>
      <w:pPr>
        <w:ind w:left="1100" w:right="80" w:hanging="323"/>
        <w:spacing w:after="0" w:line="254"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founding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use of the LEN and rights to sell and display certain lobby promotions. Further, NCM LLC’s founding members have elected to purchase 30 seconds to 60 seconds of advertising, out of the 90 seconds allowed for under the ESA,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22" w:lineRule="exact"/>
        <w:rPr>
          <w:sz w:val="20"/>
          <w:szCs w:val="20"/>
          <w:color w:val="auto"/>
        </w:rPr>
      </w:pPr>
    </w:p>
    <w:p>
      <w:pPr>
        <w:ind w:left="1100" w:right="60" w:hanging="323"/>
        <w:spacing w:after="0" w:line="268" w:lineRule="auto"/>
        <w:tabs>
          <w:tab w:leader="none" w:pos="10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68" w:lineRule="auto"/>
        <w:tabs>
          <w:tab w:leader="none" w:pos="10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the founding members of 90%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82" w:lineRule="auto"/>
        <w:tabs>
          <w:tab w:leader="none" w:pos="10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Software License Agreement. </w:t>
      </w:r>
      <w:r>
        <w:rPr>
          <w:rFonts w:ascii="Times New Roman" w:cs="Times New Roman" w:eastAsia="Times New Roman" w:hAnsi="Times New Roman"/>
          <w:sz w:val="17"/>
          <w:szCs w:val="17"/>
          <w:color w:val="auto"/>
        </w:rPr>
        <w:t>At the date of the Company’s IPO, NCM LLC was granted a perpetual, royalty-free license from NCM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provide summaries of the transactions between the Company and the related party founding members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Statements of Income:</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0" w:type="dxa"/>
            <w:vAlign w:val="bottom"/>
          </w:tcPr>
          <w:p>
            <w:pPr>
              <w:spacing w:after="0"/>
              <w:rPr>
                <w:sz w:val="1"/>
                <w:szCs w:val="1"/>
                <w:color w:val="auto"/>
              </w:rPr>
            </w:pPr>
          </w:p>
        </w:tc>
      </w:tr>
      <w:tr>
        <w:trPr>
          <w:trHeight w:val="175"/>
        </w:trPr>
        <w:tc>
          <w:tcPr>
            <w:tcW w:w="220" w:type="dxa"/>
            <w:vAlign w:val="bottom"/>
            <w:tcBorders>
              <w:top w:val="single" w:sz="8" w:color="CCEEFF"/>
            </w:tcBorders>
            <w:shd w:val="clear" w:color="auto" w:fill="CCEEFF"/>
          </w:tcPr>
          <w:p>
            <w:pPr>
              <w:spacing w:after="0"/>
              <w:rPr>
                <w:sz w:val="15"/>
                <w:szCs w:val="15"/>
                <w:color w:val="auto"/>
              </w:rPr>
            </w:pPr>
          </w:p>
        </w:tc>
        <w:tc>
          <w:tcPr>
            <w:tcW w:w="8220" w:type="dxa"/>
            <w:vAlign w:val="bottom"/>
            <w:tcBorders>
              <w:top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8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Operating expenses:</w:t>
            </w:r>
          </w:p>
        </w:tc>
        <w:tc>
          <w:tcPr>
            <w:tcW w:w="6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Theater access fee and revenue share to founding members </w:t>
            </w:r>
            <w:r>
              <w:rPr>
                <w:rFonts w:ascii="Times New Roman" w:cs="Times New Roman" w:eastAsia="Times New Roman" w:hAnsi="Times New Roman"/>
                <w:sz w:val="18"/>
                <w:szCs w:val="18"/>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Advertising operating costs </w:t>
            </w:r>
            <w:r>
              <w:rPr>
                <w:rFonts w:ascii="Times New Roman" w:cs="Times New Roman" w:eastAsia="Times New Roman" w:hAnsi="Times New Roman"/>
                <w:sz w:val="18"/>
                <w:szCs w:val="18"/>
                <w:i w:val="1"/>
                <w:iCs w:val="1"/>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71" w:lineRule="exact"/>
        <w:rPr>
          <w:sz w:val="20"/>
          <w:szCs w:val="20"/>
          <w:color w:val="auto"/>
        </w:rPr>
      </w:pPr>
    </w:p>
    <w:p>
      <w:pPr>
        <w:ind w:left="340" w:right="140" w:hanging="332"/>
        <w:spacing w:after="0" w:line="257"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March 31, 2022 and April 1, 2021, Cinemark and Regal purchased 60 seconds of on-screen advertising time from NCM LLC to satisfy their obligations under their beverage concessionaire agreements at a 30 seconds equivalent CPM rate specified by the ESA. Beverage revenue was limited for periods of reduced attendance due to the COVID-19 Pandemic.</w:t>
      </w:r>
    </w:p>
    <w:p>
      <w:pPr>
        <w:spacing w:after="0" w:line="1" w:lineRule="exact"/>
        <w:rPr>
          <w:rFonts w:ascii="Times New Roman" w:cs="Times New Roman" w:eastAsia="Times New Roman" w:hAnsi="Times New Roman"/>
          <w:sz w:val="18"/>
          <w:szCs w:val="18"/>
          <w:i w:val="1"/>
          <w:iCs w:val="1"/>
          <w:color w:val="auto"/>
        </w:rPr>
      </w:pPr>
    </w:p>
    <w:p>
      <w:pPr>
        <w:ind w:left="340" w:right="240" w:hanging="332"/>
        <w:spacing w:after="0" w:line="250"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“Platinum Spot”). Theater access fees and revenue share expenses were reduced for periods of reduced attendance due to the COVID-19 Pandemic.</w:t>
      </w:r>
    </w:p>
    <w:p>
      <w:pPr>
        <w:spacing w:after="0" w:line="1" w:lineRule="exact"/>
        <w:rPr>
          <w:rFonts w:ascii="Times New Roman" w:cs="Times New Roman" w:eastAsia="Times New Roman" w:hAnsi="Times New Roman"/>
          <w:sz w:val="18"/>
          <w:szCs w:val="18"/>
          <w:i w:val="1"/>
          <w:iCs w:val="1"/>
          <w:color w:val="auto"/>
        </w:rPr>
      </w:pPr>
    </w:p>
    <w:p>
      <w:pPr>
        <w:ind w:left="340" w:right="240" w:hanging="332"/>
        <w:spacing w:after="0" w:line="243"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Balance Sheets:</w:t>
            </w: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68"/>
        </w:trPr>
        <w:tc>
          <w:tcPr>
            <w:tcW w:w="826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Common unit adjustments and ESA extension costs, net of amortization and integration payments (included in</w:t>
            </w: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8"/>
                <w:szCs w:val="18"/>
                <w:i w:val="1"/>
                <w:iCs w:val="1"/>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6"/>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payable to founding members under tax receivable agreement </w:t>
            </w:r>
            <w:r>
              <w:rPr>
                <w:rFonts w:ascii="Times New Roman" w:cs="Times New Roman" w:eastAsia="Times New Roman" w:hAnsi="Times New Roman"/>
                <w:sz w:val="18"/>
                <w:szCs w:val="18"/>
                <w:i w:val="1"/>
                <w:iCs w:val="1"/>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60" w:hanging="332"/>
        <w:spacing w:after="0" w:line="258"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4—</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ind w:left="340" w:right="100" w:hanging="332"/>
        <w:spacing w:after="0" w:line="260"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paid Cinemark and Regal $0.2 million and $0.4 million during 2021, respectively, in payments pursuant to the TRA which were for the 2019 tax year.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Due to the continued recovery from the COVID-19 Pandemic during the three months ended March 31, 2022 and decrease in 2021 in-theater advertising revenue, the mandatory distributions of available cash by NCM LLC to its related party founding members and NCM, Inc. for the three months ended March 31, 2022 were calculated as negative $26.3 million (including negative $6.9 million for Cinemark, negative $6.5 million for Regal and negative $12.9 million for NCM, Inc.). Therefore, there will be no payment made for the first quarter of 2022.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Third Amendment defined within Note 6—</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in accordance with the NCM LLC operating agreement.</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March 31, 2022 were comprised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5"/>
        </w:trPr>
        <w:tc>
          <w:tcPr>
            <w:tcW w:w="71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
        </w:trPr>
        <w:tc>
          <w:tcPr>
            <w:tcW w:w="7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3"/>
        </w:trPr>
        <w:tc>
          <w:tcPr>
            <w:tcW w:w="994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December 30, 2021 were comprised of the following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8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7"/>
                <w:szCs w:val="17"/>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4"/>
        </w:trPr>
        <w:tc>
          <w:tcPr>
            <w:tcW w:w="71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4"/>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owned 32% by each of the founding members and 4% by NCM LLC. The Company accounts for its investment in AC JV, LLC under the equity method of accounting in accordance with ASC 323-30,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$0.8 million and $0.7 million as of March 31, 2022 and December 30, 2021, respectively. During the three months ended March 31, 2022 and April 1, 2021, NCM LLC received cash distributions from AC JV, LLC of $0.1 million and $0.0 million, respectively. Equity in earnings (losses) from AC JV, LLC of $0.1 million and $(0.1) million for the three months ended March 31, 2022 and April 1, 2021, respectively, is included in “Other non-operating income” in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22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March 31, 2022 and December 30, 2021 and the significant terms of its borrowing arrangements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1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2018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2023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20,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 first tranche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20,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 second tranche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15, 2028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5.875%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2026</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5.750%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debt issuance costs and debt discounts related to</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term loans and senior notes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facilities and term loans are described below.</w:t>
      </w:r>
    </w:p>
    <w:p>
      <w:pPr>
        <w:spacing w:after="0" w:line="167" w:lineRule="exact"/>
        <w:rPr>
          <w:sz w:val="20"/>
          <w:szCs w:val="20"/>
          <w:color w:val="auto"/>
        </w:rPr>
      </w:pPr>
    </w:p>
    <w:p>
      <w:pPr>
        <w:ind w:right="20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r>
        <w:rPr>
          <w:rFonts w:ascii="Times New Roman" w:cs="Times New Roman" w:eastAsia="Times New Roman" w:hAnsi="Times New Roman"/>
          <w:sz w:val="18"/>
          <w:szCs w:val="18"/>
          <w:color w:val="auto"/>
        </w:rPr>
        <w:t>—NCM LLC’s credit agreement, as amended, (the “Credit Agreement”) consists of a term loan facility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facility. As of March 31, 2022, NCM LLC’s senior secured credit facility consisted of a $175.0 million revolving credit facility, a $49.5 million term loan (first tranche) and a $259.9 million term loan (second tranche). The obligations under the senior secured credit facility are secured by a lien on substantially all of the assets of NCM LLC.</w:t>
      </w:r>
    </w:p>
    <w:p>
      <w:pPr>
        <w:spacing w:after="0" w:line="126" w:lineRule="exact"/>
        <w:rPr>
          <w:sz w:val="20"/>
          <w:szCs w:val="20"/>
          <w:color w:val="auto"/>
        </w:rPr>
      </w:pPr>
    </w:p>
    <w:p>
      <w:pPr>
        <w:ind w:right="120" w:firstLine="526"/>
        <w:spacing w:after="0" w:line="255" w:lineRule="auto"/>
        <w:rPr>
          <w:sz w:val="20"/>
          <w:szCs w:val="20"/>
          <w:color w:val="auto"/>
        </w:rPr>
      </w:pPr>
      <w:r>
        <w:rPr>
          <w:rFonts w:ascii="Times New Roman" w:cs="Times New Roman" w:eastAsia="Times New Roman" w:hAnsi="Times New Roman"/>
          <w:sz w:val="18"/>
          <w:szCs w:val="18"/>
          <w:color w:val="auto"/>
        </w:rPr>
        <w:t>On March 8, 2021, NCM LLC entered into a second amendment to its Credit Agreement (“Credit Agreement Second Amendment”). Among other things, the Credit Agreement Second Amendment provides for certain modifications to the negative covenants,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“Loss on modification and retirement of debt, net”.</w:t>
      </w:r>
    </w:p>
    <w:p>
      <w:pPr>
        <w:spacing w:after="0" w:line="135"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On January 5, 2022, NCM LLC entered into a third amendment to its Credit Agreement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Upon execution of the Credit Agreement Third Amendment, $6.4 million was recorded as debt issuance costs and $0.4 million was recorded as a loss on the modification of debt during the year ended December 30, 2021.</w:t>
      </w:r>
    </w:p>
    <w:p>
      <w:pPr>
        <w:spacing w:after="0" w:line="134" w:lineRule="exact"/>
        <w:rPr>
          <w:sz w:val="20"/>
          <w:szCs w:val="20"/>
          <w:color w:val="auto"/>
        </w:rPr>
      </w:pPr>
    </w:p>
    <w:p>
      <w:pPr>
        <w:ind w:right="220" w:firstLine="526"/>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each of which has been modified by the Credit Agreement Third Amendment. Pursuant to the terms of the Credit Agreement Third Amendment, NCM LLC is restricted from making available cash distributions until after NCM LLC delivers a compliance certificate for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w:t>
      </w:r>
    </w:p>
    <w:p>
      <w:pPr>
        <w:spacing w:after="0" w:line="1" w:lineRule="exact"/>
        <w:rPr>
          <w:sz w:val="20"/>
          <w:szCs w:val="20"/>
          <w:color w:val="auto"/>
        </w:rPr>
      </w:pPr>
    </w:p>
    <w:p>
      <w:pPr>
        <w:ind w:right="300" w:firstLine="8"/>
        <w:spacing w:after="0" w:line="25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outstanding revolving loans under the Credit Agreement is $39.0 million or less. As of March 31, 2022, NCM LLC was in compliance with the requirements of the Credit Agreement Third Amendment described above and the noncompliance with the financial covenants was automatically waived.</w:t>
      </w:r>
    </w:p>
    <w:p>
      <w:pPr>
        <w:spacing w:after="0" w:line="130" w:lineRule="exact"/>
        <w:rPr>
          <w:sz w:val="20"/>
          <w:szCs w:val="20"/>
          <w:color w:val="auto"/>
        </w:rPr>
      </w:pPr>
    </w:p>
    <w:p>
      <w:pPr>
        <w:ind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Tranche</w:t>
      </w:r>
      <w:r>
        <w:rPr>
          <w:rFonts w:ascii="Times New Roman" w:cs="Times New Roman" w:eastAsia="Times New Roman" w:hAnsi="Times New Roman"/>
          <w:sz w:val="18"/>
          <w:szCs w:val="18"/>
          <w:color w:val="auto"/>
        </w:rPr>
        <w:t>—The interest rate on the initial tranche of term loans was originally a rate chosen at NCM LLC’s option of 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index plus 3.00% or the base rate plus 2.00%. The rate increased from LIBOR index plus 2.75% or the base rate plus 1.75%. The interest rate on the term loans as of March 31, 2022 was 5.00%. The term loans amortize at a rate equal to 1.00% annually, to be paid in equal quarterly installments. As of March 31, 2022, NCM LLC has paid principal of $10.1 million, reducing the outstanding balance to $259.9 million.</w:t>
      </w:r>
    </w:p>
    <w:p>
      <w:pPr>
        <w:spacing w:after="0" w:line="126" w:lineRule="exact"/>
        <w:rPr>
          <w:sz w:val="20"/>
          <w:szCs w:val="20"/>
          <w:color w:val="auto"/>
        </w:rPr>
      </w:pPr>
    </w:p>
    <w:p>
      <w:pPr>
        <w:jc w:val="both"/>
        <w:ind w:right="14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Tranche</w:t>
      </w:r>
      <w:r>
        <w:rPr>
          <w:rFonts w:ascii="Times New Roman" w:cs="Times New Roman" w:eastAsia="Times New Roman" w:hAnsi="Times New Roman"/>
          <w:sz w:val="18"/>
          <w:szCs w:val="18"/>
          <w:color w:val="auto"/>
        </w:rPr>
        <w:t>—The interest rate on the second tranche of term loans is the LIBOR index plus 8.00%. The interest rate 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as of March 31, 2022 was 9.00%. The term loans amortize at a rate equal to 1.00% annually, to be paid in equal quarterly installments. As of March 31, 2022, NCM LLC has paid principal of $0.5 million, reducing the outstanding balance to $49.5 million.</w:t>
      </w:r>
    </w:p>
    <w:p>
      <w:pPr>
        <w:spacing w:after="0" w:line="63" w:lineRule="exact"/>
        <w:rPr>
          <w:sz w:val="20"/>
          <w:szCs w:val="20"/>
          <w:color w:val="auto"/>
        </w:rPr>
      </w:pPr>
    </w:p>
    <w:p>
      <w:pPr>
        <w:ind w:right="20"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Revolving Credit Facility 2018</w:t>
      </w:r>
      <w:r>
        <w:rPr>
          <w:rFonts w:ascii="Times New Roman" w:cs="Times New Roman" w:eastAsia="Times New Roman" w:hAnsi="Times New Roman"/>
          <w:sz w:val="18"/>
          <w:szCs w:val="18"/>
          <w:color w:val="auto"/>
        </w:rPr>
        <w:t>—The revolving credit facility portion of NCM LLC’s total borrowings is available, subject to certain conditions,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March 31, 2022, NCM LLC’s total availability under the $175.0 million revolving credit facility was $6.8 million, net of $167.0 million outstanding and $1.2 million in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weighted-average interest rate on the revolving credit facility as of March 31, 2022 was 4.50%.</w:t>
      </w:r>
    </w:p>
    <w:p>
      <w:pPr>
        <w:spacing w:after="0" w:line="79" w:lineRule="exact"/>
        <w:rPr>
          <w:sz w:val="20"/>
          <w:szCs w:val="20"/>
          <w:color w:val="auto"/>
        </w:rPr>
      </w:pPr>
    </w:p>
    <w:p>
      <w:pPr>
        <w:ind w:right="2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Revolving Credit Facility 2022</w:t>
      </w:r>
      <w:r>
        <w:rPr>
          <w:rFonts w:ascii="Times New Roman" w:cs="Times New Roman" w:eastAsia="Times New Roman" w:hAnsi="Times New Roman"/>
          <w:sz w:val="18"/>
          <w:szCs w:val="18"/>
          <w:color w:val="auto"/>
        </w:rPr>
        <w:t>—On January 5, 2022, NCM LLC also entered into a new revolving credit agreement (the “Revolving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2022”). The Revolving Credit Agreement 2022 provides for revolving loan commitments of $50.0 million of secured revolving loans, the entire amount of which was funded on January 5, 2022. The Revolving Credit Agreement 2022 provides for (i) a cash interest rate of term Secured Overnight Financing Rate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March 31, 2022, NCM LLC’s total availability under the $50.0 million revolving credit facility was $0.0 million. The weighted-average interest rate on the revolving credit facility as of March 31, 2022 was 9.11%.</w:t>
      </w:r>
    </w:p>
    <w:p>
      <w:pPr>
        <w:spacing w:after="0" w:line="131" w:lineRule="exact"/>
        <w:rPr>
          <w:sz w:val="20"/>
          <w:szCs w:val="20"/>
          <w:color w:val="auto"/>
        </w:rPr>
      </w:pPr>
    </w:p>
    <w:p>
      <w:pPr>
        <w:ind w:right="10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Senior Unsecured Notes due 2026</w:t>
      </w:r>
      <w:r>
        <w:rPr>
          <w:rFonts w:ascii="Times New Roman" w:cs="Times New Roman" w:eastAsia="Times New Roman" w:hAnsi="Times New Roman"/>
          <w:sz w:val="18"/>
          <w:szCs w:val="18"/>
          <w:color w:val="auto"/>
        </w:rPr>
        <w:t>—On August 19, 2016, NCM LLC completed a private placement of $250.0 million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respectively, reducing the principal amount to $230.0 million as of March 31, 2022.</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2028</w:t>
      </w:r>
      <w:r>
        <w:rPr>
          <w:rFonts w:ascii="Times New Roman" w:cs="Times New Roman" w:eastAsia="Times New Roman" w:hAnsi="Times New Roman"/>
          <w:sz w:val="18"/>
          <w:szCs w:val="18"/>
          <w:color w:val="auto"/>
        </w:rPr>
        <w:t>—On October 8, 2019, NCM LLC completed a private offering of $400.0 million aggregate principal amount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7" w:lineRule="exact"/>
        <w:rPr>
          <w:sz w:val="20"/>
          <w:szCs w:val="20"/>
          <w:color w:val="auto"/>
        </w:rPr>
      </w:pPr>
    </w:p>
    <w:p>
      <w:pPr>
        <w:ind w:right="10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 recorded income tax expense of $0.0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for the three months ended April 1, 2021 resulting in an effective tax rate of 0.0% for both periods. The Company recorded a full valuation allowance on its net deferred tax assets as of April 1, 2021 following the determination it was more-likely-than-not that the Company will not be able to realize the benefit of those assets. The Company maintained a full valuation allowance as of March 31, 2022, resulting in deferred tax expense of $0.0 million for the three months ended March 31, 2022 and the Company’s effective tax rate of 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right="6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effect individually or in the aggregate on its financial position, results of operations or cash flows.</w:t>
      </w:r>
    </w:p>
    <w:p>
      <w:pPr>
        <w:spacing w:after="0" w:line="47"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$18.3 million and short-term and long-term lease liabilities of $2.2 million and $19.8 million, respectively, on the balance sheet as of March 31, 2022 for all material leases with terms longer than twelve months. These balances are included within “Other assets”, “Other current liabilities” and “Other liabilities”, respectively, on the unaudited Condensed Consolidated Balance Sheets. As of March 31, 2022, the Company had a weighted average remaining lease term of 7.3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March 31, 2022, the Company’s weighted average annual discount rate used to establish the ROU assets and lease liabilities was 7.4%.</w:t>
      </w:r>
    </w:p>
    <w:p>
      <w:pPr>
        <w:spacing w:after="0" w:line="84" w:lineRule="exact"/>
        <w:rPr>
          <w:sz w:val="20"/>
          <w:szCs w:val="20"/>
          <w:color w:val="auto"/>
        </w:rPr>
      </w:pPr>
    </w:p>
    <w:p>
      <w:pPr>
        <w:ind w:right="580" w:firstLine="567"/>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April 1, 2021,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April 1, 2021</w:t>
            </w:r>
          </w:p>
        </w:tc>
      </w:tr>
      <w:tr>
        <w:trPr>
          <w:trHeight w:val="229"/>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40" w:firstLine="526"/>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$0.9 million and $0.9 million during the three months ended March 31, 2022 and April 1, 2021, respectively. These payments are included within cash flows from operating activities within the unaudited Condensed Consolidated Statement of Cash Flows.</w:t>
      </w:r>
    </w:p>
    <w:p>
      <w:pPr>
        <w:spacing w:after="0" w:line="64"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ESAs and Affiliate Agreements</w:t>
      </w:r>
      <w:r>
        <w:rPr>
          <w:rFonts w:ascii="Times New Roman" w:cs="Times New Roman" w:eastAsia="Times New Roman" w:hAnsi="Times New Roman"/>
          <w:sz w:val="18"/>
          <w:szCs w:val="18"/>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78" w:lineRule="exact"/>
        <w:rPr>
          <w:sz w:val="20"/>
          <w:szCs w:val="20"/>
          <w:color w:val="auto"/>
        </w:rPr>
      </w:pPr>
    </w:p>
    <w:p>
      <w:pPr>
        <w:ind w:right="20" w:firstLine="526"/>
        <w:spacing w:after="0" w:line="266" w:lineRule="auto"/>
        <w:rPr>
          <w:sz w:val="20"/>
          <w:szCs w:val="20"/>
          <w:color w:val="auto"/>
        </w:rPr>
      </w:pPr>
      <w:r>
        <w:rPr>
          <w:rFonts w:ascii="Times New Roman" w:cs="Times New Roman" w:eastAsia="Times New Roman" w:hAnsi="Times New Roman"/>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March 31, 2022 and December 30, 2021, the Company had no liabilities recorded for the minimum payment, as the theater access fee was in excess of the minimum.</w:t>
      </w:r>
    </w:p>
    <w:p>
      <w:pPr>
        <w:spacing w:after="0" w:line="75"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the founding members any theater access fees or any Platinum Spot revenue share when the theaters were not displaying the Company's pre-show or when the Company did not have access to the theaters. As such, the Company did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w:t>
      </w:r>
    </w:p>
    <w:p>
      <w:pPr>
        <w:spacing w:after="0" w:line="143"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31, 2022, the maximum potential amount of future payments the Company could be required to make pursuant to the minimum revenue guarantees is $121.5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$0.1 million and $0.4 million related to affiliate agreements with guaranteed minimums in excess of the revenue share agreement as of March 31, 2022 and December 30, 2021, respectively.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inactive markets, or other inputs that are observable or can be corroborated by observable market data for substantially the full term of the assets or liabilities.</w:t>
      </w:r>
    </w:p>
    <w:p>
      <w:pPr>
        <w:spacing w:after="0" w:line="119" w:lineRule="exact"/>
        <w:rPr>
          <w:sz w:val="20"/>
          <w:szCs w:val="20"/>
          <w:color w:val="auto"/>
        </w:rPr>
      </w:pPr>
    </w:p>
    <w:p>
      <w:pPr>
        <w:ind w:right="200" w:firstLine="526"/>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2" w:lineRule="exact"/>
        <w:rPr>
          <w:sz w:val="20"/>
          <w:szCs w:val="20"/>
          <w:color w:val="auto"/>
        </w:rPr>
      </w:pPr>
    </w:p>
    <w:p>
      <w:pPr>
        <w:ind w:right="18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119"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AC JV, LLC </w:t>
            </w:r>
            <w:r>
              <w:rPr>
                <w:rFonts w:ascii="Times New Roman" w:cs="Times New Roman" w:eastAsia="Times New Roman" w:hAnsi="Times New Roman"/>
                <w:sz w:val="18"/>
                <w:szCs w:val="18"/>
                <w:i w:val="1"/>
                <w:iCs w:val="1"/>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i w:val="1"/>
                <w:iCs w:val="1"/>
                <w:color w:val="auto"/>
              </w:rPr>
              <w:t>(2)</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This investment is accounted for utilizing the equity method.</w:t>
      </w:r>
    </w:p>
    <w:p>
      <w:pPr>
        <w:spacing w:after="0" w:line="7"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continues to hold other investments with negligible balances.</w:t>
      </w:r>
    </w:p>
    <w:p>
      <w:pPr>
        <w:spacing w:after="0" w:line="153" w:lineRule="exact"/>
        <w:rPr>
          <w:sz w:val="20"/>
          <w:szCs w:val="20"/>
          <w:color w:val="auto"/>
        </w:rPr>
      </w:pPr>
    </w:p>
    <w:p>
      <w:pPr>
        <w:ind w:right="100" w:firstLine="52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and April 1, 2021, the Company recorded impairment charges of $0.1 million and $0.0 million, respectively, on certain of its investments due to new information regarding the fair value of the investee, which brought the total remaining value of the respective impaired investments to $0.0 million as of March 31, 2022. As of March 31, 2022,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facilities are considered a reasonable estimate of fair value due to its floating-rate terms.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where carrying values do not approximate fair value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r>
      <w:tr>
        <w:trPr>
          <w:trHeight w:val="23"/>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1"/>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r>
      <w:tr>
        <w:trPr>
          <w:trHeight w:val="22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 second tranche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w:t>
      </w:r>
    </w:p>
    <w:p>
      <w:pPr>
        <w:spacing w:after="0" w:line="14" w:lineRule="exact"/>
        <w:rPr>
          <w:sz w:val="20"/>
          <w:szCs w:val="20"/>
          <w:color w:val="auto"/>
        </w:rPr>
      </w:pPr>
    </w:p>
    <w:p>
      <w:pPr>
        <w:ind w:left="340" w:hanging="332"/>
        <w:spacing w:after="0" w:line="270"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the Company were to measure the borrowings in the above table at fair value on the balance sheet they would be classified as Level 2 based upon the inputs utilized.</w:t>
      </w:r>
    </w:p>
    <w:p>
      <w:pPr>
        <w:spacing w:after="0" w:line="114" w:lineRule="exact"/>
        <w:rPr>
          <w:sz w:val="20"/>
          <w:szCs w:val="20"/>
          <w:color w:val="auto"/>
        </w:rPr>
      </w:pPr>
    </w:p>
    <w:p>
      <w:pPr>
        <w:ind w:right="3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—The fair values of the Company’s assets and liabilities measured on a recurring basis pursuant to ASC 820-10,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Value Measurements and Disclosures </w:t>
      </w:r>
      <w:r>
        <w:rPr>
          <w:rFonts w:ascii="Times New Roman" w:cs="Times New Roman" w:eastAsia="Times New Roman" w:hAnsi="Times New Roman"/>
          <w:sz w:val="18"/>
          <w:szCs w:val="18"/>
          <w:color w:val="auto"/>
        </w:rPr>
        <w:t>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March</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60" w:right="20" w:hanging="328"/>
        <w:spacing w:after="0" w:line="255" w:lineRule="auto"/>
        <w:tabs>
          <w:tab w:leader="none" w:pos="65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following the Company's election of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75" w:lineRule="exact"/>
        <w:rPr>
          <w:rFonts w:ascii="Times New Roman" w:cs="Times New Roman" w:eastAsia="Times New Roman" w:hAnsi="Times New Roman"/>
          <w:sz w:val="18"/>
          <w:szCs w:val="18"/>
          <w:i w:val="1"/>
          <w:iCs w:val="1"/>
          <w:color w:val="auto"/>
        </w:rPr>
      </w:pPr>
    </w:p>
    <w:p>
      <w:pPr>
        <w:ind w:left="660" w:hanging="328"/>
        <w:spacing w:after="0" w:line="253" w:lineRule="auto"/>
        <w:tabs>
          <w:tab w:leader="none" w:pos="65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and Long-Term Marketable Securities</w:t>
      </w:r>
      <w:r>
        <w:rPr>
          <w:rFonts w:ascii="Times New Roman" w:cs="Times New Roman" w:eastAsia="Times New Roman" w:hAnsi="Times New Roman"/>
          <w:sz w:val="18"/>
          <w:szCs w:val="18"/>
          <w:color w:val="auto"/>
        </w:rPr>
        <w:t>—The carrying amount and fair value of the marketable securities are equivalent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March 31, 2022 and December 30, 2021, there were $1.0 million and $1.0 million, respectively, of available-for-sale debt securities in unrealized loss positions without an allowance for credit losses. The Company has not recorded an allowance for credit losses for the marketable securities balance as of March 31, 2022 or December 30, 2021 given the immaterial difference between the amortized cost basis and the aggregate fair value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526"/>
        <w:spacing w:after="0" w:line="282" w:lineRule="auto"/>
        <w:rPr>
          <w:sz w:val="20"/>
          <w:szCs w:val="20"/>
          <w:color w:val="auto"/>
        </w:rPr>
      </w:pPr>
      <w:r>
        <w:rPr>
          <w:rFonts w:ascii="Times New Roman" w:cs="Times New Roman" w:eastAsia="Times New Roman" w:hAnsi="Times New Roman"/>
          <w:sz w:val="18"/>
          <w:szCs w:val="18"/>
          <w:color w:val="auto"/>
        </w:rPr>
        <w:t>The amortized cost basis, aggregate fair value and maturities of the marketable securities the Company held as of March 31, 2022 and December 30, 2021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1140" w:right="340" w:hanging="322"/>
        <w:spacing w:after="0" w:line="260" w:lineRule="auto"/>
        <w:tabs>
          <w:tab w:leader="none" w:pos="1134" w:val="left"/>
        </w:tabs>
        <w:numPr>
          <w:ilvl w:val="1"/>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Maturities</w:t>
      </w:r>
      <w:r>
        <w:rPr>
          <w:rFonts w:ascii="Times New Roman" w:cs="Times New Roman" w:eastAsia="Times New Roman" w:hAnsi="Times New Roman"/>
          <w:sz w:val="18"/>
          <w:szCs w:val="18"/>
          <w:color w:val="auto"/>
        </w:rPr>
        <w:t>—Securities available for sale include obligations with various contractual maturity dates some of which are greater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Company considers the securities to be liquid and convertible to cash within 30 days.</w:t>
      </w:r>
    </w:p>
    <w:p>
      <w:pPr>
        <w:spacing w:after="0" w:line="12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jc w:val="both"/>
        <w:ind w:right="80" w:firstLine="526"/>
        <w:spacing w:after="0" w:line="266" w:lineRule="auto"/>
        <w:rPr>
          <w:sz w:val="20"/>
          <w:szCs w:val="20"/>
          <w:color w:val="auto"/>
        </w:rPr>
      </w:pPr>
      <w:r>
        <w:rPr>
          <w:rFonts w:ascii="Times New Roman" w:cs="Times New Roman" w:eastAsia="Times New Roman" w:hAnsi="Times New Roman"/>
          <w:sz w:val="18"/>
          <w:szCs w:val="18"/>
          <w:color w:val="auto"/>
        </w:rPr>
        <w:t>On May 9, 2022, the Company declared a cash dividend of $0.03 per share (approximately $2.4 million) on each share of the Company’s common stock (not including outstanding restricted stock which will accrue dividends until the shares vest) to stockholders of record on May 23, 2022 to be paid on June 7, 2022.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73"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30, 2021.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30, 2021. In the following discussion and analysis, the term net income refers to net income attributable to NCM,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60" w:firstLine="526"/>
        <w:spacing w:after="0" w:line="258" w:lineRule="auto"/>
        <w:rPr>
          <w:sz w:val="20"/>
          <w:szCs w:val="20"/>
          <w:color w:val="auto"/>
        </w:rPr>
      </w:pPr>
      <w:r>
        <w:rPr>
          <w:rFonts w:ascii="Times New Roman" w:cs="Times New Roman" w:eastAsia="Times New Roman" w:hAnsi="Times New Roman"/>
          <w:sz w:val="18"/>
          <w:szCs w:val="18"/>
          <w:color w:val="auto"/>
        </w:rPr>
        <w:t xml:space="preserve">We are America’s Movie Network. As the largest cinema advertising network in the U.S., we unite brands with young, diverse audiences through the power of movies and popular culture. We currently derive revenue principally from the sale of advertising to national, regional and local businesses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our cinema advertising and entertainment pre-show seen on movie screens across the U.S.</w:t>
      </w:r>
    </w:p>
    <w:p>
      <w:pPr>
        <w:spacing w:after="0" w:line="59" w:lineRule="exact"/>
        <w:rPr>
          <w:sz w:val="20"/>
          <w:szCs w:val="20"/>
          <w:color w:val="auto"/>
        </w:rPr>
      </w:pPr>
    </w:p>
    <w:p>
      <w:pPr>
        <w:ind w:firstLine="526"/>
        <w:spacing w:after="0" w:line="247" w:lineRule="auto"/>
        <w:rPr>
          <w:sz w:val="20"/>
          <w:szCs w:val="20"/>
          <w:color w:val="auto"/>
        </w:rPr>
      </w:pPr>
      <w:r>
        <w:rPr>
          <w:rFonts w:ascii="Times New Roman" w:cs="Times New Roman" w:eastAsia="Times New Roman" w:hAnsi="Times New Roman"/>
          <w:sz w:val="18"/>
          <w:szCs w:val="18"/>
          <w:color w:val="auto"/>
        </w:rPr>
        <w:t xml:space="preserve">We present two different formats of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depending on the theater circuit in which it runs. In Regal and Cinemark and a portion of our network affiliates’ theaters,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now includes Post-Showtime advertising inventory after the advertised showtime consisting of (1) the lights down segment that runs for five minutes after the advertised showtime with trailer lighting and (2) the 30- or 60-second Platinum Spot. As of March 31, 2022, theaters presenting the new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format with Post-Showtime Inventory made up approximately 57% of our network. All other NCM network theater circuits, which make up the remaining 43% of our network, present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ends approximately at the advertised movie showtime when the movie trailers begin. The movie trailers that run before the feature film are not part of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w:t>
      </w:r>
    </w:p>
    <w:p>
      <w:pPr>
        <w:spacing w:after="0" w:line="74" w:lineRule="exact"/>
        <w:rPr>
          <w:sz w:val="20"/>
          <w:szCs w:val="20"/>
          <w:color w:val="auto"/>
        </w:rPr>
      </w:pPr>
    </w:p>
    <w:p>
      <w:pPr>
        <w:ind w:right="200" w:firstLine="526"/>
        <w:spacing w:after="0" w:line="276" w:lineRule="auto"/>
        <w:rPr>
          <w:sz w:val="20"/>
          <w:szCs w:val="20"/>
          <w:color w:val="auto"/>
        </w:rPr>
      </w:pPr>
      <w:r>
        <w:rPr>
          <w:rFonts w:ascii="Times New Roman" w:cs="Times New Roman" w:eastAsia="Times New Roman" w:hAnsi="Times New Roman"/>
          <w:sz w:val="17"/>
          <w:szCs w:val="17"/>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across our suite</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 including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Shuffle, </w:t>
      </w:r>
      <w:r>
        <w:rPr>
          <w:rFonts w:ascii="Times New Roman" w:cs="Times New Roman" w:eastAsia="Times New Roman" w:hAnsi="Times New Roman"/>
          <w:sz w:val="18"/>
          <w:szCs w:val="18"/>
          <w:i w:val="1"/>
          <w:iCs w:val="1"/>
          <w:color w:val="auto"/>
        </w:rPr>
        <w:t>Name That Movie®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ARcade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a variety of complementary out of home venues, including restaurants and convenience stores, in order to reach entertainment audiences beyond the theater. As of March 31, 2022, over 6.9 million moviegoers have downloaded our mobile apps. These downloads and the acquisition of second- and third-party data have resulted in data sets of approximately 297 million as of March 31, 2022. We have long-term ESAs (approximately 17.5 weighted average years remaining) with the founding members and multi-year agreements with our network affiliates, which expire at various dates between July 2022 and December 2037. The weighted average remaining term of the ESAs and the network affiliate agreements is 15.2 years as of March 31, 2022.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LEN programming are distributed predominantly via satellite through our proprietary digital content network (“DCN”).</w:t>
      </w:r>
    </w:p>
    <w:p>
      <w:pPr>
        <w:spacing w:after="0" w:line="86"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theater per week, and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ind w:right="460" w:firstLine="526"/>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annual report on Form 10-K filed with the SEC on March 3, 2022 for our fiscal year ended December 30,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and Outlook</w:t>
      </w:r>
      <w:r>
        <w:rPr>
          <w:rFonts w:ascii="Times New Roman" w:cs="Times New Roman" w:eastAsia="Times New Roman" w:hAnsi="Times New Roman"/>
          <w:sz w:val="18"/>
          <w:szCs w:val="18"/>
          <w:color w:val="auto"/>
        </w:rPr>
        <w:t>—The COVID-19 Pandemic has had and continues to have a significant impact on the world and our business.</w:t>
      </w:r>
    </w:p>
    <w:p>
      <w:pPr>
        <w:spacing w:after="0" w:line="121" w:lineRule="exact"/>
        <w:rPr>
          <w:sz w:val="20"/>
          <w:szCs w:val="20"/>
          <w:color w:val="auto"/>
        </w:rPr>
      </w:pPr>
    </w:p>
    <w:p>
      <w:pPr>
        <w:ind w:firstLine="526"/>
        <w:spacing w:after="0" w:line="255" w:lineRule="auto"/>
        <w:rPr>
          <w:sz w:val="20"/>
          <w:szCs w:val="20"/>
          <w:color w:val="auto"/>
        </w:rPr>
      </w:pPr>
      <w:r>
        <w:rPr>
          <w:rFonts w:ascii="Times New Roman" w:cs="Times New Roman" w:eastAsia="Times New Roman" w:hAnsi="Times New Roman"/>
          <w:sz w:val="18"/>
          <w:szCs w:val="18"/>
          <w:color w:val="auto"/>
        </w:rPr>
        <w:t>All of the theaters within the Company’s network and the release of major motion pictures have resumed since the third quarter of 2021 resulting in the highest attendance numbers within our network since the start of the COVID-19 Pandemic. Despite the increase in network attendance, in-theater advertising revenue for the year ended December 30, 2021 and the quarter ended March 31, 2022 remained below historical levels due to the lag between the recovery of attendees and advertisers. The movie slate for 2022 remains packed due to the addition of the major motion pictures originally scheduled for 2020 and 2021 and major motion pictures studios committing to theatrical-only releases. However, variants of the COVID-19 virus continue to circulate throughout the United States and may lead to increased health and safety regulations and restrictions (such as restrictions on travel, public gatherings and other events, mask requirements and social distancing guidelines) or impact consumer behavior.</w:t>
      </w:r>
    </w:p>
    <w:p>
      <w:pPr>
        <w:spacing w:after="0" w:line="81"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To ensure sufficient liquidity to endure the impacts of the COVID-19 Pandemic, we continued to manage our liquidity position through various cost control methods discussed further within the “Financial Condition and Liquidity” section below. Since the beginning of the COVID-19 Pandemic, the Company has significantly reduced payroll related costs through a combination of temporary measures as well as a headcount reduction of approximately 45% as of March 31, 2022,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were open, which were reduced for months where screens were in use for only part of the month.</w:t>
      </w:r>
    </w:p>
    <w:p>
      <w:pPr>
        <w:spacing w:after="0" w:line="84" w:lineRule="exact"/>
        <w:rPr>
          <w:sz w:val="20"/>
          <w:szCs w:val="20"/>
          <w:color w:val="auto"/>
        </w:rPr>
      </w:pPr>
    </w:p>
    <w:p>
      <w:pPr>
        <w:ind w:right="60" w:firstLine="526"/>
        <w:spacing w:after="0" w:line="255" w:lineRule="auto"/>
        <w:rPr>
          <w:sz w:val="20"/>
          <w:szCs w:val="20"/>
          <w:color w:val="auto"/>
        </w:rPr>
      </w:pPr>
      <w:r>
        <w:rPr>
          <w:rFonts w:ascii="Times New Roman" w:cs="Times New Roman" w:eastAsia="Times New Roman" w:hAnsi="Times New Roman"/>
          <w:sz w:val="18"/>
          <w:szCs w:val="18"/>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8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On January 5, 2022, NCM LLC also entered into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SOFR plus 8.00%, with a 1.00%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75" w:lineRule="exact"/>
        <w:rPr>
          <w:sz w:val="20"/>
          <w:szCs w:val="20"/>
          <w:color w:val="auto"/>
        </w:rPr>
      </w:pPr>
    </w:p>
    <w:p>
      <w:pPr>
        <w:ind w:right="240" w:firstLine="526"/>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240" w:type="dxa"/>
            <w:vAlign w:val="bottom"/>
          </w:tcPr>
          <w:p>
            <w:pPr>
              <w:spacing w:after="0"/>
              <w:rPr>
                <w:sz w:val="11"/>
                <w:szCs w:val="11"/>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Q1 2021 to Q1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564.8 %</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198.1 %</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Network, administrative and unallocated costs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NCM, Inc. basic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NCM, Inc. diluted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281.1 %</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1" w:lineRule="exact"/>
        <w:rPr>
          <w:sz w:val="20"/>
          <w:szCs w:val="20"/>
          <w:color w:val="auto"/>
        </w:rPr>
      </w:pPr>
    </w:p>
    <w:p>
      <w:pPr>
        <w:ind w:left="660" w:right="180" w:hanging="328"/>
        <w:spacing w:after="0" w:line="266" w:lineRule="auto"/>
        <w:tabs>
          <w:tab w:leader="none" w:pos="65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 Refer to Note 4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and costs related to the reorganization of the sales force.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impairment of long-lived assets, costs related to sales force reorganization,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the impairment of long-lived assets or costs related to sales force reorganization.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6" w:name="page27"/>
    <w:bookmarkEnd w:id="26"/>
    <w:p>
      <w:pPr>
        <w:ind w:left="54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280" w:type="dxa"/>
            <w:vAlign w:val="bottom"/>
          </w:tcPr>
          <w:p>
            <w:pPr>
              <w:spacing w:after="0"/>
              <w:rPr>
                <w:sz w:val="16"/>
                <w:szCs w:val="16"/>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Sales force reorganization costs </w:t>
            </w:r>
            <w:r>
              <w:rPr>
                <w:rFonts w:ascii="Times New Roman" w:cs="Times New Roman" w:eastAsia="Times New Roman" w:hAnsi="Times New Roman"/>
                <w:sz w:val="18"/>
                <w:szCs w:val="18"/>
                <w:i w:val="1"/>
                <w:iCs w:val="1"/>
                <w:color w:val="auto"/>
              </w:rPr>
              <w:t>(3)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71" w:lineRule="exact"/>
        <w:rPr>
          <w:sz w:val="20"/>
          <w:szCs w:val="20"/>
          <w:color w:val="auto"/>
        </w:rPr>
      </w:pPr>
    </w:p>
    <w:p>
      <w:pPr>
        <w:ind w:left="660" w:right="520" w:hanging="328"/>
        <w:spacing w:after="0" w:line="261"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unaudited Condensed Consolidated Financial Statements.</w:t>
      </w: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 of long-lived assets primarily relates to the write down of certain internally developed software no longer in use.</w:t>
      </w:r>
    </w:p>
    <w:p>
      <w:pPr>
        <w:spacing w:after="0" w:line="9" w:lineRule="exact"/>
        <w:rPr>
          <w:rFonts w:ascii="Times New Roman" w:cs="Times New Roman" w:eastAsia="Times New Roman" w:hAnsi="Times New Roman"/>
          <w:sz w:val="18"/>
          <w:szCs w:val="18"/>
          <w:i w:val="1"/>
          <w:iCs w:val="1"/>
          <w:color w:val="auto"/>
        </w:rPr>
      </w:pPr>
    </w:p>
    <w:p>
      <w:pPr>
        <w:ind w:left="660" w:right="260" w:hanging="328"/>
        <w:spacing w:after="0" w:line="260"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force reorganization costs represents redundancy costs associated with changes to the Company’s sales force implemented during the first quarter of 2022.</w:t>
      </w:r>
    </w:p>
    <w:p>
      <w:pPr>
        <w:spacing w:after="0" w:line="204" w:lineRule="exact"/>
        <w:rPr>
          <w:sz w:val="20"/>
          <w:szCs w:val="20"/>
          <w:color w:val="auto"/>
        </w:rPr>
      </w:pPr>
    </w:p>
    <w:p>
      <w:pPr>
        <w:ind w:right="6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founding members and network affiliates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50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588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r>
      <w:tr>
        <w:trPr>
          <w:trHeight w:val="230"/>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Closures, net of openings </w:t>
            </w:r>
            <w:r>
              <w:rPr>
                <w:rFonts w:ascii="Times New Roman" w:cs="Times New Roman" w:eastAsia="Times New Roman" w:hAnsi="Times New Roman"/>
                <w:sz w:val="18"/>
                <w:szCs w:val="18"/>
                <w:i w:val="1"/>
                <w:iCs w:val="1"/>
                <w:color w:val="auto"/>
              </w:rPr>
              <w:t>(1)</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closure of 135 screens, net of new screens added, across our founding members and network affiliates.</w:t>
      </w:r>
    </w:p>
    <w:p>
      <w:pPr>
        <w:spacing w:after="0" w:line="99"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March 31, 2022 (first quarter of 2022) and April 1, 2021 (first quarter of 2021) were derived from the unaudited Condensed Consolidated Financial Statements and accounting records of NCM, Inc. and should be read in conjunction with the accompanying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of 2022 and First Quarter of 2021</w:t>
      </w:r>
    </w:p>
    <w:p>
      <w:pPr>
        <w:spacing w:after="0" w:line="173" w:lineRule="exact"/>
        <w:rPr>
          <w:sz w:val="20"/>
          <w:szCs w:val="20"/>
          <w:color w:val="auto"/>
        </w:rPr>
      </w:pPr>
    </w:p>
    <w:p>
      <w:pPr>
        <w:ind w:right="66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564.8%, from $5.4 million for the first quarter of 2021 to $35.9 million for the first quarter of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a summary of revenue by category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258.8 %</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35.9</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564.8 %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three months ended March 31, 2022 and April 1, 2021:</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0.080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0.123</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0.472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82" w:lineRule="auto"/>
        <w:tabs>
          <w:tab w:leader="none" w:pos="4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08" w:lineRule="exact"/>
        <w:rPr>
          <w:sz w:val="20"/>
          <w:szCs w:val="20"/>
          <w:color w:val="auto"/>
        </w:rPr>
      </w:pPr>
    </w:p>
    <w:p>
      <w:pPr>
        <w:ind w:left="580"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(excluding beverage revenue from founding members) increased to $23.1 million, or 721.9%, from $3.2 million for the first quarter of 2021. The increase was due to a significant increase in impressions sold driven by an increase in network attendance related to our network being fully open in the first quarter of 2022, whereas approximately 40% of our network remained closed in response to the COVID-19 Pandemic during the first quarter of 2021.</w:t>
      </w:r>
    </w:p>
    <w:p>
      <w:pPr>
        <w:spacing w:after="0" w:line="126" w:lineRule="exact"/>
        <w:rPr>
          <w:sz w:val="20"/>
          <w:szCs w:val="20"/>
          <w:color w:val="auto"/>
        </w:rPr>
      </w:pPr>
    </w:p>
    <w:p>
      <w:pPr>
        <w:ind w:left="58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to $4.4 million, or 258.8%, from $1.7 million for the first quarter of 2021. The increase was due primarily to our network being fully open in the first quarter of 2022, whereas approximately 40% of our network remained closed in response to the COVID-19 Pandemic during the first quarter of 2021.</w:t>
      </w:r>
    </w:p>
    <w:p>
      <w:pPr>
        <w:spacing w:after="0" w:line="122" w:lineRule="exact"/>
        <w:rPr>
          <w:sz w:val="20"/>
          <w:szCs w:val="20"/>
          <w:color w:val="auto"/>
        </w:rPr>
      </w:pPr>
    </w:p>
    <w:p>
      <w:pPr>
        <w:ind w:left="58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National advertising revenue from the founding members’ beverage concessionaire agreement increased $3.0 million, or 600%, from $0.5 million for the first quarter of 2021. The increase was due to a 496.6% increase in founding member attendance for the first quarter of 2022, compared to the first quarter of 2021 as approximately 40% of our network remained closed in response to the COVID-19 Pandemic during the first quarter of 2021 and by an increase in beverage revenue CPMs in the first quarter of 2022, compared to the first quarter of 2021. The 2022 beverage revenue CPM is based on a fixed annual increase for Cinemark and Regal following the 2019 ESA Amendments and the increase in the CPM during segment one from 2021 to 2022 for AMC.</w:t>
      </w:r>
    </w:p>
    <w:p>
      <w:pPr>
        <w:spacing w:after="0" w:line="131" w:lineRule="exact"/>
        <w:rPr>
          <w:sz w:val="20"/>
          <w:szCs w:val="20"/>
          <w:color w:val="auto"/>
        </w:rPr>
      </w:pPr>
    </w:p>
    <w:p>
      <w:pPr>
        <w:ind w:right="20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$24.7 million, or 73.3%, from $33.7 million for the first quarter of 2021 to $58.4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quarter of 2022. The following table shows the changes in operating expense for the first quarter of 2022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28" w:name="page29"/>
    <w:bookmarkEnd w:id="28"/>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Advertising operating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Network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Theater access fees and revenue share—founding members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23" w:lineRule="exact"/>
        <w:rPr>
          <w:sz w:val="20"/>
          <w:szCs w:val="20"/>
          <w:color w:val="auto"/>
        </w:rPr>
      </w:pPr>
    </w:p>
    <w:p>
      <w:pPr>
        <w:ind w:left="140" w:right="1840" w:hanging="134"/>
        <w:spacing w:after="0" w:line="234" w:lineRule="auto"/>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100" w:type="dxa"/>
            <w:vAlign w:val="bottom"/>
          </w:tcPr>
          <w:p>
            <w:pPr>
              <w:spacing w:after="0"/>
              <w:rPr>
                <w:sz w:val="11"/>
                <w:szCs w:val="11"/>
                <w:color w:val="auto"/>
              </w:rPr>
            </w:pPr>
          </w:p>
        </w:tc>
        <w:tc>
          <w:tcPr>
            <w:tcW w:w="1020" w:type="dxa"/>
            <w:vAlign w:val="bottom"/>
          </w:tcPr>
          <w:p>
            <w:pPr>
              <w:jc w:val="center"/>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Q1 2021 to Q1</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418"/>
        </w:trPr>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91"/>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-1525270</wp:posOffset>
            </wp:positionV>
            <wp:extent cx="66522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-1225550</wp:posOffset>
            </wp:positionV>
            <wp:extent cx="665226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-934085</wp:posOffset>
            </wp:positionV>
            <wp:extent cx="665226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-642620</wp:posOffset>
            </wp:positionV>
            <wp:extent cx="665226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-231140</wp:posOffset>
            </wp:positionV>
            <wp:extent cx="665226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22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160"/>
          </w:cols>
          <w:pgMar w:left="900" w:top="1087" w:right="339" w:bottom="1440" w:gutter="0" w:footer="0" w:header="0"/>
        </w:sectPr>
      </w:pPr>
    </w:p>
    <w:p>
      <w:pPr>
        <w:spacing w:after="0" w:line="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increased $3.2 million, or 213.3%, from $1.5 million for the first quarter of 2021 to $4.7 million for the first quarter of 2022. The increase was due primarily to a $3.1 million increase in advertising affiliate expense due an increase in revenue share payments driven by the increase in revenue for the first quarter of 2022, as compared to the first quarter of 2021.</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increased $0.2 million, or 11.1%, from $1.8 million for the first quarter of 2021 to $2.0 million for the first quarter of 2022. The increase was primarily related to a $0.2 million increase in personnel related costs due to the reinstatement of full salaries to all employees within the first quarter of 2022, compared to the first quarter of 2021 when temporary salary and wage reductions were in place.</w:t>
      </w:r>
    </w:p>
    <w:p>
      <w:pPr>
        <w:spacing w:after="0" w:line="12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Theater access fees and revenue share—founding members.</w:t>
      </w:r>
      <w:r>
        <w:rPr>
          <w:rFonts w:ascii="Times New Roman" w:cs="Times New Roman" w:eastAsia="Times New Roman" w:hAnsi="Times New Roman"/>
          <w:sz w:val="18"/>
          <w:szCs w:val="18"/>
          <w:color w:val="auto"/>
        </w:rPr>
        <w:t xml:space="preserve"> Theater access fees and revenue share increased from $3.1 million for the first quarter of 2021 to $17.9 million in the first quarter of 2022. This increase was primarily due to $8.1 million caused by the substantial increase in average active screens for the first quarter of 2022, as compared to the first quarter of 2021, and $6.4 million of the increase was due to a 496.6% increase in founding member attendance.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$2.5 million, or 32.5%, from $7.7 million for the first quarter of 2021 to $10.2 million for the first quarter of 2022. This increase was primarily due to a $1.3 million expense increase related to increasing market activity, a $0.5 million increase in personnel related expenses due to the reinstatement of full salaries to employees in the first quarter of 2022, compared to the first quarter of 2021 when temporary salary and wage reductions were in place, a $0.4 million increase in redundancy costs related to the sales force reorganization and a $0.5 million increase in bad debt expense driven by the increase in revenue in the first quarter of 2022, compared to the first quarter of 2021. These increases were partially offset by a $0.5 million decrease in non-cash barter expense for the first quarter of 2022, compared to the first quarter of 2021.</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$0.5 million, or 4.9%, from $10.2 million for the first quarter of 2021 to $9.7 million for the first quarter of 2022. This decrease was primarily due to a $1.3 million decrease in personnel related expenses driven by a $1.1 million decrease in non-cash share-based compensation expense related to a modification of share-based compensation awards occurring in the first quarter of 2021, with little comparative activity occurring in the first quarter of 2022, partially offset by a $0.3 million increase in legal and professional fees as well as a $0.3 million increase in cloud computing expense incurred following the implementation of our new cinema advertising management system in the first quarter of 2021.</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increased $5.8 million, or 100%, from $0.0 million for the first quarter of 2021 to $5.8 million for the first quarter of 2022. This increase in impairment expense was primarily related to the write-off of certain long-lived assets during the first quarter of 2022.</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$1.3 million, or 39.4%, from $3.3 million for the first quarter of 2021 to $2.0 million in the first quarter of 2022, primarily due to the write-off of internally developed software in the first quarter of 2022.</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Amortization of intangibles recorded for network theater screen leases.</w:t>
      </w:r>
      <w:r>
        <w:rPr>
          <w:rFonts w:ascii="Times New Roman" w:cs="Times New Roman" w:eastAsia="Times New Roman" w:hAnsi="Times New Roman"/>
          <w:sz w:val="18"/>
          <w:szCs w:val="18"/>
          <w:color w:val="auto"/>
        </w:rPr>
        <w:t xml:space="preserve"> Amortization of intangibles recorded for network theater screen remained consistent at $6.1 million for the first quarter of 2022 and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87" w:right="339" w:bottom="1440" w:gutter="0" w:footer="0" w:header="0"/>
          <w:type w:val="continuous"/>
        </w:sectPr>
      </w:pPr>
    </w:p>
    <w:bookmarkStart w:id="29" w:name="page30"/>
    <w:bookmarkEnd w:id="29"/>
    <w:p>
      <w:pPr>
        <w:jc w:val="both"/>
        <w:ind w:right="26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increased $9.8 million, or 71.5%, from $13.7 million for the first quarter of 2021 to $23.5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first quarter of 2022. The following table shows the changes in non-operating expense for the first quarter of 2022 and the first quarter of 2021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100" w:type="dxa"/>
            <w:vAlign w:val="bottom"/>
          </w:tcPr>
          <w:p>
            <w:pPr>
              <w:spacing w:after="0"/>
              <w:rPr>
                <w:sz w:val="16"/>
                <w:szCs w:val="16"/>
                <w:color w:val="auto"/>
              </w:rPr>
            </w:pPr>
          </w:p>
        </w:tc>
        <w:tc>
          <w:tcPr>
            <w:tcW w:w="1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Q1 2021 to Q1 2022</w:t>
            </w:r>
          </w:p>
        </w:tc>
        <w:tc>
          <w:tcPr>
            <w:tcW w:w="0" w:type="dxa"/>
            <w:vAlign w:val="bottom"/>
          </w:tcPr>
          <w:p>
            <w:pPr>
              <w:spacing w:after="0"/>
              <w:rPr>
                <w:sz w:val="1"/>
                <w:szCs w:val="1"/>
                <w:color w:val="auto"/>
              </w:rPr>
            </w:pP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modification and retirement of debt, net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915"/>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the re-measurement of the payable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w w:val="97"/>
              </w:rPr>
              <w:t>7.9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5"/>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w w:val="97"/>
              </w:rPr>
              <w:t>9.8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300" w:firstLine="526"/>
        <w:spacing w:after="0" w:line="256" w:lineRule="auto"/>
        <w:rPr>
          <w:sz w:val="20"/>
          <w:szCs w:val="20"/>
          <w:color w:val="auto"/>
        </w:rPr>
      </w:pPr>
      <w:r>
        <w:rPr>
          <w:rFonts w:ascii="Times New Roman" w:cs="Times New Roman" w:eastAsia="Times New Roman" w:hAnsi="Times New Roman"/>
          <w:sz w:val="18"/>
          <w:szCs w:val="18"/>
          <w:color w:val="auto"/>
        </w:rPr>
        <w:t>The increase in non-operating expense was primarily due to a $7.9 million increase in the loss on the re-measurement of the payable to founding members under the TRA related to the increase in our payable to the founding members under the TRA resulting from an increase in projected taxable income before TRA deductions for the year ended December 29, 2022. The increase was also due to a $2.5 million increase in interest on borrowings primarily related to the issuance of the New Revolving Credit Agreement in January of 2022, partially offset by a $0.4 million decrease in the loss on modifications and retirements of debt, net resulting from the Credit Agreement Second Amendment in the first quarter of 2021, with little comparable activity in the first quarter of 2022.</w:t>
      </w:r>
    </w:p>
    <w:p>
      <w:pPr>
        <w:spacing w:after="0" w:line="77" w:lineRule="exact"/>
        <w:rPr>
          <w:sz w:val="20"/>
          <w:szCs w:val="20"/>
          <w:color w:val="auto"/>
        </w:rPr>
      </w:pPr>
    </w:p>
    <w:p>
      <w:pPr>
        <w:jc w:val="both"/>
        <w:ind w:right="24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increased $5.8 million from net loss of $19.4 million for the first quarter of 2021 to $25.2 million for the first quarter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net loss was due to a $9.8 million increase in non-operating expense and a $1.8 million decrease in net loss attributable to noncontrolling interests, partially offset by a $5.8 million decrease in operating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71" w:lineRule="exact"/>
        <w:rPr>
          <w:sz w:val="20"/>
          <w:szCs w:val="20"/>
          <w:color w:val="auto"/>
        </w:rPr>
      </w:pPr>
    </w:p>
    <w:p>
      <w:pPr>
        <w:ind w:firstLine="52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—As discussed within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section, due to the COVID-19 Pandemic certain theaters within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were temporarily closed during a portion of 2021. The Company's ability to advertise within theaters once opened in 2021 was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were not incurred when theaters were closed and attendance-based fees were reduced for the period of time that attendance was lower than historical levels.</w:t>
      </w:r>
    </w:p>
    <w:p>
      <w:pPr>
        <w:spacing w:after="0" w:line="86" w:lineRule="exact"/>
        <w:rPr>
          <w:sz w:val="20"/>
          <w:szCs w:val="20"/>
          <w:color w:val="auto"/>
        </w:rPr>
      </w:pPr>
    </w:p>
    <w:p>
      <w:pPr>
        <w:ind w:right="220" w:firstLine="526"/>
        <w:spacing w:after="0" w:line="266" w:lineRule="auto"/>
        <w:rPr>
          <w:sz w:val="20"/>
          <w:szCs w:val="20"/>
          <w:color w:val="auto"/>
        </w:rPr>
      </w:pPr>
      <w:r>
        <w:rPr>
          <w:rFonts w:ascii="Times New Roman" w:cs="Times New Roman" w:eastAsia="Times New Roman" w:hAnsi="Times New Roman"/>
          <w:sz w:val="18"/>
          <w:szCs w:val="18"/>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64"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pre-show program can be sold to the founding members to satisfy their on-screen advertising commitments under their beverage concessionaire agreements. For the first three months of 2022 and 2021,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w:t>
      </w:r>
    </w:p>
    <w:p>
      <w:pPr>
        <w:spacing w:after="0" w:line="131" w:lineRule="exact"/>
        <w:rPr>
          <w:sz w:val="20"/>
          <w:szCs w:val="20"/>
          <w:color w:val="auto"/>
        </w:rPr>
      </w:pPr>
    </w:p>
    <w:p>
      <w:pPr>
        <w:ind w:right="10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NCM LLC’s access to the founding members’ theater attendees for on-screen advertising and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0" w:name="page31"/>
    <w:bookmarkEnd w:id="30"/>
    <w:p>
      <w:pPr>
        <w:ind w:right="140"/>
        <w:spacing w:after="0" w:line="257" w:lineRule="auto"/>
        <w:rPr>
          <w:sz w:val="20"/>
          <w:szCs w:val="20"/>
          <w:color w:val="auto"/>
        </w:rPr>
      </w:pPr>
      <w:r>
        <w:rPr>
          <w:rFonts w:ascii="Times New Roman" w:cs="Times New Roman" w:eastAsia="Times New Roman" w:hAnsi="Times New Roman"/>
          <w:sz w:val="18"/>
          <w:szCs w:val="18"/>
          <w:color w:val="auto"/>
        </w:rPr>
        <w:t>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$0.0375 per patron beginning on November 1, 2020,</w:t>
      </w:r>
    </w:p>
    <w:p>
      <w:pPr>
        <w:spacing w:after="0" w:line="1" w:lineRule="exact"/>
        <w:rPr>
          <w:sz w:val="20"/>
          <w:szCs w:val="20"/>
          <w:color w:val="auto"/>
        </w:rPr>
      </w:pPr>
    </w:p>
    <w:p>
      <w:pPr>
        <w:ind w:right="480" w:firstLine="8"/>
        <w:spacing w:after="0" w:line="26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$0.05 per patron beginning on November 1, 2021, (iii) $0.052 per patron beginning on November 1, 2022 and (iv) increasing 8% every five years beginning November 1, 2027.</w:t>
      </w:r>
    </w:p>
    <w:p>
      <w:pPr>
        <w:spacing w:after="0" w:line="123" w:lineRule="exact"/>
        <w:rPr>
          <w:sz w:val="20"/>
          <w:szCs w:val="20"/>
          <w:color w:val="auto"/>
        </w:rPr>
      </w:pPr>
    </w:p>
    <w:p>
      <w:pPr>
        <w:ind w:right="6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Platinum Spot</w:t>
      </w:r>
      <w:r>
        <w:rPr>
          <w:rFonts w:ascii="Times New Roman" w:cs="Times New Roman" w:eastAsia="Times New Roman" w:hAnsi="Times New Roman"/>
          <w:sz w:val="18"/>
          <w:szCs w:val="18"/>
          <w:color w:val="auto"/>
        </w:rPr>
        <w:t>—In consideration for the utilization of the theaters post-showtime for Platinum Spots, Cinemark and Regal receive a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100" w:firstLine="526"/>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loans and the Notes due 2026 and Notes due 2028, income tax payments, TRA payments to the founding members and amount of quarterly dividends to NCM, Inc.’s common stockholders.</w:t>
      </w:r>
    </w:p>
    <w:p>
      <w:pPr>
        <w:spacing w:after="0" w:line="124"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242424"/>
        </w:rPr>
        <w:t>As discussed within the ‘</w:t>
      </w:r>
      <w:r>
        <w:rPr>
          <w:rFonts w:ascii="Times New Roman" w:cs="Times New Roman" w:eastAsia="Times New Roman" w:hAnsi="Times New Roman"/>
          <w:sz w:val="18"/>
          <w:szCs w:val="18"/>
          <w:i w:val="1"/>
          <w:iCs w:val="1"/>
          <w:color w:val="242424"/>
        </w:rPr>
        <w:t>Recent Developments</w:t>
      </w:r>
      <w:r>
        <w:rPr>
          <w:rFonts w:ascii="Times New Roman" w:cs="Times New Roman" w:eastAsia="Times New Roman" w:hAnsi="Times New Roman"/>
          <w:sz w:val="18"/>
          <w:szCs w:val="18"/>
          <w:color w:val="242424"/>
        </w:rPr>
        <w:t>’ section, due to the COVID-19 Pandemic, certain theaters within the Company’s network remained temporarily closed during a portion of 2021 and the Company's ability to advertise within the reopened theaters in 2021 was limited due to lower than historical levels of attendance due in part to reduced movie schedules and patron capacities at many network theaters and the timing and frequency of major motion picture releases as compared to prior years due to the COVID-19 Pandemic. The Company has had limited cash receipts as attendance levels normalize and advertising revenue increases. Further, there is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(i.e., theater access fees, Platinum Spot revenue share and network affiliate revenue share payments) were either not incurred or incurred at lower levels . As all of the theaters within our network were open for the first quarter of 2022, the screen-based portion of these expenses returned to historical levels and the attendance-based portion of these e</w:t>
      </w:r>
      <w:r>
        <w:rPr>
          <w:rFonts w:ascii="Times New Roman" w:cs="Times New Roman" w:eastAsia="Times New Roman" w:hAnsi="Times New Roman"/>
          <w:sz w:val="18"/>
          <w:szCs w:val="18"/>
          <w:color w:val="000000"/>
        </w:rPr>
        <w:t>xpenses is expected to continue to</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increase as attendance increases following the continued release of many major motion pictures. The Company also implemented the following cost-saving measures in order to preserve cash at the start of the COVID-19 Pandemic, and those measures remain in place as of the filing date:</w:t>
      </w:r>
    </w:p>
    <w:p>
      <w:pPr>
        <w:spacing w:after="0" w:line="140" w:lineRule="exact"/>
        <w:rPr>
          <w:sz w:val="20"/>
          <w:szCs w:val="20"/>
          <w:color w:val="auto"/>
        </w:rPr>
      </w:pPr>
    </w:p>
    <w:p>
      <w:pPr>
        <w:ind w:left="660" w:right="3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cash compensation of the Company's Board of Directors by 20% and offered the option for the Board to receive the cash retainers beginning with the first quarter of 2021 in equivalent value of the Company’s common stock in lieu of cash;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Curtailed certain non-essential operating expenditures, including marketing, research, employee travel and consulting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401K employee match program;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or deferred certain non-essential capital expenditures;</w:t>
      </w:r>
    </w:p>
    <w:p>
      <w:pPr>
        <w:spacing w:after="0" w:line="6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worked with our vendors, and other business partners to manage, defer, and/or abate certain costs during the disruptions caused by the COVID-19 Pandemic;</w:t>
      </w:r>
    </w:p>
    <w:p>
      <w:pPr>
        <w:spacing w:after="0" w:line="1"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our quarterly dividend beginning in the second quarter of 2020, which results in cash savings of $13.0 million in the first quarter of 2022 and cash savings of $84.3 million for NCM, Inc. since the beginning of the pandemic;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an active cash management process, which, among other things, requires CEO or CFO approval of all outgoing payments.</w:t>
      </w:r>
    </w:p>
    <w:p>
      <w:pPr>
        <w:spacing w:after="0" w:line="117"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In March 2020, we drew down an additional $110.0 million on our revolving credit facility, in March 2021, we received $43.0 million in proceeds under incremental term loans that mature on December 20, 2024, and in January 2022 we received $43.3 million in proceeds under an incremental revolving credit facility that matures on June 20, 2023. The $76.2 million of cash at NCM LLC as of March 31, 2022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80" w:lineRule="exact"/>
        <w:rPr>
          <w:sz w:val="20"/>
          <w:szCs w:val="20"/>
          <w:color w:val="auto"/>
        </w:rPr>
      </w:pPr>
    </w:p>
    <w:p>
      <w:pPr>
        <w:ind w:right="140" w:firstLine="526"/>
        <w:spacing w:after="0" w:line="253" w:lineRule="auto"/>
        <w:rPr>
          <w:sz w:val="20"/>
          <w:szCs w:val="20"/>
          <w:color w:val="auto"/>
        </w:rPr>
      </w:pPr>
      <w:r>
        <w:rPr>
          <w:rFonts w:ascii="Times New Roman" w:cs="Times New Roman" w:eastAsia="Times New Roman" w:hAnsi="Times New Roman"/>
          <w:sz w:val="18"/>
          <w:szCs w:val="18"/>
          <w:color w:val="auto"/>
        </w:rPr>
        <w:t>Also on January 5, 2022, NCM LLC also entered into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SOFR plus 8.00%, with a 1.00%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 In accordance with the Credit Agreement amendment entered into on April 30, 2020 (“the Credit Agreement First Amendment”) and the Credit Agreement Second Amendment, for the period beginning in the second quarter of 2020 through the date that NCM LLC delivers a compliance certificate for the third quarter of 2022, NCM LLC must maintain a minimum liquidity balance of $55.0 million consisting of a combination of unrestricted cash on hand and availability under NCM LLC's revolving credit facility. As of March 31, 2022, NCM LLC was in compliance with the requirements of the Credit Agreement, as amended, and the New Revolving Credit Agreement. Management believes the Company can meet its operating obligations, including all currently scheduled interest and debt service payments within one year following the date of issuance of the accompanying financial statements, based on its current financial position and liquidity sources, including current cash balances, and forecasted future cash flows.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1, 2021</w:t>
            </w:r>
          </w:p>
        </w:tc>
        <w:tc>
          <w:tcPr>
            <w:tcW w:w="120" w:type="dxa"/>
            <w:vAlign w:val="bottom"/>
          </w:tcPr>
          <w:p>
            <w:pPr>
              <w:spacing w:after="0"/>
              <w:rPr>
                <w:sz w:val="11"/>
                <w:szCs w:val="11"/>
                <w:color w:val="auto"/>
              </w:rPr>
            </w:pPr>
          </w:p>
        </w:tc>
        <w:tc>
          <w:tcPr>
            <w:tcW w:w="10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YE 2021 to Q1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Q1 2021 to Q1</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NCM LLC revolving credit facility availability </w:t>
            </w:r>
            <w:r>
              <w:rPr>
                <w:rFonts w:ascii="Times New Roman" w:cs="Times New Roman" w:eastAsia="Times New Roman" w:hAnsi="Times New Roman"/>
                <w:sz w:val="18"/>
                <w:szCs w:val="18"/>
                <w:i w:val="1"/>
                <w:iCs w:val="1"/>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liquidity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ind w:left="340" w:right="220" w:hanging="332"/>
        <w:spacing w:after="0" w:line="257" w:lineRule="auto"/>
        <w:tabs>
          <w:tab w:leader="none" w:pos="33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March 31, 2022, December 30, 2021 and April 1, 2021, was $76.2 million, $58.6 million and $139.4 million, respectively, of cash held by NCM LLC that is not available to satisfy dividends declared by NCM, Inc., income tax, tax receivable payments to NCM LLC’s founding members and other obligations.</w:t>
      </w:r>
    </w:p>
    <w:p>
      <w:pPr>
        <w:spacing w:after="0" w:line="1" w:lineRule="exact"/>
        <w:rPr>
          <w:rFonts w:ascii="Times New Roman" w:cs="Times New Roman" w:eastAsia="Times New Roman" w:hAnsi="Times New Roman"/>
          <w:sz w:val="18"/>
          <w:szCs w:val="18"/>
          <w:i w:val="1"/>
          <w:iCs w:val="1"/>
          <w:color w:val="auto"/>
        </w:rPr>
      </w:pPr>
    </w:p>
    <w:p>
      <w:pPr>
        <w:ind w:left="340" w:right="40" w:hanging="332"/>
        <w:spacing w:after="0" w:line="252" w:lineRule="auto"/>
        <w:tabs>
          <w:tab w:leader="none" w:pos="33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pursuant to the Credit Agreement was $175.0 million as of March 31, 2022, December 30, 2021 and April 1, 2021. As of March 31, 2022, December 30, 2021 and April 1, 2021, the amount available under the NCM LLC revolving credit facility pursuant to the Credit Agreement in the table above was net of the amount outstanding under the revolving credit facility of $167.0 million, $167.0 million and $167.0 million, respectively, and net letters of credit of $1.2 million, $1.2 million and $2.4 million, respectively.</w:t>
      </w:r>
    </w:p>
    <w:p>
      <w:pPr>
        <w:spacing w:after="0" w:line="136"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As of March 31, 2022, the weighted average remaining maturity of our debt was 4.0 years. As of March 31, 2022, approximately 54% of our total borrowings bear interest at fixed rates. The remaining 46% of our borrowings bear interest at variable rates and our net income and earnings per share could fluctuate with market interest rate fluctuations that could increase or decrease the interest paid on our borrowings.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used and generated cash as follows (in millions):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tbl>
      <w:tblPr>
        <w:tblLayout w:type="fixed"/>
        <w:tblInd w:w="70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April 1, 2021</w:t>
            </w:r>
          </w:p>
        </w:tc>
      </w:tr>
      <w:tr>
        <w:trPr>
          <w:trHeight w:val="22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bl>
    <w:p>
      <w:pPr>
        <w:spacing w:after="0" w:line="221" w:lineRule="exact"/>
        <w:rPr>
          <w:sz w:val="20"/>
          <w:szCs w:val="20"/>
          <w:color w:val="auto"/>
        </w:rPr>
      </w:pPr>
    </w:p>
    <w:p>
      <w:pPr>
        <w:ind w:left="1060" w:right="120" w:hanging="404"/>
        <w:spacing w:after="0" w:line="257" w:lineRule="auto"/>
        <w:tabs>
          <w:tab w:leader="none" w:pos="10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$1.4 million decrease in cash used in operating activities for the first quarter of 2022, as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2021, was primarily due to a $7.9 million increase in the noncash loss on the remeasurement of the payable to founding members under the TRA and a $5.8 million increase in the impairment of long-lived assets related to the write down in the first quarter of 2022 of certain internally developed software no longer in use, partially offset by a $3.9 million increase in payments of accounts payable and accrued expenses due in part to increased market activity, a $4.0 million increase in consolidated net loss and a $5.0 million increase in deferred revenue related to higher revenue in the first quarter of 2022, as compared to the first quarter of 2021.</w:t>
      </w:r>
    </w:p>
    <w:p>
      <w:pPr>
        <w:spacing w:after="0" w:line="128" w:lineRule="exact"/>
        <w:rPr>
          <w:rFonts w:ascii="Times New Roman" w:cs="Times New Roman" w:eastAsia="Times New Roman" w:hAnsi="Times New Roman"/>
          <w:sz w:val="18"/>
          <w:szCs w:val="18"/>
          <w:b w:val="1"/>
          <w:bCs w:val="1"/>
          <w:i w:val="1"/>
          <w:iCs w:val="1"/>
          <w:color w:val="auto"/>
        </w:rPr>
      </w:pPr>
    </w:p>
    <w:p>
      <w:pPr>
        <w:ind w:left="1100" w:right="40" w:hanging="404"/>
        <w:spacing w:after="0" w:line="268" w:lineRule="auto"/>
        <w:tabs>
          <w:tab w:leader="none" w:pos="10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$1.3 million decrease in cash used in investing activities for the first quarter of 2022, as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2021, was due to a $1.3 million decrease in purchases of property and equipment in the first quarter of 2022, compared to the first quarter of 2021.</w:t>
      </w:r>
    </w:p>
    <w:p>
      <w:pPr>
        <w:spacing w:after="0" w:line="116" w:lineRule="exact"/>
        <w:rPr>
          <w:rFonts w:ascii="Times New Roman" w:cs="Times New Roman" w:eastAsia="Times New Roman" w:hAnsi="Times New Roman"/>
          <w:sz w:val="18"/>
          <w:szCs w:val="18"/>
          <w:color w:val="auto"/>
        </w:rPr>
      </w:pPr>
    </w:p>
    <w:p>
      <w:pPr>
        <w:ind w:left="1100" w:right="40" w:hanging="404"/>
        <w:spacing w:after="0" w:line="257" w:lineRule="auto"/>
        <w:tabs>
          <w:tab w:leader="none" w:pos="10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$0.5 million decrease in cash provided by financing activities for the first quarter of 2022,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of 2021 was primarily due to the $50.0 million issuance of the second tranche of term loans that occurred in the first quarter of 2021 and $1.6 increase in debt amortization costs in the first quarter of 2022, partially offset by the $50.0 million increase from the issuance of the New Revolving Credit Facility in the first quarter of 2022, as discussed above, and a $0.9 million decrease in the repurchase of restricted stock tax withholding related to the increase in tax liability settlement through selling of shares, rather than withholding shares in the first quarter of 2022, compared to the first quarter of 2021.</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75"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March 31, 2022 were $115.1 million (including $76.2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were closed. On January 5, 2022, the company entered in the New Revolving Credit Agreement and drew down upon the new revolving credit facility of $50.0 million. The $76.2 million of cash at NCM LLC will be used to fund operations during the period of expected reduced cash flows. Cash at NCM, Inc. is used to fund income taxes, payments associated with the TRA with the founding members and for future payment of dividends to NCM, Inc. stockholders.</w:t>
      </w:r>
    </w:p>
    <w:p>
      <w:pPr>
        <w:spacing w:after="0" w:line="84" w:lineRule="exact"/>
        <w:rPr>
          <w:sz w:val="20"/>
          <w:szCs w:val="20"/>
          <w:color w:val="auto"/>
        </w:rPr>
      </w:pPr>
    </w:p>
    <w:p>
      <w:pPr>
        <w:ind w:right="40" w:firstLine="526"/>
        <w:spacing w:after="0" w:line="253" w:lineRule="auto"/>
        <w:rPr>
          <w:sz w:val="20"/>
          <w:szCs w:val="20"/>
          <w:color w:val="auto"/>
        </w:rPr>
      </w:pPr>
      <w:r>
        <w:rPr>
          <w:rFonts w:ascii="Times New Roman" w:cs="Times New Roman" w:eastAsia="Times New Roman" w:hAnsi="Times New Roman"/>
          <w:sz w:val="18"/>
          <w:szCs w:val="18"/>
          <w:color w:val="auto"/>
        </w:rPr>
        <w:t>Cash flows generated by NCM LLC’s distributions to NCM, Inc. and the founding members have been affected by the impact of the COVID-19 Pandemic on our operations and may be deferred through the quarter ending December 28, 2023 or longer due to the limitations instituted by the Credit Agreement First Amendment, Credit Agreement Second Amendment and Credit Agreement Third Amendment. NCM LLC is required pursuant to the terms of the NCM LLC operating agreement to distribute its available cash, as defined in the operating agreement, unless prohibited by NCM LLC's Credit Agreement, quarterly to its members (Regal, Cinemark, AMC and NCM, Inc.). The available cash distribution to NCM LLC’s members for the three months ended March 31, 2022 was calculated as approximately negative $27.2 million, of which NCM, Inc.'s share is approximately negative $12.9 million. Further there was $93.7 million and $85.2 million of negative available cash generated during the years ended December, 30, 2021 and December 31, 2020, respectively. Pursuant to the NCM LLC operating agreement and the Credit Agreement amendments, there will be no available cash distributions made for the first quarter of 2022. Negative available cash distributions for the years of 2021 and 2020 are expected to be netted in accordance with the NCM LLC operating agreement against future positive available cash distributions after the extended covenant waiver holiday, contingent upon the Company's compliance with the covenants outlined within the Credit Agreement Third Amendment defined within Note 6—</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in accordance with the NCM LLC operating agreement.</w:t>
      </w:r>
    </w:p>
    <w:p>
      <w:pPr>
        <w:spacing w:after="0" w:line="82"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Credit Agreement) to fund payments associated with the TRA with the founding members and current and future dividends as declared by the Board of Directors, including a dividend declared on May 9, 2022 of $0.03 per share (approximately $2.4 million) on each share of the Company’s common stock (not including outstanding restricted stock) to stockholders of record on May 23, 2022 to be paid on June 7, 2022. The Company does not expect to make a TRA payment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3" w:name="page34"/>
    <w:bookmarkEnd w:id="33"/>
    <w:p>
      <w:pPr>
        <w:spacing w:after="0" w:line="272" w:lineRule="auto"/>
        <w:rPr>
          <w:sz w:val="20"/>
          <w:szCs w:val="20"/>
          <w:color w:val="auto"/>
        </w:rPr>
      </w:pPr>
      <w:r>
        <w:rPr>
          <w:rFonts w:ascii="Times New Roman" w:cs="Times New Roman" w:eastAsia="Times New Roman" w:hAnsi="Times New Roman"/>
          <w:sz w:val="17"/>
          <w:szCs w:val="17"/>
          <w:color w:val="auto"/>
        </w:rPr>
        <w:t>2022 for the 2021 tax year. The Company will also consider opportunistically using cash received for partial repayments of NCM LLC's outstanding debt balance. Distributions from NCM LLC and NCM, Inc. cash balances should be sufficient to fund payments associated with the TRA with the founding members, income taxes and its regular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140" w:firstLine="526"/>
        <w:spacing w:after="0" w:line="258"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30, 2021 and incorporated by reference herein. As of March 31, 2022, there were no significant changes in those critical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360" w:firstLine="526"/>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6" w:lineRule="exact"/>
        <w:rPr>
          <w:sz w:val="20"/>
          <w:szCs w:val="20"/>
          <w:color w:val="auto"/>
        </w:rPr>
      </w:pPr>
    </w:p>
    <w:p>
      <w:pPr>
        <w:ind w:right="12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80" w:firstLine="526"/>
        <w:spacing w:after="0" w:line="258"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The Notes due 2026 and the Notes due 2028 are at fixed rates, and therefore are not subject to market risk. As of March 31, 2022, the only interest rate risk that we are exposed to is related to our $225.0 million revolving credit facilities and our term loans. A 100-basis point fluctuation in market interest rates underlying our term loans and revolving credit facilities would have the effect of increasing or decreasing our cash interest expense by approximately $5.3 million for an annual period on the $217.0 million in revolving credit balances, $49.5 million term loan and $259.9 million incremental term loan outstanding as of March 31, 2022.</w:t>
      </w:r>
    </w:p>
    <w:p>
      <w:pPr>
        <w:spacing w:after="0" w:line="129" w:lineRule="exact"/>
        <w:rPr>
          <w:sz w:val="20"/>
          <w:szCs w:val="20"/>
          <w:color w:val="auto"/>
        </w:rPr>
      </w:pPr>
    </w:p>
    <w:p>
      <w:pPr>
        <w:ind w:right="120" w:firstLine="526"/>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government lowered the Federal Reserve interest rate leading to historically low interest rates as of March 31, 2022 that has had the effect of reducing the Company's interest rate risk. If interest rates increase, this will increase the Company’s interest rate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right="20" w:firstLine="526"/>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62" w:lineRule="exact"/>
        <w:rPr>
          <w:sz w:val="20"/>
          <w:szCs w:val="20"/>
          <w:color w:val="auto"/>
        </w:rPr>
      </w:pPr>
    </w:p>
    <w:p>
      <w:pPr>
        <w:jc w:val="both"/>
        <w:ind w:right="40" w:firstLine="526"/>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March 31, 2022, the end of the period covered by this Quarterly Report on Form 10-Q. Based on such evaluation, the Company’s management concluded that the Company’s disclosure controls and procedures as of March 31, 2022 were effective.</w:t>
      </w:r>
    </w:p>
    <w:p>
      <w:pPr>
        <w:spacing w:after="0" w:line="45" w:lineRule="exact"/>
        <w:rPr>
          <w:sz w:val="20"/>
          <w:szCs w:val="20"/>
          <w:color w:val="auto"/>
        </w:rPr>
      </w:pPr>
    </w:p>
    <w:p>
      <w:pPr>
        <w:ind w:right="360" w:firstLine="52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4" w:name="page35"/>
    <w:bookmarkEnd w:id="34"/>
    <w:p>
      <w:pPr>
        <w:ind w:right="220" w:firstLine="52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31, 2022 that have materially affected, or are reasonably likely to materially affect, our internal control over financial reporting.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580" w:firstLine="526"/>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right="240" w:firstLine="52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March 3, 2022 for the fiscal year ended December 30,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40" w:firstLine="526"/>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vMerge w:val="restart"/>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 may yet</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240" w:type="dxa"/>
            <w:vAlign w:val="bottom"/>
            <w:gridSpan w:val="4"/>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 Plans or</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194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 through January 27, 2022</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January 28, 2022 through February 24,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25, 2022 through March 31, 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18"/>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None.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None.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3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4"/>
                <w:szCs w:val="24"/>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300" w:type="dxa"/>
            <w:vAlign w:val="bottom"/>
          </w:tcPr>
          <w:p>
            <w:pPr>
              <w:spacing w:after="0"/>
              <w:rPr>
                <w:sz w:val="24"/>
                <w:szCs w:val="24"/>
                <w:color w:val="auto"/>
              </w:rPr>
            </w:pPr>
          </w:p>
        </w:tc>
        <w:tc>
          <w:tcPr>
            <w:tcW w:w="2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The Bylaws, as amended May 4, 2022.</w:t>
            </w:r>
          </w:p>
        </w:tc>
        <w:tc>
          <w:tcPr>
            <w:tcW w:w="5500" w:type="dxa"/>
            <w:vAlign w:val="bottom"/>
            <w:gridSpan w:val="10"/>
          </w:tcPr>
          <w:p>
            <w:pPr>
              <w:spacing w:after="0"/>
              <w:rPr>
                <w:sz w:val="24"/>
                <w:szCs w:val="24"/>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300" w:type="dxa"/>
            <w:vAlign w:val="bottom"/>
          </w:tcPr>
          <w:p>
            <w:pPr>
              <w:spacing w:after="0"/>
              <w:rPr>
                <w:sz w:val="18"/>
                <w:szCs w:val="18"/>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Second Amended and Restated Certificate of Incorporation of National CineMedia, Inc., as amended as of May 4,</w:t>
            </w:r>
          </w:p>
        </w:tc>
      </w:tr>
      <w:tr>
        <w:trPr>
          <w:trHeight w:val="155"/>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2022.</w:t>
            </w:r>
          </w:p>
        </w:tc>
        <w:tc>
          <w:tcPr>
            <w:tcW w:w="30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300" w:type="dxa"/>
            <w:vAlign w:val="bottom"/>
          </w:tcPr>
          <w:p>
            <w:pPr>
              <w:spacing w:after="0"/>
              <w:rPr>
                <w:sz w:val="19"/>
                <w:szCs w:val="19"/>
                <w:color w:val="auto"/>
              </w:rPr>
            </w:pPr>
          </w:p>
        </w:tc>
        <w:tc>
          <w:tcPr>
            <w:tcW w:w="8300" w:type="dxa"/>
            <w:vAlign w:val="bottom"/>
            <w:gridSpan w:val="13"/>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No. 3 to the Credit Agreement, dated as of January 5, 2022, by and among National CineMedia, LLC,</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each lender party thereto, and JPMorgan Chase Bank, N.A., as administrative agent.</w:t>
              </w:r>
            </w:hyperlink>
          </w:p>
        </w:tc>
        <w:tc>
          <w:tcPr>
            <w:tcW w:w="22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(2)</w:t>
            </w:r>
          </w:p>
        </w:tc>
        <w:tc>
          <w:tcPr>
            <w:tcW w:w="300" w:type="dxa"/>
            <w:vAlign w:val="bottom"/>
          </w:tcPr>
          <w:p>
            <w:pPr>
              <w:spacing w:after="0"/>
              <w:rPr>
                <w:sz w:val="19"/>
                <w:szCs w:val="19"/>
                <w:color w:val="auto"/>
              </w:rPr>
            </w:pPr>
          </w:p>
        </w:tc>
        <w:tc>
          <w:tcPr>
            <w:tcW w:w="8300" w:type="dxa"/>
            <w:vAlign w:val="bottom"/>
            <w:gridSpan w:val="1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Revolving Credit Agreement, dated as of January 5, 2022, by and among National CineMedia, LLC, each lender</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1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party thereto, and Wilmington Savings Fund Society, FSB, as administrative agent and collateral agent.</w:t>
              </w:r>
            </w:hyperlink>
          </w:p>
        </w:tc>
        <w:tc>
          <w:tcPr>
            <w:tcW w:w="200" w:type="dxa"/>
            <w:vAlign w:val="bottom"/>
            <w:gridSpan w:val="3"/>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40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Executive Officer.</w:t>
            </w:r>
          </w:p>
        </w:tc>
        <w:tc>
          <w:tcPr>
            <w:tcW w:w="3380" w:type="dxa"/>
            <w:vAlign w:val="bottom"/>
            <w:tcBorders>
              <w:top w:val="single" w:sz="8" w:color="0000FF"/>
            </w:tcBorders>
            <w:gridSpan w:val="4"/>
          </w:tcPr>
          <w:p>
            <w:pPr>
              <w:spacing w:after="0"/>
              <w:rPr>
                <w:sz w:val="19"/>
                <w:szCs w:val="19"/>
                <w:color w:val="auto"/>
              </w:rPr>
            </w:pPr>
          </w:p>
        </w:tc>
        <w:tc>
          <w:tcPr>
            <w:tcW w:w="880" w:type="dxa"/>
            <w:vAlign w:val="bottom"/>
            <w:gridSpan w:val="4"/>
          </w:tcPr>
          <w:p>
            <w:pPr>
              <w:spacing w:after="0"/>
              <w:rPr>
                <w:sz w:val="19"/>
                <w:szCs w:val="19"/>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5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w:t>
            </w:r>
          </w:p>
        </w:tc>
        <w:tc>
          <w:tcPr>
            <w:tcW w:w="2780" w:type="dxa"/>
            <w:vAlign w:val="bottom"/>
            <w:gridSpan w:val="6"/>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300" w:type="dxa"/>
            <w:vAlign w:val="bottom"/>
          </w:tcPr>
          <w:p>
            <w:pPr>
              <w:spacing w:after="0"/>
              <w:rPr>
                <w:sz w:val="18"/>
                <w:szCs w:val="18"/>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5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840" w:type="dxa"/>
            <w:vAlign w:val="bottom"/>
            <w:gridSpan w:val="7"/>
          </w:tcPr>
          <w:p>
            <w:pPr>
              <w:spacing w:after="0"/>
              <w:rPr>
                <w:sz w:val="21"/>
                <w:szCs w:val="2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00" w:hanging="374"/>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ind w:left="400" w:hanging="374"/>
        <w:spacing w:after="0" w:line="204" w:lineRule="auto"/>
        <w:tabs>
          <w:tab w:leader="none" w:pos="400" w:val="left"/>
        </w:tabs>
        <w:numPr>
          <w:ilvl w:val="0"/>
          <w:numId w:val="24"/>
        </w:numPr>
        <w:rPr>
          <w:rFonts w:ascii="Times New Roman" w:cs="Times New Roman" w:eastAsia="Times New Roman" w:hAnsi="Times New Roman"/>
          <w:sz w:val="34"/>
          <w:szCs w:val="34"/>
          <w:i w:val="1"/>
          <w:iCs w:val="1"/>
          <w:color w:val="auto"/>
          <w:vertAlign w:val="superscript"/>
        </w:rPr>
      </w:pPr>
      <w:r>
        <w:rPr>
          <w:rFonts w:ascii="Times New Roman" w:cs="Times New Roman" w:eastAsia="Times New Roman" w:hAnsi="Times New Roman"/>
          <w:sz w:val="17"/>
          <w:szCs w:val="17"/>
          <w:color w:val="auto"/>
        </w:rPr>
        <w:t>Incorporated by reference to Exhibit 10.1 from the Registrant’s Current Report on Form 8-K (File No. 001-33296) filed on January 6, 2022.</w:t>
      </w:r>
    </w:p>
    <w:p>
      <w:pPr>
        <w:spacing w:after="0" w:line="110" w:lineRule="exact"/>
        <w:rPr>
          <w:rFonts w:ascii="Times New Roman" w:cs="Times New Roman" w:eastAsia="Times New Roman" w:hAnsi="Times New Roman"/>
          <w:sz w:val="34"/>
          <w:szCs w:val="34"/>
          <w:i w:val="1"/>
          <w:iCs w:val="1"/>
          <w:color w:val="auto"/>
          <w:vertAlign w:val="superscript"/>
        </w:rPr>
      </w:pPr>
    </w:p>
    <w:p>
      <w:pPr>
        <w:ind w:left="400" w:hanging="374"/>
        <w:spacing w:after="0" w:line="186" w:lineRule="auto"/>
        <w:tabs>
          <w:tab w:leader="none" w:pos="400" w:val="left"/>
        </w:tabs>
        <w:numPr>
          <w:ilvl w:val="0"/>
          <w:numId w:val="2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4"/>
          <w:szCs w:val="14"/>
          <w:color w:val="auto"/>
        </w:rPr>
        <w:t>Incorporated by reference to Exhibit 10.2 from the Registrant’s Current Report on Form 8-K (File No. 001-33296) filed on January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927" w:right="10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May 9, 2022</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16"/>
        </w:trPr>
        <w:tc>
          <w:tcPr>
            <w:tcW w:w="56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9, 2022</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Ronnie Y. Ng</w:t>
            </w:r>
          </w:p>
        </w:tc>
      </w:tr>
      <w:tr>
        <w:trPr>
          <w:trHeight w:val="216"/>
        </w:trPr>
        <w:tc>
          <w:tcPr>
            <w:tcW w:w="58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amended May 4, 2022</w:t>
      </w:r>
    </w:p>
    <w:p>
      <w:pPr>
        <w:sectPr>
          <w:pgSz w:w="11900" w:h="16838" w:orient="portrait"/>
          <w:cols w:equalWidth="0" w:num="1">
            <w:col w:w="10120"/>
          </w:cols>
          <w:pgMar w:left="1440" w:top="131" w:right="339" w:bottom="1440" w:gutter="0" w:footer="0" w:header="0"/>
        </w:sectPr>
      </w:pPr>
    </w:p>
    <w:bookmarkStart w:id="38" w:name="page39"/>
    <w:bookmarkEnd w:id="38"/>
    <w:p>
      <w:pPr>
        <w:ind w:left="3380"/>
        <w:spacing w:after="0"/>
        <w:rPr>
          <w:sz w:val="20"/>
          <w:szCs w:val="20"/>
          <w:color w:val="auto"/>
        </w:rPr>
      </w:pPr>
      <w:r>
        <w:rPr>
          <w:rFonts w:ascii="Times New Roman" w:cs="Times New Roman" w:eastAsia="Times New Roman" w:hAnsi="Times New Roman"/>
          <w:sz w:val="20"/>
          <w:szCs w:val="20"/>
          <w:b w:val="1"/>
          <w:bCs w:val="1"/>
          <w:color w:val="auto"/>
        </w:rPr>
        <w:t>INDEX TO AMENDED AND RESTATED BYLAWS</w:t>
      </w:r>
    </w:p>
    <w:p>
      <w:pPr>
        <w:ind w:left="5480"/>
        <w:spacing w:after="0" w:line="197" w:lineRule="auto"/>
        <w:rPr>
          <w:sz w:val="20"/>
          <w:szCs w:val="20"/>
          <w:color w:val="auto"/>
        </w:rPr>
      </w:pPr>
      <w:r>
        <w:rPr>
          <w:rFonts w:ascii="Times New Roman" w:cs="Times New Roman" w:eastAsia="Times New Roman" w:hAnsi="Times New Roman"/>
          <w:sz w:val="20"/>
          <w:szCs w:val="20"/>
          <w:b w:val="1"/>
          <w:bCs w:val="1"/>
          <w:color w:val="auto"/>
        </w:rPr>
        <w:t>OF</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8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4"/>
        </w:trPr>
        <w:tc>
          <w:tcPr>
            <w:tcW w:w="228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486"/>
        </w:trPr>
        <w:tc>
          <w:tcPr>
            <w:tcW w:w="2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ARTICLE I Offices</w:t>
            </w:r>
          </w:p>
        </w:tc>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1.01</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Business Offices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1"/>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1.02</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Registered Office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527"/>
        </w:trPr>
        <w:tc>
          <w:tcPr>
            <w:tcW w:w="2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ARTICLE II Stockholders</w:t>
            </w:r>
          </w:p>
        </w:tc>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2.01</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Annual Meeting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1"/>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2.02</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Special Meetings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2.03</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Place of Meeting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1"/>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2.04</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Notice of Meetings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11"/>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2.05</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Fixing Date for Determination of Stockholders of Record.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2.06</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Voting List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1"/>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2.07</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Proxies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2.08</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2.09</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Nominations for the Election of Directors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2.10</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Stockholder Proposals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2.11</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2.12</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Conduct of 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10"/>
        </w:trPr>
        <w:tc>
          <w:tcPr>
            <w:tcW w:w="2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Section 2.13</w:t>
            </w: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Inspector of Elections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527"/>
        </w:trPr>
        <w:tc>
          <w:tcPr>
            <w:tcW w:w="105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ARTICLE III Board of Directors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20"/>
          </w:cols>
          <w:pgMar w:left="320" w:top="1394" w:right="359" w:bottom="1440" w:gutter="0" w:footer="0" w:header="0"/>
        </w:sectPr>
      </w:pPr>
    </w:p>
    <w:bookmarkStart w:id="39" w:name="page40"/>
    <w:bookmarkEnd w:id="39"/>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3.02</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3.03</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3.04</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3.05</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3.06</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3.07</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3.08</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3.09</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3.10</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3.11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3.12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IV Officers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4.02</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4.03</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4.04</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4.05</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4.06</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4.07</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4.08</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V Stock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General Powers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Number, Tenure and Qualifications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Resignation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Regular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Special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Meetings by Telephone</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Notice of Meetings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Action Without a Meeting</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Executive and Other Committees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Compensation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Removal of Directors; Vacancies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527"/>
        </w:trPr>
        <w:tc>
          <w:tcPr>
            <w:tcW w:w="568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Number and Qualifications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Election and Term of Office</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1"/>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Compensation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Resignation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Removal</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Vacancies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Authority and Duties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Surety Bonds</w:t>
            </w: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527"/>
        </w:trPr>
        <w:tc>
          <w:tcPr>
            <w:tcW w:w="568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2">
            <w:col w:w="1780" w:space="640"/>
            <w:col w:w="8760"/>
          </w:cols>
          <w:pgMar w:left="340" w:top="1440" w:right="379" w:bottom="1440" w:gutter="0" w:footer="0" w:header="0"/>
        </w:sectPr>
      </w:pPr>
    </w:p>
    <w:bookmarkStart w:id="40" w:name="page41"/>
    <w:bookmarkEnd w:id="40"/>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5.01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5.02</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5.03</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5.04</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5.05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VI Indemnification</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6.01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6.02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VII Miscellaneous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7.01</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7.02</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7.03</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7.04</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7.05</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7.06</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7.07</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Section 7.08</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Transfer of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Registered Holders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Transfer Agents, Registrars and Paying Agents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Lost, Stolen or Destroyed Certificates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527"/>
        </w:trPr>
        <w:tc>
          <w:tcPr>
            <w:tcW w:w="614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Right to Indemnification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527"/>
        </w:trPr>
        <w:tc>
          <w:tcPr>
            <w:tcW w:w="614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Waivers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Presumption of Assent</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Voting of Securities by the Corporation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Signatories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Seal</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Amendments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2">
            <w:col w:w="2400" w:space="20"/>
            <w:col w:w="8760"/>
          </w:cols>
          <w:pgMar w:left="340" w:top="1440" w:right="379" w:bottom="1440" w:gutter="0" w:footer="0" w:header="0"/>
        </w:sectPr>
      </w:pPr>
    </w:p>
    <w:bookmarkStart w:id="41" w:name="page42"/>
    <w:bookmarkEnd w:id="41"/>
    <w:p>
      <w:pPr>
        <w:ind w:left="388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ind w:left="5480"/>
        <w:spacing w:after="0" w:line="197" w:lineRule="auto"/>
        <w:rPr>
          <w:sz w:val="20"/>
          <w:szCs w:val="20"/>
          <w:color w:val="auto"/>
        </w:rPr>
      </w:pPr>
      <w:r>
        <w:rPr>
          <w:rFonts w:ascii="Times New Roman" w:cs="Times New Roman" w:eastAsia="Times New Roman" w:hAnsi="Times New Roman"/>
          <w:sz w:val="20"/>
          <w:szCs w:val="20"/>
          <w:b w:val="1"/>
          <w:bCs w:val="1"/>
          <w:color w:val="auto"/>
        </w:rPr>
        <w:t>OF</w:t>
      </w:r>
    </w:p>
    <w:p>
      <w:pPr>
        <w:ind w:left="4220"/>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1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ARTICLE I</w:t>
      </w:r>
    </w:p>
    <w:p>
      <w:pPr>
        <w:jc w:val="center"/>
        <w:ind w:right="-19"/>
        <w:spacing w:after="0"/>
        <w:rPr>
          <w:sz w:val="20"/>
          <w:szCs w:val="20"/>
          <w:color w:val="auto"/>
        </w:rPr>
      </w:pPr>
      <w:r>
        <w:rPr>
          <w:rFonts w:ascii="Times New Roman" w:cs="Times New Roman" w:eastAsia="Times New Roman" w:hAnsi="Times New Roman"/>
          <w:sz w:val="20"/>
          <w:szCs w:val="20"/>
          <w:color w:val="auto"/>
        </w:rPr>
        <w:t>Offices</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Business Offices</w:t>
      </w:r>
      <w:r>
        <w:rPr>
          <w:rFonts w:ascii="Times New Roman" w:cs="Times New Roman" w:eastAsia="Times New Roman" w:hAnsi="Times New Roman"/>
          <w:sz w:val="19"/>
          <w:szCs w:val="19"/>
          <w:color w:val="auto"/>
        </w:rPr>
        <w:t>. National CineMedia, Inc.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may have such offices, either within or outside Delaware, as the board of directors of the Corporation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may from time to time determine or as the business of the Corporation may require.</w:t>
      </w:r>
    </w:p>
    <w:p>
      <w:pPr>
        <w:spacing w:after="0" w:line="137" w:lineRule="exact"/>
        <w:rPr>
          <w:sz w:val="20"/>
          <w:szCs w:val="20"/>
          <w:color w:val="auto"/>
        </w:rPr>
      </w:pPr>
    </w:p>
    <w:p>
      <w:pPr>
        <w:ind w:right="72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Registered Office</w:t>
      </w:r>
      <w:r>
        <w:rPr>
          <w:rFonts w:ascii="Times New Roman" w:cs="Times New Roman" w:eastAsia="Times New Roman" w:hAnsi="Times New Roman"/>
          <w:sz w:val="19"/>
          <w:szCs w:val="19"/>
          <w:color w:val="auto"/>
        </w:rPr>
        <w:t>. The registered office of the Corporation required by the General Corporation Law of the State of Delaware (the “</w:t>
      </w:r>
      <w:r>
        <w:rPr>
          <w:rFonts w:ascii="Times New Roman" w:cs="Times New Roman" w:eastAsia="Times New Roman" w:hAnsi="Times New Roman"/>
          <w:sz w:val="19"/>
          <w:szCs w:val="19"/>
          <w:u w:val="single" w:color="auto"/>
          <w:color w:val="auto"/>
        </w:rPr>
        <w:t>DGCL</w:t>
      </w:r>
      <w:r>
        <w:rPr>
          <w:rFonts w:ascii="Times New Roman" w:cs="Times New Roman" w:eastAsia="Times New Roman" w:hAnsi="Times New Roman"/>
          <w:sz w:val="19"/>
          <w:szCs w:val="19"/>
          <w:color w:val="auto"/>
        </w:rPr>
        <w:t>”) to be maintained in Delaware shall be as set forth in the certificate of incorporation of the Corporation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unless changed as provided by law.</w:t>
      </w:r>
    </w:p>
    <w:p>
      <w:pPr>
        <w:spacing w:after="0" w:line="1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ARTICLE II</w:t>
      </w:r>
    </w:p>
    <w:p>
      <w:pPr>
        <w:jc w:val="center"/>
        <w:ind w:right="-19"/>
        <w:spacing w:after="0"/>
        <w:rPr>
          <w:sz w:val="20"/>
          <w:szCs w:val="20"/>
          <w:color w:val="auto"/>
        </w:rPr>
      </w:pPr>
      <w:r>
        <w:rPr>
          <w:rFonts w:ascii="Times New Roman" w:cs="Times New Roman" w:eastAsia="Times New Roman" w:hAnsi="Times New Roman"/>
          <w:sz w:val="20"/>
          <w:szCs w:val="20"/>
          <w:color w:val="auto"/>
        </w:rPr>
        <w:t>Stockholders</w:t>
      </w:r>
    </w:p>
    <w:p>
      <w:pPr>
        <w:spacing w:after="0" w:line="1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Annual Meeting</w:t>
      </w:r>
      <w:r>
        <w:rPr>
          <w:rFonts w:ascii="Times New Roman" w:cs="Times New Roman" w:eastAsia="Times New Roman" w:hAnsi="Times New Roman"/>
          <w:sz w:val="19"/>
          <w:szCs w:val="19"/>
          <w:color w:val="auto"/>
        </w:rPr>
        <w:t>. An annual meeting of the stockholders of the Corporation shall be held on such date as may be determined</w:t>
      </w:r>
    </w:p>
    <w:p>
      <w:pPr>
        <w:spacing w:after="0" w:line="6"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by the Board, for the purpose of electing directors and for the transaction of such other business as may come before such meeting. If the election of directors of the Corporation shall not be held on the day designated for any such meeting, or at any adjournment thereof, the</w:t>
      </w:r>
    </w:p>
    <w:p>
      <w:pPr>
        <w:spacing w:after="0" w:line="211" w:lineRule="auto"/>
        <w:rPr>
          <w:sz w:val="20"/>
          <w:szCs w:val="20"/>
          <w:color w:val="auto"/>
        </w:rPr>
      </w:pPr>
      <w:r>
        <w:rPr>
          <w:rFonts w:ascii="Times New Roman" w:cs="Times New Roman" w:eastAsia="Times New Roman" w:hAnsi="Times New Roman"/>
          <w:sz w:val="20"/>
          <w:szCs w:val="20"/>
          <w:color w:val="auto"/>
        </w:rPr>
        <w:t>Board shall cause the election to be held at a meeting of the stockholders of the Corporation as soon thereafter as conveniently may be held.</w:t>
      </w:r>
    </w:p>
    <w:p>
      <w:pPr>
        <w:ind w:right="80"/>
        <w:spacing w:after="0" w:line="221" w:lineRule="auto"/>
        <w:rPr>
          <w:sz w:val="20"/>
          <w:szCs w:val="20"/>
          <w:color w:val="auto"/>
        </w:rPr>
      </w:pPr>
      <w:r>
        <w:rPr>
          <w:rFonts w:ascii="Times New Roman" w:cs="Times New Roman" w:eastAsia="Times New Roman" w:hAnsi="Times New Roman"/>
          <w:sz w:val="20"/>
          <w:szCs w:val="20"/>
          <w:color w:val="auto"/>
        </w:rPr>
        <w:t>Failure to hold an annual meeting of the stockholders of the Corporation as required by these Bylaws shall not invalidate any action taken by the Board or by the officers of the Corporation.</w:t>
      </w:r>
    </w:p>
    <w:p>
      <w:pPr>
        <w:spacing w:after="0" w:line="162" w:lineRule="exact"/>
        <w:rPr>
          <w:sz w:val="20"/>
          <w:szCs w:val="20"/>
          <w:color w:val="auto"/>
        </w:rPr>
      </w:pPr>
    </w:p>
    <w:p>
      <w:pPr>
        <w:ind w:right="26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stockholders of the Corporation, for any purpose or purposes, unless otherwise prescribed by law or the Certificate of Incorporation, may be called only by the Board pursuant to a resolution approved by the affirmative</w:t>
      </w:r>
    </w:p>
    <w:p>
      <w:pPr>
        <w:spacing w:after="0" w:line="211" w:lineRule="auto"/>
        <w:rPr>
          <w:sz w:val="20"/>
          <w:szCs w:val="20"/>
          <w:color w:val="auto"/>
        </w:rPr>
      </w:pPr>
      <w:r>
        <w:rPr>
          <w:rFonts w:ascii="Times New Roman" w:cs="Times New Roman" w:eastAsia="Times New Roman" w:hAnsi="Times New Roman"/>
          <w:sz w:val="20"/>
          <w:szCs w:val="20"/>
          <w:color w:val="auto"/>
        </w:rPr>
        <w:t>vote of a majority of the directors of the Corporation then in office. Such resolution of the Board shall state the purpose or purposes of such</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proposed meeting. Business transacted at any special meetings of the stockholders shall be limited to the purpose or purposes stated in the notice.</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Place of Meeting</w:t>
      </w:r>
      <w:r>
        <w:rPr>
          <w:rFonts w:ascii="Times New Roman" w:cs="Times New Roman" w:eastAsia="Times New Roman" w:hAnsi="Times New Roman"/>
          <w:sz w:val="20"/>
          <w:szCs w:val="20"/>
          <w:color w:val="auto"/>
        </w:rPr>
        <w:t>. Each meeting of the stockholders of the Corporation shall be held at such place, either within or outside</w:t>
      </w:r>
    </w:p>
    <w:p>
      <w:pPr>
        <w:ind w:right="80"/>
        <w:spacing w:after="0" w:line="215" w:lineRule="auto"/>
        <w:rPr>
          <w:sz w:val="20"/>
          <w:szCs w:val="20"/>
          <w:color w:val="auto"/>
        </w:rPr>
      </w:pPr>
      <w:r>
        <w:rPr>
          <w:rFonts w:ascii="Times New Roman" w:cs="Times New Roman" w:eastAsia="Times New Roman" w:hAnsi="Times New Roman"/>
          <w:sz w:val="19"/>
          <w:szCs w:val="19"/>
          <w:color w:val="auto"/>
        </w:rPr>
        <w:t>Delaware, as may be designated in the notice of such meeting, or, if no place is designated in such notice, at the principal office of the Corporation. The Board may, in its sole discretion, determine that a meeting of stockholders shall not be held at any time, but may instead be</w:t>
      </w:r>
    </w:p>
    <w:p>
      <w:pPr>
        <w:spacing w:after="0"/>
        <w:rPr>
          <w:sz w:val="20"/>
          <w:szCs w:val="20"/>
          <w:color w:val="auto"/>
        </w:rPr>
      </w:pPr>
      <w:r>
        <w:rPr>
          <w:rFonts w:ascii="Times New Roman" w:cs="Times New Roman" w:eastAsia="Times New Roman" w:hAnsi="Times New Roman"/>
          <w:sz w:val="20"/>
          <w:szCs w:val="20"/>
          <w:color w:val="auto"/>
        </w:rPr>
        <w:t>held solely by means of remote communications in accordance with the DGCL.</w:t>
      </w:r>
    </w:p>
    <w:p>
      <w:pPr>
        <w:spacing w:after="0" w:line="167" w:lineRule="exact"/>
        <w:rPr>
          <w:sz w:val="20"/>
          <w:szCs w:val="20"/>
          <w:color w:val="auto"/>
        </w:rPr>
      </w:pPr>
    </w:p>
    <w:p>
      <w:pPr>
        <w:ind w:right="18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Notice of Meetings</w:t>
      </w:r>
      <w:r>
        <w:rPr>
          <w:rFonts w:ascii="Times New Roman" w:cs="Times New Roman" w:eastAsia="Times New Roman" w:hAnsi="Times New Roman"/>
          <w:sz w:val="19"/>
          <w:szCs w:val="19"/>
          <w:color w:val="auto"/>
        </w:rPr>
        <w:t>. Except as otherwise required herein, by the Certificate of Incorporation or by law and whenever stockholders are required or permitted to take any action at a meeting, notice in writing or by electronic transmission of each meeting of the</w:t>
      </w:r>
    </w:p>
    <w:p>
      <w:pPr>
        <w:spacing w:after="0" w:line="211" w:lineRule="auto"/>
        <w:rPr>
          <w:sz w:val="20"/>
          <w:szCs w:val="20"/>
          <w:color w:val="auto"/>
        </w:rPr>
      </w:pPr>
      <w:r>
        <w:rPr>
          <w:rFonts w:ascii="Times New Roman" w:cs="Times New Roman" w:eastAsia="Times New Roman" w:hAnsi="Times New Roman"/>
          <w:sz w:val="20"/>
          <w:szCs w:val="20"/>
          <w:color w:val="auto"/>
        </w:rPr>
        <w:t>stockholders of the Corporation stating the place, if any, day and hour of such meeting, the means of remote communications, if any, by</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which stockholders and proxy holders may be deemed to be present in person and vote at such meeting and, in the case of a special meeting of the stockholders of the Corporation, the purpose or purposes for which such meeting is called, shall be given, either personally (including</w:t>
      </w:r>
    </w:p>
    <w:p>
      <w:pPr>
        <w:spacing w:after="0" w:line="211" w:lineRule="auto"/>
        <w:rPr>
          <w:sz w:val="20"/>
          <w:szCs w:val="20"/>
          <w:color w:val="auto"/>
        </w:rPr>
      </w:pPr>
      <w:r>
        <w:rPr>
          <w:rFonts w:ascii="Times New Roman" w:cs="Times New Roman" w:eastAsia="Times New Roman" w:hAnsi="Times New Roman"/>
          <w:sz w:val="20"/>
          <w:szCs w:val="20"/>
          <w:color w:val="auto"/>
        </w:rPr>
        <w:t>delivery by private courier) or by first class, certified or registered mail, or by electronic transmission, to each stockholder of record entitled</w:t>
      </w:r>
    </w:p>
    <w:p>
      <w:pPr>
        <w:ind w:right="40"/>
        <w:spacing w:after="0" w:line="215" w:lineRule="auto"/>
        <w:rPr>
          <w:sz w:val="20"/>
          <w:szCs w:val="20"/>
          <w:color w:val="auto"/>
        </w:rPr>
      </w:pPr>
      <w:r>
        <w:rPr>
          <w:rFonts w:ascii="Times New Roman" w:cs="Times New Roman" w:eastAsia="Times New Roman" w:hAnsi="Times New Roman"/>
          <w:sz w:val="19"/>
          <w:szCs w:val="19"/>
          <w:color w:val="auto"/>
        </w:rPr>
        <w:t>to notice of such meeting, not less than 10 nor more than 60 days before the date of such meeting. Such notice shall be deemed to be given, if personally delivered, when delivered to the stockholder, and, if mailed, when deposited in the United States mail, postage prepaid, directed to</w:t>
      </w:r>
    </w:p>
    <w:p>
      <w:pPr>
        <w:spacing w:after="0" w:line="222" w:lineRule="auto"/>
        <w:rPr>
          <w:sz w:val="20"/>
          <w:szCs w:val="20"/>
          <w:color w:val="auto"/>
        </w:rPr>
      </w:pPr>
      <w:r>
        <w:rPr>
          <w:rFonts w:ascii="Times New Roman" w:cs="Times New Roman" w:eastAsia="Times New Roman" w:hAnsi="Times New Roman"/>
          <w:sz w:val="19"/>
          <w:szCs w:val="19"/>
          <w:color w:val="auto"/>
        </w:rPr>
        <w:t>the stockholder at his address as it appears on the records of the Corporation, and if by electronic transmission, when posted on an electronic</w:t>
      </w:r>
    </w:p>
    <w:p>
      <w:pPr>
        <w:ind w:right="20"/>
        <w:spacing w:after="0" w:line="215" w:lineRule="auto"/>
        <w:rPr>
          <w:sz w:val="20"/>
          <w:szCs w:val="20"/>
          <w:color w:val="auto"/>
        </w:rPr>
      </w:pPr>
      <w:r>
        <w:rPr>
          <w:rFonts w:ascii="Times New Roman" w:cs="Times New Roman" w:eastAsia="Times New Roman" w:hAnsi="Times New Roman"/>
          <w:sz w:val="19"/>
          <w:szCs w:val="19"/>
          <w:color w:val="auto"/>
        </w:rPr>
        <w:t>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w:t>
      </w:r>
    </w:p>
    <w:p>
      <w:pPr>
        <w:ind w:right="580"/>
        <w:spacing w:after="0" w:line="228" w:lineRule="auto"/>
        <w:rPr>
          <w:sz w:val="20"/>
          <w:szCs w:val="20"/>
          <w:color w:val="auto"/>
        </w:rPr>
      </w:pPr>
      <w:r>
        <w:rPr>
          <w:rFonts w:ascii="Times New Roman" w:cs="Times New Roman" w:eastAsia="Times New Roman" w:hAnsi="Times New Roman"/>
          <w:sz w:val="20"/>
          <w:szCs w:val="20"/>
          <w:color w:val="auto"/>
        </w:rPr>
        <w:t>given by personal delivery, by mail or by a form of electronic transmission, as applicable, shall, in the absence of fraud, be prima facie evidence of the facts stated therein. If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two consecutive annual meetings of the stockholders of the Corporation and all notices of other meetings of the stockholders of the</w:t>
      </w:r>
    </w:p>
    <w:p>
      <w:pPr>
        <w:spacing w:after="0" w:line="204" w:lineRule="auto"/>
        <w:rPr>
          <w:sz w:val="20"/>
          <w:szCs w:val="20"/>
          <w:color w:val="auto"/>
        </w:rPr>
      </w:pPr>
      <w:r>
        <w:rPr>
          <w:rFonts w:ascii="Times New Roman" w:cs="Times New Roman" w:eastAsia="Times New Roman" w:hAnsi="Times New Roman"/>
          <w:sz w:val="20"/>
          <w:szCs w:val="20"/>
          <w:color w:val="auto"/>
        </w:rPr>
        <w:t>Corporation to any stockholder during the period between such two consecutive annual meetings, or all, and at least two, payments (if sent by first class mail) of dividends or interest on securities of the Corporation during a 12 month period, have been mailed to such person at his</w:t>
      </w:r>
    </w:p>
    <w:p>
      <w:pPr>
        <w:spacing w:after="0" w:line="211" w:lineRule="auto"/>
        <w:rPr>
          <w:sz w:val="20"/>
          <w:szCs w:val="20"/>
          <w:color w:val="auto"/>
        </w:rPr>
      </w:pPr>
      <w:r>
        <w:rPr>
          <w:rFonts w:ascii="Times New Roman" w:cs="Times New Roman" w:eastAsia="Times New Roman" w:hAnsi="Times New Roman"/>
          <w:sz w:val="20"/>
          <w:szCs w:val="20"/>
          <w:color w:val="auto"/>
        </w:rPr>
        <w:t>address as shown on the records of the Corporation and have been returned undeliverable, the giving of such notice to such person shall not</w:t>
      </w:r>
    </w:p>
    <w:p>
      <w:pPr>
        <w:spacing w:after="0" w:line="1"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be required until another address for such person is delivered to the Corporation. When a meeting of the stockholders of the Corporation is adjourned to another time or place, if any, notice need not be given of the adjourned meeting if the time and place thereof are announced at</w:t>
      </w:r>
    </w:p>
    <w:p>
      <w:pPr>
        <w:spacing w:after="0" w:line="211" w:lineRule="auto"/>
        <w:rPr>
          <w:sz w:val="20"/>
          <w:szCs w:val="20"/>
          <w:color w:val="auto"/>
        </w:rPr>
      </w:pPr>
      <w:r>
        <w:rPr>
          <w:rFonts w:ascii="Times New Roman" w:cs="Times New Roman" w:eastAsia="Times New Roman" w:hAnsi="Times New Roman"/>
          <w:sz w:val="20"/>
          <w:szCs w:val="20"/>
          <w:color w:val="auto"/>
        </w:rPr>
        <w:t>the meeting at which the adjournment is taken. At such adjourned meeting the Corporation may transact any business that might have been</w:t>
      </w:r>
    </w:p>
    <w:p>
      <w:pPr>
        <w:ind w:right="240"/>
        <w:spacing w:after="0" w:line="215" w:lineRule="auto"/>
        <w:rPr>
          <w:sz w:val="20"/>
          <w:szCs w:val="20"/>
          <w:color w:val="auto"/>
        </w:rPr>
      </w:pPr>
      <w:r>
        <w:rPr>
          <w:rFonts w:ascii="Times New Roman" w:cs="Times New Roman" w:eastAsia="Times New Roman" w:hAnsi="Times New Roman"/>
          <w:sz w:val="19"/>
          <w:szCs w:val="19"/>
          <w:color w:val="auto"/>
        </w:rPr>
        <w:t>transacted at the original meeting of the stockholders of the Corporation. If the adjournment is for more than 30 days, or if after the adjournment a new record date is fixed for such adjourned meeting, notice of such adjourned meeting shall be given to each stockholder of</w:t>
      </w:r>
    </w:p>
    <w:p>
      <w:pPr>
        <w:spacing w:after="0"/>
        <w:rPr>
          <w:sz w:val="20"/>
          <w:szCs w:val="20"/>
          <w:color w:val="auto"/>
        </w:rPr>
      </w:pPr>
      <w:r>
        <w:rPr>
          <w:rFonts w:ascii="Times New Roman" w:cs="Times New Roman" w:eastAsia="Times New Roman" w:hAnsi="Times New Roman"/>
          <w:sz w:val="20"/>
          <w:szCs w:val="20"/>
          <w:color w:val="auto"/>
        </w:rPr>
        <w:t>record of the Corporation entitled to vote at the meeting in accordance with the foregoing provisions of this Section 2.04.</w:t>
      </w:r>
    </w:p>
    <w:p>
      <w:pPr>
        <w:spacing w:after="0" w:line="167" w:lineRule="exact"/>
        <w:rPr>
          <w:sz w:val="20"/>
          <w:szCs w:val="20"/>
          <w:color w:val="auto"/>
        </w:rPr>
      </w:pPr>
    </w:p>
    <w:p>
      <w:pPr>
        <w:ind w:right="28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Fixing Date for Determination of Stockholders of Record</w:t>
      </w:r>
      <w:r>
        <w:rPr>
          <w:rFonts w:ascii="Times New Roman" w:cs="Times New Roman" w:eastAsia="Times New Roman" w:hAnsi="Times New Roman"/>
          <w:sz w:val="19"/>
          <w:szCs w:val="19"/>
          <w:color w:val="auto"/>
        </w:rPr>
        <w:t>. For the purpose of determining the stockholders of the Corporation entitled to notice of or to vote at any meeting of the stockholders of the Corporation or any adjournment thereof, or entitled to</w:t>
      </w:r>
    </w:p>
    <w:p>
      <w:pPr>
        <w:spacing w:after="0" w:line="211" w:lineRule="auto"/>
        <w:rPr>
          <w:sz w:val="20"/>
          <w:szCs w:val="20"/>
          <w:color w:val="auto"/>
        </w:rPr>
      </w:pPr>
      <w:r>
        <w:rPr>
          <w:rFonts w:ascii="Times New Roman" w:cs="Times New Roman" w:eastAsia="Times New Roman" w:hAnsi="Times New Roman"/>
          <w:sz w:val="20"/>
          <w:szCs w:val="20"/>
          <w:color w:val="auto"/>
        </w:rPr>
        <w:t>receive payment of any dividend or other distribution or allotment of any rights, or entitled to exercise any rights in respect of any change,</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conversion or exchange of capital stock of the Corporation or for any other lawful action, the Board may fix, in advance, a date as the record date for any such determination of stockholders, which date shall not precede the date upon which the record date is adopted by the Board,</w:t>
      </w:r>
    </w:p>
    <w:p>
      <w:pPr>
        <w:spacing w:after="0" w:line="211" w:lineRule="auto"/>
        <w:rPr>
          <w:sz w:val="20"/>
          <w:szCs w:val="20"/>
          <w:color w:val="auto"/>
        </w:rPr>
      </w:pPr>
      <w:r>
        <w:rPr>
          <w:rFonts w:ascii="Times New Roman" w:cs="Times New Roman" w:eastAsia="Times New Roman" w:hAnsi="Times New Roman"/>
          <w:sz w:val="20"/>
          <w:szCs w:val="20"/>
          <w:color w:val="auto"/>
        </w:rPr>
        <w:t>and which shall not be more than 60 nor less than 10 days before the date of such meeting, and not more than 60 days prior to any other</w:t>
      </w:r>
    </w:p>
    <w:p>
      <w:pPr>
        <w:ind w:right="220"/>
        <w:spacing w:after="0" w:line="204" w:lineRule="auto"/>
        <w:rPr>
          <w:sz w:val="20"/>
          <w:szCs w:val="20"/>
          <w:color w:val="auto"/>
        </w:rPr>
      </w:pPr>
      <w:r>
        <w:rPr>
          <w:rFonts w:ascii="Times New Roman" w:cs="Times New Roman" w:eastAsia="Times New Roman" w:hAnsi="Times New Roman"/>
          <w:sz w:val="20"/>
          <w:szCs w:val="20"/>
          <w:color w:val="auto"/>
        </w:rPr>
        <w:t>action. If no record date is fixed then the record date shall be, for determining the stockholders of the Corporation entitled to notice of or to vote at a meeting of such stockholders, the close of business on the day next preceding the day on which notice is given, or, if notice is</w:t>
      </w:r>
    </w:p>
    <w:p>
      <w:pPr>
        <w:spacing w:after="0" w:line="1" w:lineRule="exact"/>
        <w:rPr>
          <w:sz w:val="20"/>
          <w:szCs w:val="20"/>
          <w:color w:val="auto"/>
        </w:rPr>
      </w:pPr>
    </w:p>
    <w:p>
      <w:pPr>
        <w:ind w:right="620"/>
        <w:spacing w:after="0" w:line="204" w:lineRule="auto"/>
        <w:rPr>
          <w:sz w:val="20"/>
          <w:szCs w:val="20"/>
          <w:color w:val="auto"/>
        </w:rPr>
      </w:pPr>
      <w:r>
        <w:rPr>
          <w:rFonts w:ascii="Times New Roman" w:cs="Times New Roman" w:eastAsia="Times New Roman" w:hAnsi="Times New Roman"/>
          <w:sz w:val="20"/>
          <w:szCs w:val="20"/>
          <w:color w:val="auto"/>
        </w:rPr>
        <w:t>waived, the close of business on the day next preceding the day on which such meeting is held, or, for determining stockholders of the Corporation for any other purpose, the close of business on the day on which the Board adopts the resolution relating thereto. A</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 xml:space="preserve">determination of the stockholders of record of the Corporation entitled to notice of or to vote at a meeting of such stockholders shall apply to any adjournment of such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may fix a new record date for the adjourned meeting.</w:t>
      </w:r>
    </w:p>
    <w:p>
      <w:pPr>
        <w:spacing w:after="0" w:line="149"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Voting List</w:t>
      </w:r>
      <w:r>
        <w:rPr>
          <w:rFonts w:ascii="Times New Roman" w:cs="Times New Roman" w:eastAsia="Times New Roman" w:hAnsi="Times New Roman"/>
          <w:sz w:val="19"/>
          <w:szCs w:val="19"/>
          <w:color w:val="auto"/>
        </w:rPr>
        <w:t>. The officer of the Corporation who has charge of the stock ledger of the Corporation shall prepare, or cause to be prepared, at least 10 days before every meeting of the stockholders of the Corporation, a complete list of such stockholders entitled to vote</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at the meeting, arranged in alphabetical order, and showing the address of each such stockholder and the number of shares of capital stock of the Corporation registered in the name of each such stockholder. Nothing contained in this Section 2.06 shall require the Corporation to</w:t>
      </w:r>
    </w:p>
    <w:p>
      <w:pPr>
        <w:spacing w:after="0" w:line="211" w:lineRule="auto"/>
        <w:rPr>
          <w:sz w:val="20"/>
          <w:szCs w:val="20"/>
          <w:color w:val="auto"/>
        </w:rPr>
      </w:pPr>
      <w:r>
        <w:rPr>
          <w:rFonts w:ascii="Times New Roman" w:cs="Times New Roman" w:eastAsia="Times New Roman" w:hAnsi="Times New Roman"/>
          <w:sz w:val="20"/>
          <w:szCs w:val="20"/>
          <w:color w:val="auto"/>
        </w:rPr>
        <w:t>include electronic mail addresses or other electronic contact information on such list. Such list shall be open to the examination of any</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stockholder of the Corporation, for any purpose germane to such meeting, for a period of at least 10 days prior to such meeting, either (a) on a reasonably accessible electronic network, provided that the information required to gain access to such list is provided with the notice of</w:t>
      </w:r>
    </w:p>
    <w:p>
      <w:pPr>
        <w:spacing w:after="0" w:line="211" w:lineRule="auto"/>
        <w:rPr>
          <w:sz w:val="20"/>
          <w:szCs w:val="20"/>
          <w:color w:val="auto"/>
        </w:rPr>
      </w:pPr>
      <w:r>
        <w:rPr>
          <w:rFonts w:ascii="Times New Roman" w:cs="Times New Roman" w:eastAsia="Times New Roman" w:hAnsi="Times New Roman"/>
          <w:sz w:val="20"/>
          <w:szCs w:val="20"/>
          <w:color w:val="auto"/>
        </w:rPr>
        <w:t>such meeting, or (b) during ordinary business hours, at the principal place of business of the corporation. If the Corporation determines to</w:t>
      </w:r>
    </w:p>
    <w:p>
      <w:pPr>
        <w:ind w:right="140"/>
        <w:spacing w:after="0" w:line="215" w:lineRule="auto"/>
        <w:rPr>
          <w:sz w:val="20"/>
          <w:szCs w:val="20"/>
          <w:color w:val="auto"/>
        </w:rPr>
      </w:pPr>
      <w:r>
        <w:rPr>
          <w:rFonts w:ascii="Times New Roman" w:cs="Times New Roman" w:eastAsia="Times New Roman" w:hAnsi="Times New Roman"/>
          <w:sz w:val="19"/>
          <w:szCs w:val="19"/>
          <w:color w:val="auto"/>
        </w:rPr>
        <w:t>make the list available on an electronic network, the Corporation may take reasonable steps to ensure that such information is available only to stockholders of the Corporation. If such meeting is to be held at a place, the list shall also be produced and kept at the time and place of</w:t>
      </w:r>
    </w:p>
    <w:p>
      <w:pPr>
        <w:spacing w:after="0" w:line="222" w:lineRule="auto"/>
        <w:rPr>
          <w:sz w:val="20"/>
          <w:szCs w:val="20"/>
          <w:color w:val="auto"/>
        </w:rPr>
      </w:pPr>
      <w:r>
        <w:rPr>
          <w:rFonts w:ascii="Times New Roman" w:cs="Times New Roman" w:eastAsia="Times New Roman" w:hAnsi="Times New Roman"/>
          <w:sz w:val="19"/>
          <w:szCs w:val="19"/>
          <w:color w:val="auto"/>
        </w:rPr>
        <w:t>such meeting during the whole time thereof, and may be inspected by any stockholder of the Corporation who is present. If such meeting is to</w:t>
      </w:r>
    </w:p>
    <w:p>
      <w:pPr>
        <w:ind w:right="20"/>
        <w:spacing w:after="0" w:line="215" w:lineRule="auto"/>
        <w:rPr>
          <w:sz w:val="20"/>
          <w:szCs w:val="20"/>
          <w:color w:val="auto"/>
        </w:rPr>
      </w:pPr>
      <w:r>
        <w:rPr>
          <w:rFonts w:ascii="Times New Roman" w:cs="Times New Roman" w:eastAsia="Times New Roman" w:hAnsi="Times New Roman"/>
          <w:sz w:val="19"/>
          <w:szCs w:val="19"/>
          <w:color w:val="auto"/>
        </w:rPr>
        <w:t>be held solely by means of remote communication, then the list shall also be open to the examination of any stockholder of the Corporation during the whole time of such meeting on a reasonably accessible electronic network, and the information required to access such list shall be</w:t>
      </w:r>
    </w:p>
    <w:p>
      <w:pPr>
        <w:ind w:right="40"/>
        <w:spacing w:after="0" w:line="242" w:lineRule="auto"/>
        <w:rPr>
          <w:sz w:val="20"/>
          <w:szCs w:val="20"/>
          <w:color w:val="auto"/>
        </w:rPr>
      </w:pPr>
      <w:r>
        <w:rPr>
          <w:rFonts w:ascii="Times New Roman" w:cs="Times New Roman" w:eastAsia="Times New Roman" w:hAnsi="Times New Roman"/>
          <w:sz w:val="19"/>
          <w:szCs w:val="19"/>
          <w:color w:val="auto"/>
        </w:rPr>
        <w:t>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p>
    <w:p>
      <w:pPr>
        <w:spacing w:after="0" w:line="145" w:lineRule="exact"/>
        <w:rPr>
          <w:sz w:val="20"/>
          <w:szCs w:val="20"/>
          <w:color w:val="auto"/>
        </w:rPr>
      </w:pPr>
    </w:p>
    <w:p>
      <w:pPr>
        <w:ind w:right="100" w:firstLine="324"/>
        <w:spacing w:after="0" w:line="230"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Proxies</w:t>
      </w:r>
      <w:r>
        <w:rPr>
          <w:rFonts w:ascii="Times New Roman" w:cs="Times New Roman" w:eastAsia="Times New Roman" w:hAnsi="Times New Roman"/>
          <w:sz w:val="20"/>
          <w:szCs w:val="20"/>
          <w:color w:val="auto"/>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that it is irrevocable and if, and only as long as, it is coupled with an interest sufficient in law to support an irrevocable power. A stockholder</w:t>
      </w:r>
    </w:p>
    <w:p>
      <w:pPr>
        <w:spacing w:after="0" w:line="6" w:lineRule="exact"/>
        <w:rPr>
          <w:sz w:val="20"/>
          <w:szCs w:val="20"/>
          <w:color w:val="auto"/>
        </w:rPr>
      </w:pPr>
    </w:p>
    <w:p>
      <w:pPr>
        <w:ind w:right="720"/>
        <w:spacing w:after="0" w:line="221" w:lineRule="auto"/>
        <w:rPr>
          <w:sz w:val="20"/>
          <w:szCs w:val="20"/>
          <w:color w:val="auto"/>
        </w:rPr>
      </w:pPr>
      <w:r>
        <w:rPr>
          <w:rFonts w:ascii="Times New Roman" w:cs="Times New Roman" w:eastAsia="Times New Roman" w:hAnsi="Times New Roman"/>
          <w:sz w:val="20"/>
          <w:szCs w:val="20"/>
          <w:color w:val="auto"/>
        </w:rPr>
        <w:t>may revoke any proxy which is not irrevocable by attending the meeting and voting in person or by delivering to the secretary of the Corporation a revocation of the proxy or a new proxy bearing a later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Quorum and Manner of Acting</w:t>
      </w:r>
      <w:r>
        <w:rPr>
          <w:rFonts w:ascii="Times New Roman" w:cs="Times New Roman" w:eastAsia="Times New Roman" w:hAnsi="Times New Roman"/>
          <w:sz w:val="19"/>
          <w:szCs w:val="19"/>
          <w:color w:val="auto"/>
        </w:rPr>
        <w:t>. Except as otherwise provided by law, the Certificate of Incorporation or these Bylaws, at a</w:t>
      </w:r>
    </w:p>
    <w:p>
      <w:pPr>
        <w:spacing w:after="0" w:line="6" w:lineRule="exact"/>
        <w:rPr>
          <w:sz w:val="20"/>
          <w:szCs w:val="20"/>
          <w:color w:val="auto"/>
        </w:rPr>
      </w:pPr>
    </w:p>
    <w:p>
      <w:pPr>
        <w:ind w:right="560"/>
        <w:spacing w:after="0" w:line="215" w:lineRule="auto"/>
        <w:rPr>
          <w:sz w:val="20"/>
          <w:szCs w:val="20"/>
          <w:color w:val="auto"/>
        </w:rPr>
      </w:pPr>
      <w:r>
        <w:rPr>
          <w:rFonts w:ascii="Times New Roman" w:cs="Times New Roman" w:eastAsia="Times New Roman" w:hAnsi="Times New Roman"/>
          <w:sz w:val="19"/>
          <w:szCs w:val="19"/>
          <w:color w:val="auto"/>
        </w:rPr>
        <w:t>meeting of stockholders of the Corporation, a majority of the combined voting power of the outstanding shares of capital stock of the Corporation entitled to vote at such meeting, represented in person or by proxy, shall constitute a quorum. If a quorum is present, at all</w:t>
      </w:r>
    </w:p>
    <w:p>
      <w:pPr>
        <w:spacing w:after="0" w:line="222" w:lineRule="auto"/>
        <w:rPr>
          <w:sz w:val="20"/>
          <w:szCs w:val="20"/>
          <w:color w:val="auto"/>
        </w:rPr>
      </w:pPr>
      <w:r>
        <w:rPr>
          <w:rFonts w:ascii="Times New Roman" w:cs="Times New Roman" w:eastAsia="Times New Roman" w:hAnsi="Times New Roman"/>
          <w:sz w:val="19"/>
          <w:szCs w:val="19"/>
          <w:color w:val="auto"/>
        </w:rPr>
        <w:t>meetings of stockholders for the election of directors, the directors of the Corporation will be elected by the plurality of the votes cast by the</w:t>
      </w:r>
    </w:p>
    <w:p>
      <w:pPr>
        <w:spacing w:after="0" w:line="215" w:lineRule="auto"/>
        <w:rPr>
          <w:sz w:val="20"/>
          <w:szCs w:val="20"/>
          <w:color w:val="auto"/>
        </w:rPr>
      </w:pPr>
      <w:r>
        <w:rPr>
          <w:rFonts w:ascii="Times New Roman" w:cs="Times New Roman" w:eastAsia="Times New Roman" w:hAnsi="Times New Roman"/>
          <w:sz w:val="19"/>
          <w:szCs w:val="19"/>
          <w:color w:val="auto"/>
        </w:rPr>
        <w:t>holders of shares of Common Stock (as defined in the Certificate of Incorporation). Unless otherwise provided by the Certificate of Incorporation, these Bylaws, the rules or regulations of any stock exchange applicable to the Corporation or applicable law or pursuant to any</w:t>
      </w:r>
    </w:p>
    <w:p>
      <w:pPr>
        <w:spacing w:after="0" w:line="211" w:lineRule="auto"/>
        <w:rPr>
          <w:sz w:val="20"/>
          <w:szCs w:val="20"/>
          <w:color w:val="auto"/>
        </w:rPr>
      </w:pPr>
      <w:r>
        <w:rPr>
          <w:rFonts w:ascii="Times New Roman" w:cs="Times New Roman" w:eastAsia="Times New Roman" w:hAnsi="Times New Roman"/>
          <w:sz w:val="20"/>
          <w:szCs w:val="20"/>
          <w:color w:val="auto"/>
        </w:rPr>
        <w:t>regulation applicable to the Corporation or its securities, if a quorum is present, the affirmative vote of a majority of the votes held by such</w:t>
      </w:r>
    </w:p>
    <w:p>
      <w:pPr>
        <w:ind w:right="600"/>
        <w:spacing w:after="0" w:line="215" w:lineRule="auto"/>
        <w:rPr>
          <w:sz w:val="20"/>
          <w:szCs w:val="20"/>
          <w:color w:val="auto"/>
        </w:rPr>
      </w:pPr>
      <w:r>
        <w:rPr>
          <w:rFonts w:ascii="Times New Roman" w:cs="Times New Roman" w:eastAsia="Times New Roman" w:hAnsi="Times New Roman"/>
          <w:sz w:val="19"/>
          <w:szCs w:val="19"/>
          <w:color w:val="auto"/>
        </w:rPr>
        <w:t>shares represented at such meeting at which a quorum is present and entitled to vote on the subject matter shall be the act of such stockholders. In the absence of a quorum, a majority of the shares of capital stock of the Corporation so represented may adjourn such</w:t>
      </w:r>
    </w:p>
    <w:p>
      <w:pPr>
        <w:spacing w:after="0"/>
        <w:rPr>
          <w:sz w:val="20"/>
          <w:szCs w:val="20"/>
          <w:color w:val="auto"/>
        </w:rPr>
      </w:pPr>
      <w:r>
        <w:rPr>
          <w:rFonts w:ascii="Times New Roman" w:cs="Times New Roman" w:eastAsia="Times New Roman" w:hAnsi="Times New Roman"/>
          <w:sz w:val="20"/>
          <w:szCs w:val="20"/>
          <w:color w:val="auto"/>
        </w:rPr>
        <w:t>meeting from time to time in accordance with Section 2.04, until a quorum shall be present or represented.</w:t>
      </w:r>
    </w:p>
    <w:p>
      <w:pPr>
        <w:spacing w:after="0" w:line="167"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Nominations for the Election of Directors</w:t>
      </w:r>
      <w:r>
        <w:rPr>
          <w:rFonts w:ascii="Times New Roman" w:cs="Times New Roman" w:eastAsia="Times New Roman" w:hAnsi="Times New Roman"/>
          <w:sz w:val="19"/>
          <w:szCs w:val="19"/>
          <w:color w:val="auto"/>
        </w:rPr>
        <w:t>. Except as otherwise provided in the Certificate of Incorporation, nominations for election to the Board must be made by the Board or by a committee appointed by the Board for such purpose or by any stockholder of any</w:t>
      </w:r>
    </w:p>
    <w:p>
      <w:pPr>
        <w:spacing w:after="0" w:line="211" w:lineRule="auto"/>
        <w:rPr>
          <w:sz w:val="20"/>
          <w:szCs w:val="20"/>
          <w:color w:val="auto"/>
        </w:rPr>
      </w:pPr>
      <w:r>
        <w:rPr>
          <w:rFonts w:ascii="Times New Roman" w:cs="Times New Roman" w:eastAsia="Times New Roman" w:hAnsi="Times New Roman"/>
          <w:sz w:val="20"/>
          <w:szCs w:val="20"/>
          <w:color w:val="auto"/>
        </w:rPr>
        <w:t>outstanding shares of capital stock of the Corporation entitled to vote for the election of directors of the Corporation. Except as otherwise</w:t>
      </w:r>
    </w:p>
    <w:p>
      <w:pPr>
        <w:spacing w:after="0" w:line="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9"/>
          <w:szCs w:val="19"/>
          <w:color w:val="auto"/>
        </w:rPr>
        <w:t>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w:t>
      </w:r>
    </w:p>
    <w:p>
      <w:pPr>
        <w:spacing w:after="0" w:line="2" w:lineRule="exact"/>
        <w:rPr>
          <w:sz w:val="20"/>
          <w:szCs w:val="20"/>
          <w:color w:val="auto"/>
        </w:rPr>
      </w:pPr>
    </w:p>
    <w:p>
      <w:pPr>
        <w:ind w:right="100"/>
        <w:spacing w:after="0" w:line="192" w:lineRule="auto"/>
        <w:rPr>
          <w:sz w:val="20"/>
          <w:szCs w:val="20"/>
          <w:color w:val="auto"/>
        </w:rPr>
      </w:pPr>
      <w:r>
        <w:rPr>
          <w:rFonts w:ascii="Times New Roman" w:cs="Times New Roman" w:eastAsia="Times New Roman" w:hAnsi="Times New Roman"/>
          <w:sz w:val="19"/>
          <w:szCs w:val="19"/>
          <w:color w:val="auto"/>
        </w:rPr>
        <w:t>executive offices of the Corporation not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the first anniversary of the preceding year’s annual meeting of the stockholders of the Corporation;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the</w:t>
      </w:r>
    </w:p>
    <w:p>
      <w:pPr>
        <w:spacing w:after="0" w:line="213" w:lineRule="auto"/>
        <w:rPr>
          <w:sz w:val="20"/>
          <w:szCs w:val="20"/>
          <w:color w:val="auto"/>
        </w:rPr>
      </w:pPr>
      <w:r>
        <w:rPr>
          <w:rFonts w:ascii="Times New Roman" w:cs="Times New Roman" w:eastAsia="Times New Roman" w:hAnsi="Times New Roman"/>
          <w:sz w:val="20"/>
          <w:szCs w:val="20"/>
          <w:color w:val="auto"/>
        </w:rPr>
        <w:t>event that the date of such meeting is advanced more than 30 days prior to, or delayed by more than 70 days after, the anniversary of the</w:t>
      </w:r>
    </w:p>
    <w:p>
      <w:pPr>
        <w:ind w:right="200"/>
        <w:spacing w:after="0" w:line="187" w:lineRule="auto"/>
        <w:rPr>
          <w:sz w:val="20"/>
          <w:szCs w:val="20"/>
          <w:color w:val="auto"/>
        </w:rPr>
      </w:pPr>
      <w:r>
        <w:rPr>
          <w:rFonts w:ascii="Times New Roman" w:cs="Times New Roman" w:eastAsia="Times New Roman" w:hAnsi="Times New Roman"/>
          <w:sz w:val="19"/>
          <w:szCs w:val="19"/>
          <w:color w:val="auto"/>
        </w:rPr>
        <w:t>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such meeting and not later than the close of business on the later of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w:t>
      </w:r>
    </w:p>
    <w:p>
      <w:pPr>
        <w:spacing w:after="0" w:line="181" w:lineRule="auto"/>
        <w:rPr>
          <w:sz w:val="20"/>
          <w:szCs w:val="20"/>
          <w:color w:val="auto"/>
        </w:rPr>
      </w:pPr>
      <w:r>
        <w:rPr>
          <w:rFonts w:ascii="Times New Roman" w:cs="Times New Roman" w:eastAsia="Times New Roman" w:hAnsi="Times New Roman"/>
          <w:sz w:val="19"/>
          <w:szCs w:val="19"/>
          <w:color w:val="auto"/>
        </w:rPr>
        <w:t>such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day on which public announcement of the date of such meeting is first made by the Corporation.</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9"/>
          <w:szCs w:val="19"/>
          <w:color w:val="auto"/>
        </w:rPr>
        <w:t>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61" w:lineRule="exact"/>
        <w:rPr>
          <w:sz w:val="20"/>
          <w:szCs w:val="20"/>
          <w:color w:val="auto"/>
        </w:rPr>
      </w:pPr>
    </w:p>
    <w:p>
      <w:pPr>
        <w:ind w:left="740" w:hanging="408"/>
        <w:spacing w:after="0"/>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as a director:</w:t>
      </w:r>
    </w:p>
    <w:p>
      <w:pPr>
        <w:spacing w:after="0" w:line="188" w:lineRule="exact"/>
        <w:rPr>
          <w:rFonts w:ascii="Times New Roman" w:cs="Times New Roman" w:eastAsia="Times New Roman" w:hAnsi="Times New Roman"/>
          <w:sz w:val="20"/>
          <w:szCs w:val="20"/>
          <w:color w:val="auto"/>
        </w:rPr>
      </w:pPr>
    </w:p>
    <w:p>
      <w:pPr>
        <w:jc w:val="both"/>
        <w:ind w:left="980" w:right="240" w:hanging="324"/>
        <w:spacing w:after="0" w:line="226" w:lineRule="auto"/>
        <w:tabs>
          <w:tab w:leader="none" w:pos="1041"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to being named in the proxy statement as a nominee and to serving as a director if elected; and</w:t>
      </w:r>
    </w:p>
    <w:p>
      <w:pPr>
        <w:spacing w:after="0" w:line="175" w:lineRule="exact"/>
        <w:rPr>
          <w:rFonts w:ascii="Times New Roman" w:cs="Times New Roman" w:eastAsia="Times New Roman" w:hAnsi="Times New Roman"/>
          <w:sz w:val="20"/>
          <w:szCs w:val="20"/>
          <w:color w:val="auto"/>
        </w:rPr>
      </w:pPr>
    </w:p>
    <w:p>
      <w:pPr>
        <w:ind w:left="760" w:hanging="428"/>
        <w:spacing w:after="0"/>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nomination is made:</w:t>
      </w:r>
    </w:p>
    <w:p>
      <w:pPr>
        <w:spacing w:after="0" w:line="188"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188" w:lineRule="exact"/>
        <w:rPr>
          <w:rFonts w:ascii="Times New Roman" w:cs="Times New Roman" w:eastAsia="Times New Roman" w:hAnsi="Times New Roman"/>
          <w:sz w:val="20"/>
          <w:szCs w:val="20"/>
          <w:color w:val="auto"/>
        </w:rPr>
      </w:pPr>
    </w:p>
    <w:p>
      <w:pPr>
        <w:ind w:left="980" w:right="780" w:hanging="324"/>
        <w:spacing w:after="0" w:line="233" w:lineRule="auto"/>
        <w:tabs>
          <w:tab w:leader="none" w:pos="109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99" w:right="359" w:bottom="1440" w:gutter="0" w:footer="0" w:header="0"/>
        </w:sectPr>
      </w:pPr>
    </w:p>
    <w:bookmarkStart w:id="44" w:name="page45"/>
    <w:bookmarkEnd w:id="44"/>
    <w:p>
      <w:pPr>
        <w:ind w:left="980" w:right="460" w:hanging="324"/>
        <w:spacing w:after="0"/>
        <w:tabs>
          <w:tab w:leader="none" w:pos="115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nomination, and</w:t>
      </w:r>
    </w:p>
    <w:p>
      <w:pPr>
        <w:spacing w:after="0" w:line="1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regarding whether the stockholder or the beneficial owner, if any, intends or is part of a group which intends</w:t>
      </w:r>
    </w:p>
    <w:p>
      <w:pPr>
        <w:ind w:left="980" w:right="480"/>
        <w:spacing w:after="0" w:line="218" w:lineRule="auto"/>
        <w:tabs>
          <w:tab w:leader="none" w:pos="130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a proxy statement and/or form of proxy to holders of at least the percentage of the Corporation’s outstanding capital stock required to elect the nominee and/or (B) otherwise to solicit proxies from stockholders in support of such nomination.</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foregoing notice requirements shall be deemed satisfied by a stockholder if the stockholder has notified the Corporation of his or her</w:t>
      </w:r>
    </w:p>
    <w:p>
      <w:pPr>
        <w:spacing w:after="0" w:line="6"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intention to present a proposal at an annual meeting in compliance with Rule 14a-8 (or any successor thereof) promulgated under the Exchange Act and such stockholder’s proposal has been included in a proxy statement that has been prepared by the Corporation to solicit</w:t>
      </w:r>
    </w:p>
    <w:p>
      <w:pPr>
        <w:ind w:right="280"/>
        <w:spacing w:after="0" w:line="228" w:lineRule="auto"/>
        <w:rPr>
          <w:sz w:val="20"/>
          <w:szCs w:val="20"/>
          <w:color w:val="auto"/>
        </w:rPr>
      </w:pPr>
      <w:r>
        <w:rPr>
          <w:rFonts w:ascii="Times New Roman" w:cs="Times New Roman" w:eastAsia="Times New Roman" w:hAnsi="Times New Roman"/>
          <w:sz w:val="20"/>
          <w:szCs w:val="20"/>
          <w:color w:val="auto"/>
        </w:rPr>
        <w:t>proxies for such annual meeting. The Corporation may require any proposed director nominee to furnish such other information as it may reasonably require to determine the eligibility of such proposed nominee to serve as a director of the Corporation.</w:t>
      </w:r>
    </w:p>
    <w:p>
      <w:pPr>
        <w:spacing w:after="0" w:line="149" w:lineRule="exact"/>
        <w:rPr>
          <w:sz w:val="20"/>
          <w:szCs w:val="20"/>
          <w:color w:val="auto"/>
        </w:rPr>
      </w:pPr>
    </w:p>
    <w:p>
      <w:pPr>
        <w:ind w:right="240" w:firstLine="324"/>
        <w:spacing w:after="0"/>
        <w:rPr>
          <w:sz w:val="20"/>
          <w:szCs w:val="20"/>
          <w:color w:val="auto"/>
        </w:rPr>
      </w:pPr>
      <w:r>
        <w:rPr>
          <w:rFonts w:ascii="Times New Roman" w:cs="Times New Roman" w:eastAsia="Times New Roman" w:hAnsi="Times New Roman"/>
          <w:sz w:val="20"/>
          <w:szCs w:val="20"/>
          <w:color w:val="auto"/>
        </w:rPr>
        <w:t>The presiding officer of the annual meeting of the stockholders of the Corporation shall have the authority to determine and declare to such meeting that a nomination not preceded by notification made in accordance with the foregoing procedure shall be disregarded.</w:t>
      </w:r>
    </w:p>
    <w:p>
      <w:pPr>
        <w:spacing w:after="0" w:line="161" w:lineRule="exact"/>
        <w:rPr>
          <w:sz w:val="20"/>
          <w:szCs w:val="20"/>
          <w:color w:val="auto"/>
        </w:rPr>
      </w:pPr>
    </w:p>
    <w:p>
      <w:pPr>
        <w:ind w:right="26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Other Stockholder Proposals</w:t>
      </w:r>
      <w:r>
        <w:rPr>
          <w:rFonts w:ascii="Times New Roman" w:cs="Times New Roman" w:eastAsia="Times New Roman" w:hAnsi="Times New Roman"/>
          <w:sz w:val="19"/>
          <w:szCs w:val="19"/>
          <w:color w:val="auto"/>
        </w:rPr>
        <w:t>. For business other than the nomination for election of directors to the Board to be properly brought before any meeting by a stockholder of the Corporation, such stockholder must have given timely notice thereof in writing to the</w:t>
      </w:r>
    </w:p>
    <w:p>
      <w:pPr>
        <w:spacing w:after="0" w:line="191" w:lineRule="auto"/>
        <w:rPr>
          <w:sz w:val="20"/>
          <w:szCs w:val="20"/>
          <w:color w:val="auto"/>
        </w:rPr>
      </w:pPr>
      <w:r>
        <w:rPr>
          <w:rFonts w:ascii="Times New Roman" w:cs="Times New Roman" w:eastAsia="Times New Roman" w:hAnsi="Times New Roman"/>
          <w:sz w:val="20"/>
          <w:szCs w:val="20"/>
          <w:color w:val="auto"/>
        </w:rPr>
        <w:t>secretary of the Corporation. To be timely, a stockholder’s notice shall be delivered to the secretary of the Corporation at the principal</w:t>
      </w:r>
    </w:p>
    <w:p>
      <w:pPr>
        <w:ind w:right="60"/>
        <w:spacing w:after="0" w:line="199" w:lineRule="auto"/>
        <w:rPr>
          <w:sz w:val="20"/>
          <w:szCs w:val="20"/>
          <w:color w:val="auto"/>
        </w:rPr>
      </w:pPr>
      <w:r>
        <w:rPr>
          <w:rFonts w:ascii="Times New Roman" w:cs="Times New Roman" w:eastAsia="Times New Roman" w:hAnsi="Times New Roman"/>
          <w:sz w:val="19"/>
          <w:szCs w:val="19"/>
          <w:color w:val="auto"/>
        </w:rPr>
        <w:t>executive offices of the Corporation not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the first anniversary of the preceding year’s annual meeting of the stockholders of the Corporation;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w:t>
      </w:r>
    </w:p>
    <w:p>
      <w:pPr>
        <w:spacing w:after="0" w:line="1" w:lineRule="exact"/>
        <w:rPr>
          <w:sz w:val="20"/>
          <w:szCs w:val="20"/>
          <w:color w:val="auto"/>
        </w:rPr>
      </w:pPr>
    </w:p>
    <w:p>
      <w:pPr>
        <w:ind w:right="160"/>
        <w:spacing w:after="0" w:line="211" w:lineRule="auto"/>
        <w:rPr>
          <w:sz w:val="20"/>
          <w:szCs w:val="20"/>
          <w:color w:val="auto"/>
        </w:rPr>
      </w:pPr>
      <w:r>
        <w:rPr>
          <w:rFonts w:ascii="Times New Roman" w:cs="Times New Roman" w:eastAsia="Times New Roman" w:hAnsi="Times New Roman"/>
          <w:sz w:val="19"/>
          <w:szCs w:val="19"/>
          <w:color w:val="auto"/>
        </w:rPr>
        <w:t>event that the date of such meeting is advanced more than 30 days prior to, or delayed by more than 70 days after, the anniversary of the preceding year’s annual meeting of the stockholders of the Corporation, a stockholder’s notice to be timely must be so delivered not earlier</w:t>
      </w:r>
    </w:p>
    <w:p>
      <w:pPr>
        <w:spacing w:after="0" w:line="185" w:lineRule="auto"/>
        <w:rPr>
          <w:sz w:val="20"/>
          <w:szCs w:val="20"/>
          <w:color w:val="auto"/>
        </w:rPr>
      </w:pPr>
      <w:r>
        <w:rPr>
          <w:rFonts w:ascii="Times New Roman" w:cs="Times New Roman" w:eastAsia="Times New Roman" w:hAnsi="Times New Roman"/>
          <w:sz w:val="18"/>
          <w:szCs w:val="18"/>
          <w:color w:val="auto"/>
        </w:rPr>
        <w:t>than the close of business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such meeting and not later than the close of business on the later of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w:t>
      </w:r>
    </w:p>
    <w:p>
      <w:pPr>
        <w:ind w:right="140"/>
        <w:spacing w:after="0" w:line="192" w:lineRule="auto"/>
        <w:rPr>
          <w:sz w:val="20"/>
          <w:szCs w:val="20"/>
          <w:color w:val="auto"/>
        </w:rPr>
      </w:pPr>
      <w:r>
        <w:rPr>
          <w:rFonts w:ascii="Times New Roman" w:cs="Times New Roman" w:eastAsia="Times New Roman" w:hAnsi="Times New Roman"/>
          <w:sz w:val="19"/>
          <w:szCs w:val="19"/>
          <w:color w:val="auto"/>
        </w:rPr>
        <w:t>such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annual meeting shall be deemed to be the third Wednesday of May of the following year. Such stockholder’s notice shall set forth:</w:t>
      </w:r>
    </w:p>
    <w:p>
      <w:pPr>
        <w:spacing w:after="0" w:line="167" w:lineRule="exact"/>
        <w:rPr>
          <w:sz w:val="20"/>
          <w:szCs w:val="20"/>
          <w:color w:val="auto"/>
        </w:rPr>
      </w:pPr>
    </w:p>
    <w:p>
      <w:pPr>
        <w:ind w:left="740" w:hanging="408"/>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business that the stockholder proposes to bring before the meeting:</w:t>
      </w:r>
    </w:p>
    <w:p>
      <w:pPr>
        <w:spacing w:after="0" w:line="17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meeting,</w:t>
      </w:r>
    </w:p>
    <w:p>
      <w:pPr>
        <w:spacing w:after="0" w:line="188" w:lineRule="exact"/>
        <w:rPr>
          <w:rFonts w:ascii="Times New Roman" w:cs="Times New Roman" w:eastAsia="Times New Roman" w:hAnsi="Times New Roman"/>
          <w:sz w:val="20"/>
          <w:szCs w:val="20"/>
          <w:color w:val="auto"/>
        </w:rPr>
      </w:pPr>
    </w:p>
    <w:p>
      <w:pPr>
        <w:ind w:left="980" w:right="120" w:hanging="324"/>
        <w:spacing w:after="0"/>
        <w:tabs>
          <w:tab w:leader="none" w:pos="10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in the event that such business includes a proposal to amend these Bylaws, the language of the proposed amendment), and</w:t>
      </w:r>
    </w:p>
    <w:p>
      <w:pPr>
        <w:spacing w:after="0" w:line="147"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meeting; and</w:t>
      </w:r>
    </w:p>
    <w:p>
      <w:pPr>
        <w:spacing w:after="0" w:line="188" w:lineRule="exact"/>
        <w:rPr>
          <w:rFonts w:ascii="Times New Roman" w:cs="Times New Roman" w:eastAsia="Times New Roman" w:hAnsi="Times New Roman"/>
          <w:sz w:val="20"/>
          <w:szCs w:val="20"/>
          <w:color w:val="auto"/>
        </w:rPr>
      </w:pPr>
    </w:p>
    <w:p>
      <w:pPr>
        <w:ind w:left="760" w:hanging="428"/>
        <w:spacing w:after="0"/>
        <w:tabs>
          <w:tab w:leader="none" w:pos="7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proposal is made:</w:t>
      </w:r>
    </w:p>
    <w:p>
      <w:pPr>
        <w:spacing w:after="0" w:line="188"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175" w:lineRule="exact"/>
        <w:rPr>
          <w:rFonts w:ascii="Times New Roman" w:cs="Times New Roman" w:eastAsia="Times New Roman" w:hAnsi="Times New Roman"/>
          <w:sz w:val="20"/>
          <w:szCs w:val="20"/>
          <w:color w:val="auto"/>
        </w:rPr>
      </w:pPr>
    </w:p>
    <w:p>
      <w:pPr>
        <w:ind w:left="980" w:right="740" w:hanging="324"/>
        <w:spacing w:after="0"/>
        <w:tabs>
          <w:tab w:leader="none" w:pos="10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80"/>
          </w:cols>
          <w:pgMar w:left="320" w:top="1399" w:right="399" w:bottom="1440" w:gutter="0" w:footer="0" w:header="0"/>
        </w:sectPr>
      </w:pPr>
    </w:p>
    <w:bookmarkStart w:id="45" w:name="page46"/>
    <w:bookmarkEnd w:id="45"/>
    <w:p>
      <w:pPr>
        <w:ind w:left="980" w:right="400" w:hanging="324"/>
        <w:spacing w:after="0"/>
        <w:tabs>
          <w:tab w:leader="none" w:pos="115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and the beneficial owner, if any, on whose behalf the proposal is made as to each matter such stockholder proposes to bring before such meeting,</w:t>
      </w:r>
    </w:p>
    <w:p>
      <w:pPr>
        <w:spacing w:after="0" w:line="147" w:lineRule="exact"/>
        <w:rPr>
          <w:rFonts w:ascii="Times New Roman" w:cs="Times New Roman" w:eastAsia="Times New Roman" w:hAnsi="Times New Roman"/>
          <w:sz w:val="20"/>
          <w:szCs w:val="20"/>
          <w:color w:val="auto"/>
        </w:rPr>
      </w:pPr>
    </w:p>
    <w:p>
      <w:pPr>
        <w:ind w:left="980" w:right="540" w:hanging="324"/>
        <w:spacing w:after="0"/>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such business, and</w:t>
      </w:r>
    </w:p>
    <w:p>
      <w:pPr>
        <w:spacing w:after="0" w:line="14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regarding whether the stockholder or the beneficial owner, if any, intends or is part of a group which intends</w:t>
      </w:r>
    </w:p>
    <w:p>
      <w:pPr>
        <w:ind w:left="1300" w:hanging="320"/>
        <w:spacing w:after="0" w:line="211" w:lineRule="auto"/>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a proxy statement and/or form of proxy to holders of at least the percentage of the Corporation’s outstanding</w:t>
      </w:r>
    </w:p>
    <w:p>
      <w:pPr>
        <w:ind w:left="980" w:right="340"/>
        <w:spacing w:after="0" w:line="228" w:lineRule="auto"/>
        <w:rPr>
          <w:sz w:val="20"/>
          <w:szCs w:val="20"/>
          <w:color w:val="auto"/>
        </w:rPr>
      </w:pPr>
      <w:r>
        <w:rPr>
          <w:rFonts w:ascii="Times New Roman" w:cs="Times New Roman" w:eastAsia="Times New Roman" w:hAnsi="Times New Roman"/>
          <w:sz w:val="20"/>
          <w:szCs w:val="20"/>
          <w:color w:val="auto"/>
        </w:rPr>
        <w:t>capital stock required to approve or adopt the proposal and/or (B) otherwise to solicit proxies from stockholders in support of such proposal.</w:t>
      </w:r>
    </w:p>
    <w:p>
      <w:pPr>
        <w:spacing w:after="0" w:line="149" w:lineRule="exact"/>
        <w:rPr>
          <w:sz w:val="20"/>
          <w:szCs w:val="20"/>
          <w:color w:val="auto"/>
        </w:rPr>
      </w:pPr>
    </w:p>
    <w:p>
      <w:pPr>
        <w:ind w:right="4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Stockholder Action by Written Consent Without a Meeting</w:t>
      </w:r>
      <w:r>
        <w:rPr>
          <w:rFonts w:ascii="Times New Roman" w:cs="Times New Roman" w:eastAsia="Times New Roman" w:hAnsi="Times New Roman"/>
          <w:sz w:val="19"/>
          <w:szCs w:val="19"/>
          <w:color w:val="auto"/>
        </w:rPr>
        <w:t>. Except as provided in any preferred stock designation adopted in accordance with the Certificate of Incorporation and the DGCL (a “</w:t>
      </w:r>
      <w:r>
        <w:rPr>
          <w:rFonts w:ascii="Times New Roman" w:cs="Times New Roman" w:eastAsia="Times New Roman" w:hAnsi="Times New Roman"/>
          <w:sz w:val="19"/>
          <w:szCs w:val="19"/>
          <w:u w:val="single" w:color="auto"/>
          <w:color w:val="auto"/>
        </w:rPr>
        <w:t>Preferred Stock Designation</w:t>
      </w:r>
      <w:r>
        <w:rPr>
          <w:rFonts w:ascii="Times New Roman" w:cs="Times New Roman" w:eastAsia="Times New Roman" w:hAnsi="Times New Roman"/>
          <w:sz w:val="19"/>
          <w:szCs w:val="19"/>
          <w:color w:val="auto"/>
        </w:rPr>
        <w:t>”), after the Corporation first has a class of</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securities registered under Section 12(g) of the Exchange Act or its equivalent, any action required or permitted to be taken by the stockholders of the Corporation must be taken at a duly called annual or special meeting of the stockholders and may not be taken by consent</w:t>
      </w:r>
    </w:p>
    <w:p>
      <w:pPr>
        <w:spacing w:after="0"/>
        <w:rPr>
          <w:sz w:val="20"/>
          <w:szCs w:val="20"/>
          <w:color w:val="auto"/>
        </w:rPr>
      </w:pPr>
      <w:r>
        <w:rPr>
          <w:rFonts w:ascii="Times New Roman" w:cs="Times New Roman" w:eastAsia="Times New Roman" w:hAnsi="Times New Roman"/>
          <w:sz w:val="20"/>
          <w:szCs w:val="20"/>
          <w:color w:val="auto"/>
        </w:rPr>
        <w:t>in writing or otherwise.</w:t>
      </w:r>
    </w:p>
    <w:p>
      <w:pPr>
        <w:spacing w:after="0" w:line="167"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Conduct of Business</w:t>
      </w:r>
      <w:r>
        <w:rPr>
          <w:rFonts w:ascii="Times New Roman" w:cs="Times New Roman" w:eastAsia="Times New Roman" w:hAnsi="Times New Roman"/>
          <w:sz w:val="19"/>
          <w:szCs w:val="19"/>
          <w:color w:val="auto"/>
        </w:rPr>
        <w:t>. The chairman of each annual and special meeting of stockholders shall be the chairman of the Board or, in the absence (or inability or refusal to act) of the chairman of the Board, the chief executive officer (if he or she shall be a director) or, in</w:t>
      </w:r>
    </w:p>
    <w:p>
      <w:pPr>
        <w:spacing w:after="0" w:line="222" w:lineRule="auto"/>
        <w:rPr>
          <w:sz w:val="20"/>
          <w:szCs w:val="20"/>
          <w:color w:val="auto"/>
        </w:rPr>
      </w:pPr>
      <w:r>
        <w:rPr>
          <w:rFonts w:ascii="Times New Roman" w:cs="Times New Roman" w:eastAsia="Times New Roman" w:hAnsi="Times New Roman"/>
          <w:sz w:val="19"/>
          <w:szCs w:val="19"/>
          <w:color w:val="auto"/>
        </w:rPr>
        <w:t>the absence (or inability or refusal to act of the chief executive officer or if the chief executive officer is not a director, the president (if he or</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she shall be a director) or, in the absence (or inability or refusal to act) of the president or if the president is not a director, such other person as shall be appointed by the Board. The secretary of each annual and special meeting of stockholders shall be the secretary or, in the absence</w:t>
      </w:r>
    </w:p>
    <w:p>
      <w:pPr>
        <w:ind w:right="40"/>
        <w:spacing w:after="0" w:line="215" w:lineRule="auto"/>
        <w:rPr>
          <w:sz w:val="20"/>
          <w:szCs w:val="20"/>
          <w:color w:val="auto"/>
        </w:rPr>
      </w:pPr>
      <w:r>
        <w:rPr>
          <w:rFonts w:ascii="Times New Roman" w:cs="Times New Roman" w:eastAsia="Times New Roman" w:hAnsi="Times New Roman"/>
          <w:sz w:val="19"/>
          <w:szCs w:val="19"/>
          <w:color w:val="auto"/>
        </w:rPr>
        <w:t>(or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w:t>
      </w:r>
    </w:p>
    <w:p>
      <w:pPr>
        <w:spacing w:after="0" w:line="211" w:lineRule="auto"/>
        <w:rPr>
          <w:sz w:val="20"/>
          <w:szCs w:val="20"/>
          <w:color w:val="auto"/>
        </w:rPr>
      </w:pPr>
      <w:r>
        <w:rPr>
          <w:rFonts w:ascii="Times New Roman" w:cs="Times New Roman" w:eastAsia="Times New Roman" w:hAnsi="Times New Roman"/>
          <w:sz w:val="20"/>
          <w:szCs w:val="20"/>
          <w:color w:val="auto"/>
        </w:rPr>
        <w:t>of the meeting. The date and time of the opening and the closing of the polls for each matter upon which the stockholders will vote at a</w:t>
      </w:r>
    </w:p>
    <w:p>
      <w:pPr>
        <w:ind w:right="40"/>
        <w:spacing w:after="0" w:line="215" w:lineRule="auto"/>
        <w:rPr>
          <w:sz w:val="20"/>
          <w:szCs w:val="20"/>
          <w:color w:val="auto"/>
        </w:rPr>
      </w:pPr>
      <w:r>
        <w:rPr>
          <w:rFonts w:ascii="Times New Roman" w:cs="Times New Roman" w:eastAsia="Times New Roman" w:hAnsi="Times New Roman"/>
          <w:sz w:val="19"/>
          <w:szCs w:val="19"/>
          <w:color w:val="auto"/>
        </w:rPr>
        <w:t>meeting shall be announced at the meeting by the presiding officer of the meeting. The Board may adopt by resolution such rules and regulations for the conduct of the meeting of stockholders as it shall deem appropriate. Except to the extent inconsistent with these Bylaws or</w:t>
      </w:r>
    </w:p>
    <w:p>
      <w:pPr>
        <w:spacing w:after="0" w:line="211" w:lineRule="auto"/>
        <w:rPr>
          <w:sz w:val="20"/>
          <w:szCs w:val="20"/>
          <w:color w:val="auto"/>
        </w:rPr>
      </w:pPr>
      <w:r>
        <w:rPr>
          <w:rFonts w:ascii="Times New Roman" w:cs="Times New Roman" w:eastAsia="Times New Roman" w:hAnsi="Times New Roman"/>
          <w:sz w:val="20"/>
          <w:szCs w:val="20"/>
          <w:color w:val="auto"/>
        </w:rPr>
        <w:t>such rules and regulations as adopted by the Board, the presiding officer of the meeting of stockholders shall have the right and authority to</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convene the meeting, to prescribe such rules, regulations and procedures and to do all such acts as, in the judgment of such presiding officer, are appropriate for the proper conduct of the meeting. Such rules, regulations or procedures, whether adopted by the Board or prescribed by</w:t>
      </w:r>
    </w:p>
    <w:p>
      <w:pPr>
        <w:spacing w:after="0" w:line="222" w:lineRule="auto"/>
        <w:rPr>
          <w:sz w:val="20"/>
          <w:szCs w:val="20"/>
          <w:color w:val="auto"/>
        </w:rPr>
      </w:pPr>
      <w:r>
        <w:rPr>
          <w:rFonts w:ascii="Times New Roman" w:cs="Times New Roman" w:eastAsia="Times New Roman" w:hAnsi="Times New Roman"/>
          <w:sz w:val="19"/>
          <w:szCs w:val="19"/>
          <w:color w:val="auto"/>
        </w:rPr>
        <w:t>the presiding officer of the meeting, may include, without limitation, the following: (i) the establishment of an agenda or order of business for</w:t>
      </w:r>
    </w:p>
    <w:p>
      <w:pPr>
        <w:ind w:right="60"/>
        <w:spacing w:after="0" w:line="215" w:lineRule="auto"/>
        <w:rPr>
          <w:sz w:val="20"/>
          <w:szCs w:val="20"/>
          <w:color w:val="auto"/>
        </w:rPr>
      </w:pPr>
      <w:r>
        <w:rPr>
          <w:rFonts w:ascii="Times New Roman" w:cs="Times New Roman" w:eastAsia="Times New Roman" w:hAnsi="Times New Roman"/>
          <w:sz w:val="19"/>
          <w:szCs w:val="19"/>
          <w:color w:val="auto"/>
        </w:rPr>
        <w:t>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w:t>
      </w:r>
    </w:p>
    <w:p>
      <w:pPr>
        <w:spacing w:after="0" w:line="211" w:lineRule="auto"/>
        <w:rPr>
          <w:sz w:val="20"/>
          <w:szCs w:val="20"/>
          <w:color w:val="auto"/>
        </w:rPr>
      </w:pPr>
      <w:r>
        <w:rPr>
          <w:rFonts w:ascii="Times New Roman" w:cs="Times New Roman" w:eastAsia="Times New Roman" w:hAnsi="Times New Roman"/>
          <w:sz w:val="20"/>
          <w:szCs w:val="20"/>
          <w:color w:val="auto"/>
        </w:rPr>
        <w:t>as the presiding officer of the meeting shall determine; (iv) restrictions on entry to the meeting after the time fixed for the commencement</w:t>
      </w:r>
    </w:p>
    <w:p>
      <w:pPr>
        <w:ind w:right="120"/>
        <w:spacing w:after="0" w:line="215" w:lineRule="auto"/>
        <w:rPr>
          <w:sz w:val="20"/>
          <w:szCs w:val="20"/>
          <w:color w:val="auto"/>
        </w:rPr>
      </w:pPr>
      <w:r>
        <w:rPr>
          <w:rFonts w:ascii="Times New Roman" w:cs="Times New Roman" w:eastAsia="Times New Roman" w:hAnsi="Times New Roman"/>
          <w:sz w:val="19"/>
          <w:szCs w:val="19"/>
          <w:color w:val="auto"/>
        </w:rPr>
        <w:t>thereof; and (v) limitations on the time allotted to questions or comments by participants. The presiding officer of the meeting, in addition to making any other determinations that may be appropriate to the conduct of the meeting, shall, if the facts warrant, determine and declare to</w:t>
      </w:r>
    </w:p>
    <w:p>
      <w:pPr>
        <w:spacing w:after="0" w:line="211" w:lineRule="auto"/>
        <w:rPr>
          <w:sz w:val="20"/>
          <w:szCs w:val="20"/>
          <w:color w:val="auto"/>
        </w:rPr>
      </w:pPr>
      <w:r>
        <w:rPr>
          <w:rFonts w:ascii="Times New Roman" w:cs="Times New Roman" w:eastAsia="Times New Roman" w:hAnsi="Times New Roman"/>
          <w:sz w:val="20"/>
          <w:szCs w:val="20"/>
          <w:color w:val="auto"/>
        </w:rPr>
        <w:t>the meeting that a matter or business was not properly brought before the meeting and if such presiding officer should so determine, such</w:t>
      </w:r>
    </w:p>
    <w:p>
      <w:pPr>
        <w:ind w:right="160"/>
        <w:spacing w:after="0" w:line="215" w:lineRule="auto"/>
        <w:rPr>
          <w:sz w:val="20"/>
          <w:szCs w:val="20"/>
          <w:color w:val="auto"/>
        </w:rPr>
      </w:pPr>
      <w:r>
        <w:rPr>
          <w:rFonts w:ascii="Times New Roman" w:cs="Times New Roman" w:eastAsia="Times New Roman" w:hAnsi="Times New Roman"/>
          <w:sz w:val="19"/>
          <w:szCs w:val="19"/>
          <w:color w:val="auto"/>
        </w:rPr>
        <w:t>presiding officer shall so declare to the meeting, and any such matter or business not properly brought before the meeting shall not be transacted or considered. Unless and to the extent determined by the Board or the presiding officer of the meeting, meetings of stockholders</w:t>
      </w:r>
    </w:p>
    <w:p>
      <w:pPr>
        <w:spacing w:after="0"/>
        <w:rPr>
          <w:sz w:val="20"/>
          <w:szCs w:val="20"/>
          <w:color w:val="auto"/>
        </w:rPr>
      </w:pPr>
      <w:r>
        <w:rPr>
          <w:rFonts w:ascii="Times New Roman" w:cs="Times New Roman" w:eastAsia="Times New Roman" w:hAnsi="Times New Roman"/>
          <w:sz w:val="20"/>
          <w:szCs w:val="20"/>
          <w:color w:val="auto"/>
        </w:rPr>
        <w:t>shall not be required to be held in accordance with the rules of parliamentary procedure.</w:t>
      </w:r>
    </w:p>
    <w:p>
      <w:pPr>
        <w:spacing w:after="0" w:line="167" w:lineRule="exact"/>
        <w:rPr>
          <w:sz w:val="20"/>
          <w:szCs w:val="20"/>
          <w:color w:val="auto"/>
        </w:rPr>
      </w:pPr>
    </w:p>
    <w:p>
      <w:pPr>
        <w:ind w:right="80" w:firstLine="324"/>
        <w:spacing w:after="0" w:line="215"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Inspector of Elections</w:t>
      </w:r>
      <w:r>
        <w:rPr>
          <w:rFonts w:ascii="Times New Roman" w:cs="Times New Roman" w:eastAsia="Times New Roman" w:hAnsi="Times New Roman"/>
          <w:sz w:val="20"/>
          <w:szCs w:val="20"/>
          <w:color w:val="auto"/>
        </w:rPr>
        <w:t>. The Corporation shall, in advance of any meeting of stockholders, appoint one or more inspectors of election, who may be employees of the Corporation or otherwise serve the Corporation in other capacities, to act at the meeting or any</w:t>
      </w:r>
    </w:p>
    <w:p>
      <w:pPr>
        <w:spacing w:after="0" w:line="1" w:lineRule="exact"/>
        <w:rPr>
          <w:sz w:val="20"/>
          <w:szCs w:val="20"/>
          <w:color w:val="auto"/>
        </w:rPr>
      </w:pPr>
    </w:p>
    <w:p>
      <w:pPr>
        <w:ind w:right="460"/>
        <w:spacing w:after="0" w:line="228" w:lineRule="auto"/>
        <w:rPr>
          <w:sz w:val="20"/>
          <w:szCs w:val="20"/>
          <w:color w:val="auto"/>
        </w:rPr>
      </w:pPr>
      <w:r>
        <w:rPr>
          <w:rFonts w:ascii="Times New Roman" w:cs="Times New Roman" w:eastAsia="Times New Roman" w:hAnsi="Times New Roman"/>
          <w:sz w:val="20"/>
          <w:szCs w:val="20"/>
          <w:color w:val="auto"/>
        </w:rPr>
        <w:t>adjournment thereof and to make a written report thereof. The Corporation may designate one or more persons as alternate inspectors to replace any inspector who fails to act. In the event that no inspector so appointed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designated is able to act at a meeting of stockholders, the person presiding at the meeting shall appoint one or more inspectors to act at the</w:t>
      </w:r>
    </w:p>
    <w:p>
      <w:pPr>
        <w:ind w:right="100"/>
        <w:spacing w:after="0" w:line="215" w:lineRule="auto"/>
        <w:rPr>
          <w:sz w:val="20"/>
          <w:szCs w:val="20"/>
          <w:color w:val="auto"/>
        </w:rPr>
      </w:pPr>
      <w:r>
        <w:rPr>
          <w:rFonts w:ascii="Times New Roman" w:cs="Times New Roman" w:eastAsia="Times New Roman" w:hAnsi="Times New Roman"/>
          <w:sz w:val="19"/>
          <w:szCs w:val="19"/>
          <w:color w:val="auto"/>
        </w:rPr>
        <w:t>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w:t>
      </w:r>
    </w:p>
    <w:p>
      <w:pPr>
        <w:ind w:firstLine="8"/>
        <w:spacing w:after="0" w:line="212" w:lineRule="auto"/>
        <w:tabs>
          <w:tab w:leader="none" w:pos="2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jc w:val="center"/>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67"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the Board, except as otherwise provided in the DGCL or the Certificate of Incorporation.</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Number, Tenure and Qualifications</w:t>
      </w:r>
      <w:r>
        <w:rPr>
          <w:rFonts w:ascii="Times New Roman" w:cs="Times New Roman" w:eastAsia="Times New Roman" w:hAnsi="Times New Roman"/>
          <w:sz w:val="19"/>
          <w:szCs w:val="19"/>
          <w:color w:val="auto"/>
        </w:rPr>
        <w:t>. The number of directors of the Corporation, other than those who may be elected by the</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holders of one or more series of preferred stock of the Corporation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voting separately by class or series, shall initially be nine (9). Each director of the Corporation shall hold office until his or her successor shall be qualified and elected, subject, however, to such</w:t>
      </w:r>
    </w:p>
    <w:p>
      <w:pPr>
        <w:ind w:right="120"/>
        <w:spacing w:after="0" w:line="215" w:lineRule="auto"/>
        <w:rPr>
          <w:sz w:val="20"/>
          <w:szCs w:val="20"/>
          <w:color w:val="auto"/>
        </w:rPr>
      </w:pPr>
      <w:r>
        <w:rPr>
          <w:rFonts w:ascii="Times New Roman" w:cs="Times New Roman" w:eastAsia="Times New Roman" w:hAnsi="Times New Roman"/>
          <w:sz w:val="19"/>
          <w:szCs w:val="19"/>
          <w:color w:val="auto"/>
        </w:rPr>
        <w:t>director’s earlier death, resignation, retirement or removal. Any newly created directorship or vacancy shall be filled as set forth in the Certificate of Incorporation. Directors of the Corporation need not be residents of Delaware or stockholders of the Corporation. No decrease</w:t>
      </w:r>
    </w:p>
    <w:p>
      <w:pPr>
        <w:jc w:val="both"/>
        <w:ind w:right="700"/>
        <w:spacing w:after="0" w:line="242" w:lineRule="auto"/>
        <w:rPr>
          <w:sz w:val="20"/>
          <w:szCs w:val="20"/>
          <w:color w:val="auto"/>
        </w:rPr>
      </w:pPr>
      <w:r>
        <w:rPr>
          <w:rFonts w:ascii="Times New Roman" w:cs="Times New Roman" w:eastAsia="Times New Roman" w:hAnsi="Times New Roman"/>
          <w:sz w:val="19"/>
          <w:szCs w:val="19"/>
          <w:color w:val="auto"/>
        </w:rPr>
        <w:t>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45" w:lineRule="exact"/>
        <w:rPr>
          <w:sz w:val="20"/>
          <w:szCs w:val="20"/>
          <w:color w:val="auto"/>
        </w:rPr>
      </w:pPr>
    </w:p>
    <w:p>
      <w:pPr>
        <w:ind w:right="40" w:firstLine="324"/>
        <w:spacing w:after="0" w:line="230"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p>
    <w:p>
      <w:pPr>
        <w:spacing w:after="0" w:line="149" w:lineRule="exact"/>
        <w:rPr>
          <w:sz w:val="20"/>
          <w:szCs w:val="20"/>
          <w:color w:val="auto"/>
        </w:rPr>
      </w:pPr>
    </w:p>
    <w:p>
      <w:pPr>
        <w:ind w:right="620" w:firstLine="324"/>
        <w:spacing w:after="0"/>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may be held at such time and at such place, if any (either within or outside Delaware), as shall from time to time be determined by the Board.</w:t>
      </w:r>
    </w:p>
    <w:p>
      <w:pPr>
        <w:spacing w:after="0" w:line="161" w:lineRule="exact"/>
        <w:rPr>
          <w:sz w:val="20"/>
          <w:szCs w:val="20"/>
          <w:color w:val="auto"/>
        </w:rPr>
      </w:pPr>
    </w:p>
    <w:p>
      <w:pPr>
        <w:ind w:right="6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Board for any purpose or purposes may be called at any time by the chairman of the Board, by the chief executive officer or by a majority of the directors of the Corporation. Any such special meeting may take place at any</w:t>
      </w:r>
    </w:p>
    <w:p>
      <w:pPr>
        <w:spacing w:after="0"/>
        <w:rPr>
          <w:sz w:val="20"/>
          <w:szCs w:val="20"/>
          <w:color w:val="auto"/>
        </w:rPr>
      </w:pPr>
      <w:r>
        <w:rPr>
          <w:rFonts w:ascii="Times New Roman" w:cs="Times New Roman" w:eastAsia="Times New Roman" w:hAnsi="Times New Roman"/>
          <w:sz w:val="20"/>
          <w:szCs w:val="20"/>
          <w:color w:val="auto"/>
        </w:rPr>
        <w:t>place either within or outside Delaware.</w:t>
      </w:r>
    </w:p>
    <w:p>
      <w:pPr>
        <w:spacing w:after="0" w:line="167" w:lineRule="exact"/>
        <w:rPr>
          <w:sz w:val="20"/>
          <w:szCs w:val="20"/>
          <w:color w:val="auto"/>
        </w:rPr>
      </w:pPr>
    </w:p>
    <w:p>
      <w:pPr>
        <w:ind w:right="2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Meetings by Telephone</w:t>
      </w:r>
      <w:r>
        <w:rPr>
          <w:rFonts w:ascii="Times New Roman" w:cs="Times New Roman" w:eastAsia="Times New Roman" w:hAnsi="Times New Roman"/>
          <w:sz w:val="19"/>
          <w:szCs w:val="19"/>
          <w:color w:val="auto"/>
        </w:rPr>
        <w:t>. Unless otherwise restricted by the Certificate of Incorporation, the directors of the Corporation may participate in a meeting of the Board by means of conference telephone or other communications equipment by means of which all persons</w:t>
      </w:r>
    </w:p>
    <w:p>
      <w:pPr>
        <w:ind w:right="180"/>
        <w:spacing w:after="0" w:line="228" w:lineRule="auto"/>
        <w:rPr>
          <w:sz w:val="20"/>
          <w:szCs w:val="20"/>
          <w:color w:val="auto"/>
        </w:rPr>
      </w:pPr>
      <w:r>
        <w:rPr>
          <w:rFonts w:ascii="Times New Roman" w:cs="Times New Roman" w:eastAsia="Times New Roman" w:hAnsi="Times New Roman"/>
          <w:sz w:val="20"/>
          <w:szCs w:val="20"/>
          <w:color w:val="auto"/>
        </w:rPr>
        <w:t>participating in such meeting can hear each other, and such participation in such meeting in such manner shall constitute presence in person at such meeting.</w:t>
      </w:r>
    </w:p>
    <w:p>
      <w:pPr>
        <w:spacing w:after="0" w:line="149" w:lineRule="exact"/>
        <w:rPr>
          <w:sz w:val="20"/>
          <w:szCs w:val="20"/>
          <w:color w:val="auto"/>
        </w:rPr>
      </w:pPr>
    </w:p>
    <w:p>
      <w:pPr>
        <w:ind w:right="8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Notice of Meetings</w:t>
      </w:r>
      <w:r>
        <w:rPr>
          <w:rFonts w:ascii="Times New Roman" w:cs="Times New Roman" w:eastAsia="Times New Roman" w:hAnsi="Times New Roman"/>
          <w:sz w:val="19"/>
          <w:szCs w:val="19"/>
          <w:color w:val="auto"/>
        </w:rPr>
        <w:t>. Notice of each meeting of the Board (except those regular meetings for which notice is not required) stating the place, if any, day and hour of such meeting shall be given to each director of the Corporation at least two days prior thereto by the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mailing of written notice by first class, certified or registered mail, or at least one day prior thereto by personal delivery (including delivery by private courier) of written notice or by telephone, telegram, telex, cablegram, electronic transmission (including email) or other similar</w:t>
      </w:r>
    </w:p>
    <w:p>
      <w:pPr>
        <w:spacing w:after="0"/>
        <w:rPr>
          <w:sz w:val="20"/>
          <w:szCs w:val="20"/>
          <w:color w:val="auto"/>
        </w:rPr>
      </w:pPr>
      <w:r>
        <w:rPr>
          <w:rFonts w:ascii="Times New Roman" w:cs="Times New Roman" w:eastAsia="Times New Roman" w:hAnsi="Times New Roman"/>
          <w:sz w:val="20"/>
          <w:szCs w:val="20"/>
          <w:color w:val="auto"/>
        </w:rPr>
        <w:t>method, except that in the case of a meeting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color w:val="auto"/>
        </w:rPr>
        <w:t>to be held pursuant to Section 3.06 notice may be given by telephone at any time prior thereto. The method of notice need not be the same to</w:t>
      </w:r>
    </w:p>
    <w:p>
      <w:pPr>
        <w:spacing w:after="0" w:line="6" w:lineRule="exact"/>
        <w:rPr>
          <w:sz w:val="20"/>
          <w:szCs w:val="20"/>
          <w:color w:val="auto"/>
        </w:rPr>
      </w:pPr>
    </w:p>
    <w:p>
      <w:pPr>
        <w:jc w:val="both"/>
        <w:ind w:right="40"/>
        <w:spacing w:after="0" w:line="215" w:lineRule="auto"/>
        <w:rPr>
          <w:sz w:val="20"/>
          <w:szCs w:val="20"/>
          <w:color w:val="auto"/>
        </w:rPr>
      </w:pPr>
      <w:r>
        <w:rPr>
          <w:rFonts w:ascii="Times New Roman" w:cs="Times New Roman" w:eastAsia="Times New Roman" w:hAnsi="Times New Roman"/>
          <w:sz w:val="19"/>
          <w:szCs w:val="19"/>
          <w:color w:val="auto"/>
        </w:rPr>
        <w:t>each director of the Corporation. Notice shall be deemed to be given when deposited in the United States mail, with postage thereon prepaid, addressed to such director at his business or residence address, when delivered or communicated to such director or when the telegram, telex,</w:t>
      </w:r>
    </w:p>
    <w:p>
      <w:pPr>
        <w:spacing w:after="0" w:line="211" w:lineRule="auto"/>
        <w:rPr>
          <w:sz w:val="20"/>
          <w:szCs w:val="20"/>
          <w:color w:val="auto"/>
        </w:rPr>
      </w:pPr>
      <w:r>
        <w:rPr>
          <w:rFonts w:ascii="Times New Roman" w:cs="Times New Roman" w:eastAsia="Times New Roman" w:hAnsi="Times New Roman"/>
          <w:sz w:val="20"/>
          <w:szCs w:val="20"/>
          <w:color w:val="auto"/>
        </w:rPr>
        <w:t>cablegram, electronic transmission (including email) or other form of notice is personally delivered to such director or delivered to the last</w:t>
      </w:r>
    </w:p>
    <w:p>
      <w:pPr>
        <w:ind w:right="280"/>
        <w:spacing w:after="0" w:line="215" w:lineRule="auto"/>
        <w:rPr>
          <w:sz w:val="20"/>
          <w:szCs w:val="20"/>
          <w:color w:val="auto"/>
        </w:rPr>
      </w:pPr>
      <w:r>
        <w:rPr>
          <w:rFonts w:ascii="Times New Roman" w:cs="Times New Roman" w:eastAsia="Times New Roman" w:hAnsi="Times New Roman"/>
          <w:sz w:val="19"/>
          <w:szCs w:val="19"/>
          <w:color w:val="auto"/>
        </w:rPr>
        <w:t>address of such director furnished by him to the Corporation for such purpose. Notice may be waived pursuant to Section 7.02 hereof. Neither the business to be transacted at, nor the purpose of, any meeting of the Board need be specified in the notice or waiver of notice of</w:t>
      </w:r>
    </w:p>
    <w:p>
      <w:pPr>
        <w:spacing w:after="0"/>
        <w:rPr>
          <w:sz w:val="20"/>
          <w:szCs w:val="20"/>
          <w:color w:val="auto"/>
        </w:rPr>
      </w:pPr>
      <w:r>
        <w:rPr>
          <w:rFonts w:ascii="Times New Roman" w:cs="Times New Roman" w:eastAsia="Times New Roman" w:hAnsi="Times New Roman"/>
          <w:sz w:val="20"/>
          <w:szCs w:val="20"/>
          <w:color w:val="auto"/>
        </w:rPr>
        <w:t>such meeting.</w:t>
      </w:r>
    </w:p>
    <w:p>
      <w:pPr>
        <w:spacing w:after="0" w:line="167" w:lineRule="exact"/>
        <w:rPr>
          <w:sz w:val="20"/>
          <w:szCs w:val="20"/>
          <w:color w:val="auto"/>
        </w:rPr>
      </w:pPr>
    </w:p>
    <w:p>
      <w:pPr>
        <w:ind w:right="58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Quorum and Manner of Acting</w:t>
      </w:r>
      <w:r>
        <w:rPr>
          <w:rFonts w:ascii="Times New Roman" w:cs="Times New Roman" w:eastAsia="Times New Roman" w:hAnsi="Times New Roman"/>
          <w:sz w:val="19"/>
          <w:szCs w:val="19"/>
          <w:color w:val="auto"/>
        </w:rPr>
        <w:t>. Except as otherwise may be required by law, the Certificate of Incorporation or these Bylaws, a majority of the number of directors of the Corporation fixed in accordance with these Bylaws, present at the meeting, shall</w:t>
      </w:r>
    </w:p>
    <w:p>
      <w:pPr>
        <w:spacing w:after="0" w:line="222" w:lineRule="auto"/>
        <w:rPr>
          <w:sz w:val="20"/>
          <w:szCs w:val="20"/>
          <w:color w:val="auto"/>
        </w:rPr>
      </w:pPr>
      <w:r>
        <w:rPr>
          <w:rFonts w:ascii="Times New Roman" w:cs="Times New Roman" w:eastAsia="Times New Roman" w:hAnsi="Times New Roman"/>
          <w:sz w:val="19"/>
          <w:szCs w:val="19"/>
          <w:color w:val="auto"/>
        </w:rPr>
        <w:t>constitute a quorum for the transaction of business at any meeting of the Board, and the vote of a majority of the directors of the Corporation</w:t>
      </w:r>
    </w:p>
    <w:p>
      <w:pPr>
        <w:spacing w:after="0" w:line="1" w:lineRule="exact"/>
        <w:rPr>
          <w:sz w:val="20"/>
          <w:szCs w:val="20"/>
          <w:color w:val="auto"/>
        </w:rPr>
      </w:pPr>
    </w:p>
    <w:p>
      <w:pPr>
        <w:ind w:right="200"/>
        <w:spacing w:after="0" w:line="204" w:lineRule="auto"/>
        <w:rPr>
          <w:sz w:val="20"/>
          <w:szCs w:val="20"/>
          <w:color w:val="auto"/>
        </w:rPr>
      </w:pPr>
      <w:r>
        <w:rPr>
          <w:rFonts w:ascii="Times New Roman" w:cs="Times New Roman" w:eastAsia="Times New Roman" w:hAnsi="Times New Roman"/>
          <w:sz w:val="20"/>
          <w:szCs w:val="20"/>
          <w:color w:val="auto"/>
        </w:rPr>
        <w:t>present at a meeting of the Board at which a quorum is present shall be the act of the Board. If less than a quorum is present at a meeting of the Board, the directors of the Corporation present may adjourn such meeting from time to time without further notice other than</w:t>
      </w:r>
    </w:p>
    <w:p>
      <w:pPr>
        <w:spacing w:after="0" w:line="223" w:lineRule="auto"/>
        <w:rPr>
          <w:sz w:val="20"/>
          <w:szCs w:val="20"/>
          <w:color w:val="auto"/>
        </w:rPr>
      </w:pPr>
      <w:r>
        <w:rPr>
          <w:rFonts w:ascii="Times New Roman" w:cs="Times New Roman" w:eastAsia="Times New Roman" w:hAnsi="Times New Roman"/>
          <w:sz w:val="19"/>
          <w:szCs w:val="19"/>
          <w:color w:val="auto"/>
        </w:rPr>
        <w:t>announcement at such meeting, until a quorum shall be present. Subject to the terms of the Certificate of Incorporation, a meeting at which a</w:t>
      </w:r>
    </w:p>
    <w:p>
      <w:pPr>
        <w:ind w:right="140"/>
        <w:spacing w:after="0" w:line="221" w:lineRule="auto"/>
        <w:rPr>
          <w:sz w:val="20"/>
          <w:szCs w:val="20"/>
          <w:color w:val="auto"/>
        </w:rPr>
      </w:pPr>
      <w:r>
        <w:rPr>
          <w:rFonts w:ascii="Times New Roman" w:cs="Times New Roman" w:eastAsia="Times New Roman" w:hAnsi="Times New Roman"/>
          <w:sz w:val="20"/>
          <w:szCs w:val="20"/>
          <w:color w:val="auto"/>
        </w:rPr>
        <w:t>quorum is initially present may continue to transact business notwithstanding the withdrawal of directors, if any action taken is approved by at least a majority of the required quorum for that meeting.</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Action Without a Meeting</w:t>
      </w:r>
      <w:r>
        <w:rPr>
          <w:rFonts w:ascii="Times New Roman" w:cs="Times New Roman" w:eastAsia="Times New Roman" w:hAnsi="Times New Roman"/>
          <w:sz w:val="20"/>
          <w:szCs w:val="20"/>
          <w:color w:val="auto"/>
        </w:rPr>
        <w:t>. Any action required or permitted to be taken at any meeting of the Board or of any committee</w:t>
      </w:r>
    </w:p>
    <w:p>
      <w:pPr>
        <w:ind w:right="60"/>
        <w:spacing w:after="0" w:line="204" w:lineRule="auto"/>
        <w:rPr>
          <w:sz w:val="20"/>
          <w:szCs w:val="20"/>
          <w:color w:val="auto"/>
        </w:rPr>
      </w:pPr>
      <w:r>
        <w:rPr>
          <w:rFonts w:ascii="Times New Roman" w:cs="Times New Roman" w:eastAsia="Times New Roman" w:hAnsi="Times New Roman"/>
          <w:sz w:val="20"/>
          <w:szCs w:val="20"/>
          <w:color w:val="auto"/>
        </w:rPr>
        <w:t>thereof may be taken without a meeting, without prior notice and without a vote, if all members of the Board or committee thereof entitled to vote thereon, as the case may be, consent thereto in writing or by electronic transmission and the writing or writings or electronic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transmission or transmissions are filed with the minutes of the proceedings of the Board or committee thereof, as the case may be.</w:t>
      </w:r>
    </w:p>
    <w:p>
      <w:pPr>
        <w:spacing w:after="0" w:line="153"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Executive and Other Committees</w:t>
      </w:r>
      <w:r>
        <w:rPr>
          <w:rFonts w:ascii="Times New Roman" w:cs="Times New Roman" w:eastAsia="Times New Roman" w:hAnsi="Times New Roman"/>
          <w:sz w:val="19"/>
          <w:szCs w:val="19"/>
          <w:color w:val="auto"/>
        </w:rPr>
        <w:t>. The Board may designate by resolution one or more committees of the Board, each committee to consist of one or more of the directors of the Corporation. The Board may designate one or more directors as alternate members</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of any such committee, who may replace any absent or disqualified member at any meeting of such committee, and may dissolve any such committee. In the absence or disqualification of a member of a committee of the Board, the member or members present at any meeting of</w:t>
      </w:r>
    </w:p>
    <w:p>
      <w:pPr>
        <w:spacing w:after="0" w:line="211" w:lineRule="auto"/>
        <w:rPr>
          <w:sz w:val="20"/>
          <w:szCs w:val="20"/>
          <w:color w:val="auto"/>
        </w:rPr>
      </w:pPr>
      <w:r>
        <w:rPr>
          <w:rFonts w:ascii="Times New Roman" w:cs="Times New Roman" w:eastAsia="Times New Roman" w:hAnsi="Times New Roman"/>
          <w:sz w:val="20"/>
          <w:szCs w:val="20"/>
          <w:color w:val="auto"/>
        </w:rPr>
        <w:t>such committee of the Board and not disqualified from voting, whether or not such member or members constitute a quorum, may</w:t>
      </w:r>
    </w:p>
    <w:p>
      <w:pPr>
        <w:ind w:right="20"/>
        <w:spacing w:after="0" w:line="215" w:lineRule="auto"/>
        <w:rPr>
          <w:sz w:val="20"/>
          <w:szCs w:val="20"/>
          <w:color w:val="auto"/>
        </w:rPr>
      </w:pPr>
      <w:r>
        <w:rPr>
          <w:rFonts w:ascii="Times New Roman" w:cs="Times New Roman" w:eastAsia="Times New Roman" w:hAnsi="Times New Roman"/>
          <w:sz w:val="19"/>
          <w:szCs w:val="19"/>
          <w:color w:val="auto"/>
        </w:rPr>
        <w:t>unanimously appoint another member of the Board to act at the meeting in the place of any such absent or disqualified member. Except as otherwise provided in the charter of such committee or as otherwise required by the corporation governance rules and listing standards of any</w:t>
      </w:r>
    </w:p>
    <w:p>
      <w:pPr>
        <w:spacing w:after="0" w:line="222" w:lineRule="auto"/>
        <w:rPr>
          <w:sz w:val="20"/>
          <w:szCs w:val="20"/>
          <w:color w:val="auto"/>
        </w:rPr>
      </w:pPr>
      <w:r>
        <w:rPr>
          <w:rFonts w:ascii="Times New Roman" w:cs="Times New Roman" w:eastAsia="Times New Roman" w:hAnsi="Times New Roman"/>
          <w:sz w:val="19"/>
          <w:szCs w:val="19"/>
          <w:color w:val="auto"/>
        </w:rPr>
        <w:t>national securities exchange or automated quotation system upon which the Corporation’s securities are then listed, any such committee shall</w:t>
      </w:r>
    </w:p>
    <w:p>
      <w:pPr>
        <w:ind w:right="100"/>
        <w:spacing w:after="0" w:line="204" w:lineRule="auto"/>
        <w:rPr>
          <w:sz w:val="20"/>
          <w:szCs w:val="20"/>
          <w:color w:val="auto"/>
        </w:rPr>
      </w:pPr>
      <w:r>
        <w:rPr>
          <w:rFonts w:ascii="Times New Roman" w:cs="Times New Roman" w:eastAsia="Times New Roman" w:hAnsi="Times New Roman"/>
          <w:sz w:val="20"/>
          <w:szCs w:val="20"/>
          <w:color w:val="auto"/>
        </w:rPr>
        <w:t>present its findings and recommendations to the Board, as set forth in the applicable Board resolution. The Board shall delegate certain of its powers and authority to any such committee as set forth in the charters of such committee or by resolution of the Board in the Board’s</w:t>
      </w:r>
    </w:p>
    <w:p>
      <w:pPr>
        <w:spacing w:after="0" w:line="223" w:lineRule="auto"/>
        <w:rPr>
          <w:sz w:val="20"/>
          <w:szCs w:val="20"/>
          <w:color w:val="auto"/>
        </w:rPr>
      </w:pPr>
      <w:r>
        <w:rPr>
          <w:rFonts w:ascii="Times New Roman" w:cs="Times New Roman" w:eastAsia="Times New Roman" w:hAnsi="Times New Roman"/>
          <w:sz w:val="19"/>
          <w:szCs w:val="19"/>
          <w:color w:val="auto"/>
        </w:rPr>
        <w:t>discretion or as otherwise required by the corporation governance rules and listing standards of any national securities exchange or automated</w:t>
      </w:r>
    </w:p>
    <w:p>
      <w:pPr>
        <w:ind w:right="60"/>
        <w:spacing w:after="0" w:line="215" w:lineRule="auto"/>
        <w:rPr>
          <w:sz w:val="20"/>
          <w:szCs w:val="20"/>
          <w:color w:val="auto"/>
        </w:rPr>
      </w:pPr>
      <w:r>
        <w:rPr>
          <w:rFonts w:ascii="Times New Roman" w:cs="Times New Roman" w:eastAsia="Times New Roman" w:hAnsi="Times New Roman"/>
          <w:sz w:val="19"/>
          <w:szCs w:val="19"/>
          <w:color w:val="auto"/>
        </w:rPr>
        <w:t>quotation system upon which the Corporation’s securities are then listed. To the extent the Board does not establish other procedures, and subject to the immediately preceding sentence, each such committee shall be governed by the procedures set forth in Sections 3.04 (except as</w:t>
      </w:r>
    </w:p>
    <w:p>
      <w:pPr>
        <w:spacing w:after="0" w:line="211" w:lineRule="auto"/>
        <w:rPr>
          <w:sz w:val="20"/>
          <w:szCs w:val="20"/>
          <w:color w:val="auto"/>
        </w:rPr>
      </w:pPr>
      <w:r>
        <w:rPr>
          <w:rFonts w:ascii="Times New Roman" w:cs="Times New Roman" w:eastAsia="Times New Roman" w:hAnsi="Times New Roman"/>
          <w:sz w:val="20"/>
          <w:szCs w:val="20"/>
          <w:color w:val="auto"/>
        </w:rPr>
        <w:t>they relate to an annual meeting), 3.05 through 3.09, 7.01 and 7.02 as if such committee were the Board. Each such committee shall keep</w:t>
      </w:r>
    </w:p>
    <w:p>
      <w:pPr>
        <w:ind w:right="400"/>
        <w:spacing w:after="0" w:line="221" w:lineRule="auto"/>
        <w:rPr>
          <w:sz w:val="20"/>
          <w:szCs w:val="20"/>
          <w:color w:val="auto"/>
        </w:rPr>
      </w:pPr>
      <w:r>
        <w:rPr>
          <w:rFonts w:ascii="Times New Roman" w:cs="Times New Roman" w:eastAsia="Times New Roman" w:hAnsi="Times New Roman"/>
          <w:sz w:val="20"/>
          <w:szCs w:val="20"/>
          <w:color w:val="auto"/>
        </w:rPr>
        <w:t>regular minutes of its meetings, which shall be reported to the Board when required and submitted to the secretary of the Corporation for inclusion in the corporate records of the Corporation.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Unless otherwise restricted by the Certificate of Incorporation, the Board shall have the authority to fix the</w:t>
      </w:r>
    </w:p>
    <w:p>
      <w:pPr>
        <w:ind w:right="200"/>
        <w:spacing w:after="0" w:line="215" w:lineRule="auto"/>
        <w:rPr>
          <w:sz w:val="20"/>
          <w:szCs w:val="20"/>
          <w:color w:val="auto"/>
        </w:rPr>
      </w:pPr>
      <w:r>
        <w:rPr>
          <w:rFonts w:ascii="Times New Roman" w:cs="Times New Roman" w:eastAsia="Times New Roman" w:hAnsi="Times New Roman"/>
          <w:sz w:val="19"/>
          <w:szCs w:val="19"/>
          <w:color w:val="auto"/>
        </w:rPr>
        <w:t>compensation of directors of the Corporation. Such directors may be paid their expenses, if any, of attendance at each meeting of the Board and each meeting of any committee of the Board of which he or she is a member and may be paid a fixed sum for attendance at each such</w:t>
      </w:r>
    </w:p>
    <w:p>
      <w:pPr>
        <w:ind w:right="720"/>
        <w:spacing w:after="0" w:line="228" w:lineRule="auto"/>
        <w:rPr>
          <w:sz w:val="20"/>
          <w:szCs w:val="20"/>
          <w:color w:val="auto"/>
        </w:rPr>
      </w:pPr>
      <w:r>
        <w:rPr>
          <w:rFonts w:ascii="Times New Roman" w:cs="Times New Roman" w:eastAsia="Times New Roman" w:hAnsi="Times New Roman"/>
          <w:sz w:val="20"/>
          <w:szCs w:val="20"/>
          <w:color w:val="auto"/>
        </w:rPr>
        <w:t>meeting or a stated salary or both a fixed sum and a stated salary. No such payment shall preclude any such director from serving the Corporation in any other capacity and receiving compensation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9" w:right="339" w:bottom="1440" w:gutter="0" w:footer="0" w:header="0"/>
        </w:sectPr>
      </w:pPr>
    </w:p>
    <w:bookmarkStart w:id="48" w:name="page49"/>
    <w:bookmarkEnd w:id="48"/>
    <w:p>
      <w:pPr>
        <w:ind w:firstLine="324"/>
        <w:spacing w:after="0"/>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Removal of Directors; Vacancies</w:t>
      </w:r>
      <w:r>
        <w:rPr>
          <w:rFonts w:ascii="Times New Roman" w:cs="Times New Roman" w:eastAsia="Times New Roman" w:hAnsi="Times New Roman"/>
          <w:sz w:val="20"/>
          <w:szCs w:val="20"/>
          <w:color w:val="auto"/>
        </w:rPr>
        <w:t>. The removal of directors of the Corporation and the filling of vacancies on the Board shall be as provided in the Certificate of Incorporation.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jc w:val="center"/>
        <w:spacing w:after="0"/>
        <w:rPr>
          <w:sz w:val="20"/>
          <w:szCs w:val="20"/>
          <w:color w:val="auto"/>
        </w:rPr>
      </w:pPr>
      <w:r>
        <w:rPr>
          <w:rFonts w:ascii="Times New Roman" w:cs="Times New Roman" w:eastAsia="Times New Roman" w:hAnsi="Times New Roman"/>
          <w:sz w:val="20"/>
          <w:szCs w:val="20"/>
          <w:color w:val="auto"/>
        </w:rPr>
        <w:t>Officers</w:t>
      </w:r>
    </w:p>
    <w:p>
      <w:pPr>
        <w:spacing w:after="0" w:line="1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Number and Qualifications</w:t>
      </w:r>
      <w:r>
        <w:rPr>
          <w:rFonts w:ascii="Times New Roman" w:cs="Times New Roman" w:eastAsia="Times New Roman" w:hAnsi="Times New Roman"/>
          <w:sz w:val="20"/>
          <w:szCs w:val="20"/>
          <w:color w:val="auto"/>
        </w:rPr>
        <w:t>. The officers of the Corporation shall consist of a chairman of the Board, a chief executive</w:t>
      </w:r>
    </w:p>
    <w:p>
      <w:pPr>
        <w:ind w:right="200"/>
        <w:spacing w:after="0" w:line="222" w:lineRule="auto"/>
        <w:rPr>
          <w:sz w:val="20"/>
          <w:szCs w:val="20"/>
          <w:color w:val="auto"/>
        </w:rPr>
      </w:pPr>
      <w:r>
        <w:rPr>
          <w:rFonts w:ascii="Times New Roman" w:cs="Times New Roman" w:eastAsia="Times New Roman" w:hAnsi="Times New Roman"/>
          <w:sz w:val="19"/>
          <w:szCs w:val="19"/>
          <w:color w:val="auto"/>
        </w:rPr>
        <w:t>officer, a president, a chief operating officer, a chief financial officer, a secretary and such other officers, including a vice-chairman or vice-chairmen of the Board, one or more vice-presidents, a treasurer and a controller, as may from time to time be elected or appointed by the</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Board. In addition, the Board or the chief executive officer of the Corporation may elect or appoint such assistant and other subordinate officers, including assistant vice-presidents, assistant secretaries and assistant treasurers, as it or he shall deem necessary or appropriate. Any</w:t>
      </w:r>
    </w:p>
    <w:p>
      <w:pPr>
        <w:ind w:right="40"/>
        <w:spacing w:after="0" w:line="228" w:lineRule="auto"/>
        <w:rPr>
          <w:sz w:val="20"/>
          <w:szCs w:val="20"/>
          <w:color w:val="auto"/>
        </w:rPr>
      </w:pPr>
      <w:r>
        <w:rPr>
          <w:rFonts w:ascii="Times New Roman" w:cs="Times New Roman" w:eastAsia="Times New Roman" w:hAnsi="Times New Roman"/>
          <w:sz w:val="20"/>
          <w:szCs w:val="20"/>
          <w:color w:val="auto"/>
        </w:rPr>
        <w:t>number of offices of the Corporation may be held by the same person, except that no person may simultaneously hold the offices of president and secretary of the Corporation.</w:t>
      </w:r>
    </w:p>
    <w:p>
      <w:pPr>
        <w:spacing w:after="0" w:line="149" w:lineRule="exact"/>
        <w:rPr>
          <w:sz w:val="20"/>
          <w:szCs w:val="20"/>
          <w:color w:val="auto"/>
        </w:rPr>
      </w:pPr>
    </w:p>
    <w:p>
      <w:pPr>
        <w:ind w:right="6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Election and Term of Office</w:t>
      </w:r>
      <w:r>
        <w:rPr>
          <w:rFonts w:ascii="Times New Roman" w:cs="Times New Roman" w:eastAsia="Times New Roman" w:hAnsi="Times New Roman"/>
          <w:sz w:val="19"/>
          <w:szCs w:val="19"/>
          <w:color w:val="auto"/>
        </w:rPr>
        <w:t>. Except as provided in the Certificate of Incorporation and Sections 4.01 and 4.06 of these Bylaws, the officers of the Corporation shall be elected by the Board. If such election shall not be held as provided herein, such election shall</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w:t>
      </w:r>
    </w:p>
    <w:p>
      <w:pPr>
        <w:spacing w:after="0"/>
        <w:rPr>
          <w:sz w:val="20"/>
          <w:szCs w:val="20"/>
          <w:color w:val="auto"/>
        </w:rPr>
      </w:pPr>
      <w:r>
        <w:rPr>
          <w:rFonts w:ascii="Times New Roman" w:cs="Times New Roman" w:eastAsia="Times New Roman" w:hAnsi="Times New Roman"/>
          <w:sz w:val="20"/>
          <w:szCs w:val="20"/>
          <w:color w:val="auto"/>
        </w:rPr>
        <w:t>prior death, resignation, retirement or removal.</w:t>
      </w:r>
    </w:p>
    <w:p>
      <w:pPr>
        <w:spacing w:after="0" w:line="167" w:lineRule="exact"/>
        <w:rPr>
          <w:sz w:val="20"/>
          <w:szCs w:val="20"/>
          <w:color w:val="auto"/>
        </w:rPr>
      </w:pPr>
    </w:p>
    <w:p>
      <w:pPr>
        <w:ind w:right="44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4.03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Officers of the Corporation shall receive such compensation for their services as may be authorized or ratified by the Board or a compensation committee of the Board, and no such officer shall be prevented from receiving compensation by</w:t>
      </w:r>
    </w:p>
    <w:p>
      <w:pPr>
        <w:ind w:right="400"/>
        <w:spacing w:after="0" w:line="221" w:lineRule="auto"/>
        <w:rPr>
          <w:sz w:val="20"/>
          <w:szCs w:val="20"/>
          <w:color w:val="auto"/>
        </w:rPr>
      </w:pPr>
      <w:r>
        <w:rPr>
          <w:rFonts w:ascii="Times New Roman" w:cs="Times New Roman" w:eastAsia="Times New Roman" w:hAnsi="Times New Roman"/>
          <w:sz w:val="20"/>
          <w:szCs w:val="20"/>
          <w:color w:val="auto"/>
        </w:rPr>
        <w:t>reason of the fact that he or she is also a director of the Corporation. Election or appointment as an officer of the Corporation shall not of itself create a contract or other right to compensation for services performed by such officer.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officer of the Corporation may resign at any time, subject to any rights or obligations under any existing</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contracts between such officer and the Corporation, by giving notice to the Corporation in writing or by electronic transmission. Such officer’s resignation shall take effect upon receipt or, if a different time of effectiveness is specified therein, at the time stated therein. Unless</w:t>
      </w:r>
    </w:p>
    <w:p>
      <w:pPr>
        <w:spacing w:after="0"/>
        <w:rPr>
          <w:sz w:val="20"/>
          <w:szCs w:val="20"/>
          <w:color w:val="auto"/>
        </w:rPr>
      </w:pPr>
      <w:r>
        <w:rPr>
          <w:rFonts w:ascii="Times New Roman" w:cs="Times New Roman" w:eastAsia="Times New Roman" w:hAnsi="Times New Roman"/>
          <w:sz w:val="20"/>
          <w:szCs w:val="20"/>
          <w:color w:val="auto"/>
        </w:rPr>
        <w:t>otherwise specified therein, the acceptance of such resignation shall not be necessary to make it effective.</w:t>
      </w:r>
    </w:p>
    <w:p>
      <w:pPr>
        <w:spacing w:after="0" w:line="167" w:lineRule="exact"/>
        <w:rPr>
          <w:sz w:val="20"/>
          <w:szCs w:val="20"/>
          <w:color w:val="auto"/>
        </w:rPr>
      </w:pPr>
    </w:p>
    <w:p>
      <w:pPr>
        <w:ind w:right="38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4.05 </w:t>
      </w:r>
      <w:r>
        <w:rPr>
          <w:rFonts w:ascii="Times New Roman" w:cs="Times New Roman" w:eastAsia="Times New Roman" w:hAnsi="Times New Roman"/>
          <w:sz w:val="19"/>
          <w:szCs w:val="19"/>
          <w:u w:val="single" w:color="auto"/>
          <w:color w:val="auto"/>
        </w:rPr>
        <w:t>Removal</w:t>
      </w:r>
      <w:r>
        <w:rPr>
          <w:rFonts w:ascii="Times New Roman" w:cs="Times New Roman" w:eastAsia="Times New Roman" w:hAnsi="Times New Roman"/>
          <w:sz w:val="19"/>
          <w:szCs w:val="19"/>
          <w:color w:val="auto"/>
        </w:rPr>
        <w:t>. Unless otherwise provided in the Certificate of Incorporation, any officer of the Corporation may be removed with or without cause at any time by the Board, or, in the case of assistant and other subordinate officers of the Corporation, by the chief</w:t>
      </w:r>
    </w:p>
    <w:p>
      <w:pPr>
        <w:spacing w:after="0" w:line="211" w:lineRule="auto"/>
        <w:rPr>
          <w:sz w:val="20"/>
          <w:szCs w:val="20"/>
          <w:color w:val="auto"/>
        </w:rPr>
      </w:pPr>
      <w:r>
        <w:rPr>
          <w:rFonts w:ascii="Times New Roman" w:cs="Times New Roman" w:eastAsia="Times New Roman" w:hAnsi="Times New Roman"/>
          <w:sz w:val="20"/>
          <w:szCs w:val="20"/>
          <w:color w:val="auto"/>
        </w:rPr>
        <w:t>executive officer of the Corporation, whenever in its, his or her judgment, as the case may be, the best interests of the Corporation will be</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served thereby, but such removal shall be without prejudice to the contract rights, if any, of the person so removed. Election or appointment of an officer of the Corporation shall not in itself create contract rights.</w:t>
      </w:r>
    </w:p>
    <w:p>
      <w:pPr>
        <w:spacing w:after="0" w:line="162" w:lineRule="exact"/>
        <w:rPr>
          <w:sz w:val="20"/>
          <w:szCs w:val="20"/>
          <w:color w:val="auto"/>
        </w:rPr>
      </w:pPr>
    </w:p>
    <w:p>
      <w:pPr>
        <w:ind w:right="680" w:firstLine="324"/>
        <w:spacing w:after="0"/>
        <w:rPr>
          <w:sz w:val="20"/>
          <w:szCs w:val="20"/>
          <w:color w:val="auto"/>
        </w:rPr>
      </w:pPr>
      <w:r>
        <w:rPr>
          <w:rFonts w:ascii="Times New Roman" w:cs="Times New Roman" w:eastAsia="Times New Roman" w:hAnsi="Times New Roman"/>
          <w:sz w:val="20"/>
          <w:szCs w:val="20"/>
          <w:color w:val="auto"/>
        </w:rPr>
        <w:t xml:space="preserve">Section 4.06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Except as otherwise provided in the Certificate of Incorporation, a vacancy occurring in any office of the Corporation by death, resignation, retirement, removal or otherwise may be filled by the Board.</w:t>
      </w:r>
    </w:p>
    <w:p>
      <w:pPr>
        <w:spacing w:after="0" w:line="148" w:lineRule="exact"/>
        <w:rPr>
          <w:sz w:val="20"/>
          <w:szCs w:val="20"/>
          <w:color w:val="auto"/>
        </w:rPr>
      </w:pPr>
    </w:p>
    <w:p>
      <w:pPr>
        <w:ind w:right="4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4.07 </w:t>
      </w:r>
      <w:r>
        <w:rPr>
          <w:rFonts w:ascii="Times New Roman" w:cs="Times New Roman" w:eastAsia="Times New Roman" w:hAnsi="Times New Roman"/>
          <w:sz w:val="19"/>
          <w:szCs w:val="19"/>
          <w:u w:val="single" w:color="auto"/>
          <w:color w:val="auto"/>
        </w:rPr>
        <w:t>Authority and Duties</w:t>
      </w:r>
      <w:r>
        <w:rPr>
          <w:rFonts w:ascii="Times New Roman" w:cs="Times New Roman" w:eastAsia="Times New Roman" w:hAnsi="Times New Roman"/>
          <w:sz w:val="19"/>
          <w:szCs w:val="19"/>
          <w:color w:val="auto"/>
        </w:rPr>
        <w:t>. The officers of the Corporation shall have the authority and shall exercise the powers and perform the duties specified below and as may be additionally specified by the chief executive officer of the Corporation, the Board or these Bylaws (and</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in all cases where the duties of any officer of the Corporation are not prescribed by these Bylaws or the Board, such officer shall follow the orders and instructions of the chief executive officer of the Corporation), except that in any event each such officer shall exercise such</w:t>
      </w:r>
    </w:p>
    <w:p>
      <w:pPr>
        <w:spacing w:after="0"/>
        <w:rPr>
          <w:sz w:val="20"/>
          <w:szCs w:val="20"/>
          <w:color w:val="auto"/>
        </w:rPr>
      </w:pPr>
      <w:r>
        <w:rPr>
          <w:rFonts w:ascii="Times New Roman" w:cs="Times New Roman" w:eastAsia="Times New Roman" w:hAnsi="Times New Roman"/>
          <w:sz w:val="20"/>
          <w:szCs w:val="20"/>
          <w:color w:val="auto"/>
        </w:rPr>
        <w:t>powers and perform such duties as may be required by law:</w:t>
      </w:r>
    </w:p>
    <w:p>
      <w:pPr>
        <w:spacing w:after="0" w:line="167" w:lineRule="exact"/>
        <w:rPr>
          <w:sz w:val="20"/>
          <w:szCs w:val="20"/>
          <w:color w:val="auto"/>
        </w:rPr>
      </w:pPr>
    </w:p>
    <w:p>
      <w:pPr>
        <w:ind w:right="660" w:firstLine="332"/>
        <w:spacing w:after="0" w:line="233" w:lineRule="auto"/>
        <w:tabs>
          <w:tab w:leader="none" w:pos="7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The chairman of the Board of the Corporation, who shall be elected from among the directors of the Corporation, shall preside, when present, at all meetings of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stockholders and the Board and perform such other duties as may be assigned to him or her from time to time by the Board.</w:t>
      </w:r>
    </w:p>
    <w:p>
      <w:pPr>
        <w:spacing w:after="0" w:line="170" w:lineRule="exact"/>
        <w:rPr>
          <w:sz w:val="20"/>
          <w:szCs w:val="20"/>
          <w:color w:val="auto"/>
        </w:rPr>
      </w:pPr>
    </w:p>
    <w:p>
      <w:pPr>
        <w:ind w:left="760" w:hanging="428"/>
        <w:spacing w:after="0"/>
        <w:tabs>
          <w:tab w:leader="none" w:pos="7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Executive Officer</w:t>
      </w:r>
      <w:r>
        <w:rPr>
          <w:rFonts w:ascii="Times New Roman" w:cs="Times New Roman" w:eastAsia="Times New Roman" w:hAnsi="Times New Roman"/>
          <w:sz w:val="20"/>
          <w:szCs w:val="20"/>
          <w:color w:val="auto"/>
        </w:rPr>
        <w:t>. The chief executive officer of the Corporation shall, subject to the direction and supervision of the Board,</w:t>
      </w:r>
    </w:p>
    <w:p>
      <w:pPr>
        <w:ind w:left="240" w:hanging="232"/>
        <w:spacing w:after="0" w:line="211" w:lineRule="auto"/>
        <w:tabs>
          <w:tab w:leader="none" w:pos="2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general and active control of the affairs of the Corporation and general supervision of its officers, agents and employees; (ii) in the</w:t>
      </w:r>
    </w:p>
    <w:p>
      <w:pPr>
        <w:spacing w:after="0" w:line="211" w:lineRule="auto"/>
        <w:rPr>
          <w:sz w:val="20"/>
          <w:szCs w:val="20"/>
          <w:color w:val="auto"/>
        </w:rPr>
      </w:pPr>
      <w:r>
        <w:rPr>
          <w:rFonts w:ascii="Times New Roman" w:cs="Times New Roman" w:eastAsia="Times New Roman" w:hAnsi="Times New Roman"/>
          <w:sz w:val="20"/>
          <w:szCs w:val="20"/>
          <w:color w:val="auto"/>
        </w:rPr>
        <w:t>absence of the chairman of the Board of the Corporation, preside, when present, at all meetings of the Corporation’s stockholders and the</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Board; (iii) see that all orders and resolutions of the Board are carried into effect; and (iv) perform all other duties incident to the office of chief executive officer and as from time to time may be assigned to him or her by the Board.</w:t>
      </w:r>
    </w:p>
    <w:p>
      <w:pPr>
        <w:spacing w:after="0" w:line="162" w:lineRule="exact"/>
        <w:rPr>
          <w:sz w:val="20"/>
          <w:szCs w:val="20"/>
          <w:color w:val="auto"/>
        </w:rPr>
      </w:pPr>
    </w:p>
    <w:p>
      <w:pPr>
        <w:ind w:firstLine="332"/>
        <w:spacing w:after="0" w:line="220" w:lineRule="auto"/>
        <w:tabs>
          <w:tab w:leader="none" w:pos="74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p>
    <w:p>
      <w:pPr>
        <w:spacing w:after="0" w:line="147" w:lineRule="exact"/>
        <w:rPr>
          <w:rFonts w:ascii="Times New Roman" w:cs="Times New Roman" w:eastAsia="Times New Roman" w:hAnsi="Times New Roman"/>
          <w:sz w:val="20"/>
          <w:szCs w:val="20"/>
          <w:color w:val="auto"/>
        </w:rPr>
      </w:pPr>
    </w:p>
    <w:p>
      <w:pPr>
        <w:ind w:right="140" w:firstLine="332"/>
        <w:spacing w:after="0" w:line="218" w:lineRule="auto"/>
        <w:tabs>
          <w:tab w:leader="none" w:pos="75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Operating Officer</w:t>
      </w:r>
      <w:r>
        <w:rPr>
          <w:rFonts w:ascii="Times New Roman" w:cs="Times New Roman" w:eastAsia="Times New Roman" w:hAnsi="Times New Roman"/>
          <w:sz w:val="20"/>
          <w:szCs w:val="20"/>
          <w:color w:val="auto"/>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p>
    <w:p>
      <w:pPr>
        <w:spacing w:after="0" w:line="150" w:lineRule="exact"/>
        <w:rPr>
          <w:rFonts w:ascii="Times New Roman" w:cs="Times New Roman" w:eastAsia="Times New Roman" w:hAnsi="Times New Roman"/>
          <w:sz w:val="20"/>
          <w:szCs w:val="20"/>
          <w:color w:val="auto"/>
        </w:rPr>
      </w:pPr>
    </w:p>
    <w:p>
      <w:pPr>
        <w:ind w:firstLine="332"/>
        <w:spacing w:after="0" w:line="221" w:lineRule="auto"/>
        <w:tabs>
          <w:tab w:leader="none" w:pos="74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w:t>
      </w:r>
    </w:p>
    <w:p>
      <w:pPr>
        <w:spacing w:after="0" w:line="201" w:lineRule="auto"/>
        <w:rPr>
          <w:sz w:val="20"/>
          <w:szCs w:val="20"/>
          <w:color w:val="auto"/>
        </w:rPr>
      </w:pPr>
      <w:r>
        <w:rPr>
          <w:rFonts w:ascii="Times New Roman" w:cs="Times New Roman" w:eastAsia="Times New Roman" w:hAnsi="Times New Roman"/>
          <w:sz w:val="20"/>
          <w:szCs w:val="20"/>
          <w:color w:val="auto"/>
        </w:rPr>
        <w:t>of the Corporation and the Board statements of account showing the financial position of the Corporation and the results of its operations;</w:t>
      </w:r>
    </w:p>
    <w:p>
      <w:pPr>
        <w:spacing w:after="0" w:line="1" w:lineRule="exact"/>
        <w:rPr>
          <w:sz w:val="20"/>
          <w:szCs w:val="20"/>
          <w:color w:val="auto"/>
        </w:rPr>
      </w:pPr>
    </w:p>
    <w:p>
      <w:pPr>
        <w:jc w:val="both"/>
        <w:ind w:right="140" w:firstLine="8"/>
        <w:spacing w:after="0" w:line="215" w:lineRule="auto"/>
        <w:tabs>
          <w:tab w:leader="none" w:pos="33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p>
    <w:p>
      <w:pPr>
        <w:spacing w:after="0" w:line="162" w:lineRule="exact"/>
        <w:rPr>
          <w:rFonts w:ascii="Times New Roman" w:cs="Times New Roman" w:eastAsia="Times New Roman" w:hAnsi="Times New Roman"/>
          <w:sz w:val="20"/>
          <w:szCs w:val="20"/>
          <w:color w:val="auto"/>
        </w:rPr>
      </w:pPr>
    </w:p>
    <w:p>
      <w:pPr>
        <w:ind w:right="140" w:firstLine="332"/>
        <w:spacing w:after="0" w:line="222" w:lineRule="auto"/>
        <w:tabs>
          <w:tab w:leader="none" w:pos="7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Vice-Presidents</w:t>
      </w:r>
      <w:r>
        <w:rPr>
          <w:rFonts w:ascii="Times New Roman" w:cs="Times New Roman" w:eastAsia="Times New Roman" w:hAnsi="Times New Roman"/>
          <w:sz w:val="20"/>
          <w:szCs w:val="20"/>
          <w:color w:val="auto"/>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p>
    <w:p>
      <w:pPr>
        <w:spacing w:after="0" w:line="148" w:lineRule="exact"/>
        <w:rPr>
          <w:rFonts w:ascii="Times New Roman" w:cs="Times New Roman" w:eastAsia="Times New Roman" w:hAnsi="Times New Roman"/>
          <w:sz w:val="20"/>
          <w:szCs w:val="20"/>
          <w:color w:val="auto"/>
        </w:rPr>
      </w:pPr>
    </w:p>
    <w:p>
      <w:pPr>
        <w:ind w:firstLine="332"/>
        <w:spacing w:after="0" w:line="220" w:lineRule="auto"/>
        <w:tabs>
          <w:tab w:leader="none" w:pos="75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w:t>
      </w:r>
      <w:r>
        <w:rPr>
          <w:rFonts w:ascii="Times New Roman" w:cs="Times New Roman" w:eastAsia="Times New Roman" w:hAnsi="Times New Roman"/>
          <w:sz w:val="20"/>
          <w:szCs w:val="20"/>
          <w:color w:val="auto"/>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shall be kept at the office of the Corporation’s transfer agent or registrar; (v) have general charge of the stock books of the Corporation,</w:t>
      </w:r>
    </w:p>
    <w:p>
      <w:pPr>
        <w:ind w:right="160"/>
        <w:spacing w:after="0" w:line="215" w:lineRule="auto"/>
        <w:rPr>
          <w:sz w:val="20"/>
          <w:szCs w:val="20"/>
          <w:color w:val="auto"/>
        </w:rPr>
      </w:pPr>
      <w:r>
        <w:rPr>
          <w:rFonts w:ascii="Times New Roman" w:cs="Times New Roman" w:eastAsia="Times New Roman" w:hAnsi="Times New Roman"/>
          <w:sz w:val="19"/>
          <w:szCs w:val="19"/>
          <w:color w:val="auto"/>
        </w:rPr>
        <w:t>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w:t>
      </w:r>
    </w:p>
    <w:p>
      <w:pPr>
        <w:spacing w:after="0"/>
        <w:rPr>
          <w:sz w:val="20"/>
          <w:szCs w:val="20"/>
          <w:color w:val="auto"/>
        </w:rPr>
      </w:pPr>
      <w:r>
        <w:rPr>
          <w:rFonts w:ascii="Times New Roman" w:cs="Times New Roman" w:eastAsia="Times New Roman" w:hAnsi="Times New Roman"/>
          <w:sz w:val="20"/>
          <w:szCs w:val="20"/>
          <w:color w:val="auto"/>
        </w:rPr>
        <w:t>Corporation, if any, shall have the same duties and powers, subject to supervision by the secretary of the Corporation.</w:t>
      </w:r>
    </w:p>
    <w:p>
      <w:pPr>
        <w:spacing w:after="0" w:line="167" w:lineRule="exact"/>
        <w:rPr>
          <w:sz w:val="20"/>
          <w:szCs w:val="20"/>
          <w:color w:val="auto"/>
        </w:rPr>
      </w:pPr>
    </w:p>
    <w:p>
      <w:pPr>
        <w:ind w:right="18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4.08 </w:t>
      </w:r>
      <w:r>
        <w:rPr>
          <w:rFonts w:ascii="Times New Roman" w:cs="Times New Roman" w:eastAsia="Times New Roman" w:hAnsi="Times New Roman"/>
          <w:sz w:val="19"/>
          <w:szCs w:val="19"/>
          <w:u w:val="single" w:color="auto"/>
          <w:color w:val="auto"/>
        </w:rPr>
        <w:t>Surety Bonds</w:t>
      </w:r>
      <w:r>
        <w:rPr>
          <w:rFonts w:ascii="Times New Roman" w:cs="Times New Roman" w:eastAsia="Times New Roman" w:hAnsi="Times New Roman"/>
          <w:sz w:val="19"/>
          <w:szCs w:val="19"/>
          <w:color w:val="auto"/>
        </w:rPr>
        <w:t>. The Board may require any officer or agent of the Corporation to execute to the Corporation a bond in such sums and with such sureties as shall be satisfactory to the Board, conditioned upon the faithful performance of his or her duties and for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restoration to the Corporation of all books, papers, vouchers, money and other property of whatever kind in his or her possession or under his or her control belonging to the Corporation.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jc w:val="center"/>
        <w:ind w:right="-19"/>
        <w:spacing w:after="0"/>
        <w:rPr>
          <w:sz w:val="20"/>
          <w:szCs w:val="20"/>
          <w:color w:val="auto"/>
        </w:rPr>
      </w:pPr>
      <w:r>
        <w:rPr>
          <w:rFonts w:ascii="Times New Roman" w:cs="Times New Roman" w:eastAsia="Times New Roman" w:hAnsi="Times New Roman"/>
          <w:sz w:val="20"/>
          <w:szCs w:val="20"/>
          <w:color w:val="auto"/>
        </w:rPr>
        <w:t>Stock</w:t>
      </w:r>
    </w:p>
    <w:p>
      <w:pPr>
        <w:spacing w:after="0" w:line="167" w:lineRule="exact"/>
        <w:rPr>
          <w:sz w:val="20"/>
          <w:szCs w:val="20"/>
          <w:color w:val="auto"/>
        </w:rPr>
      </w:pPr>
    </w:p>
    <w:p>
      <w:pPr>
        <w:ind w:right="6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Issuance of Shares</w:t>
      </w:r>
      <w:r>
        <w:rPr>
          <w:rFonts w:ascii="Times New Roman" w:cs="Times New Roman" w:eastAsia="Times New Roman" w:hAnsi="Times New Roman"/>
          <w:sz w:val="19"/>
          <w:szCs w:val="19"/>
          <w:color w:val="auto"/>
        </w:rPr>
        <w:t>. Except as otherwise may be provided by law or in the Certificate of Incorporation, the issuance or sale by the Corporation of any shares of its authorized capital stock of any class, including treasury shares, shall be made only upon authorization</w:t>
      </w:r>
    </w:p>
    <w:p>
      <w:pPr>
        <w:ind w:right="520"/>
        <w:spacing w:after="0" w:line="228" w:lineRule="auto"/>
        <w:rPr>
          <w:sz w:val="20"/>
          <w:szCs w:val="20"/>
          <w:color w:val="auto"/>
        </w:rPr>
      </w:pPr>
      <w:r>
        <w:rPr>
          <w:rFonts w:ascii="Times New Roman" w:cs="Times New Roman" w:eastAsia="Times New Roman" w:hAnsi="Times New Roman"/>
          <w:sz w:val="20"/>
          <w:szCs w:val="20"/>
          <w:color w:val="auto"/>
        </w:rPr>
        <w:t>by the Board. Every issuance of shares of authorized capital stock of the Corporation shall be recorded on the books of the Corporation maintained for such purpose by or on behalf of the Corporation.</w:t>
      </w:r>
    </w:p>
    <w:p>
      <w:pPr>
        <w:spacing w:after="0" w:line="149" w:lineRule="exact"/>
        <w:rPr>
          <w:sz w:val="20"/>
          <w:szCs w:val="20"/>
          <w:color w:val="auto"/>
        </w:rPr>
      </w:pPr>
    </w:p>
    <w:p>
      <w:pPr>
        <w:ind w:right="22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Transfer of Shares</w:t>
      </w:r>
      <w:r>
        <w:rPr>
          <w:rFonts w:ascii="Times New Roman" w:cs="Times New Roman" w:eastAsia="Times New Roman" w:hAnsi="Times New Roman"/>
          <w:sz w:val="19"/>
          <w:szCs w:val="19"/>
          <w:color w:val="auto"/>
        </w:rPr>
        <w:t>. Upon presentation and surrender to the Corporation or to a transfer agent of the Corporation of a certificate of stock of the Corporation duly endorsed or accompanied by proper evidence of succession, assignment or authority to transfer,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w:t>
      </w:r>
    </w:p>
    <w:p>
      <w:pPr>
        <w:ind w:right="60"/>
        <w:spacing w:after="0" w:line="215" w:lineRule="auto"/>
        <w:rPr>
          <w:sz w:val="20"/>
          <w:szCs w:val="20"/>
          <w:color w:val="auto"/>
        </w:rPr>
      </w:pPr>
      <w:r>
        <w:rPr>
          <w:rFonts w:ascii="Times New Roman" w:cs="Times New Roman" w:eastAsia="Times New Roman" w:hAnsi="Times New Roman"/>
          <w:sz w:val="19"/>
          <w:szCs w:val="19"/>
          <w:color w:val="auto"/>
        </w:rPr>
        <w:t>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w:t>
      </w:r>
    </w:p>
    <w:p>
      <w:pPr>
        <w:spacing w:after="0" w:line="211" w:lineRule="auto"/>
        <w:rPr>
          <w:sz w:val="20"/>
          <w:szCs w:val="20"/>
          <w:color w:val="auto"/>
        </w:rPr>
      </w:pPr>
      <w:r>
        <w:rPr>
          <w:rFonts w:ascii="Times New Roman" w:cs="Times New Roman" w:eastAsia="Times New Roman" w:hAnsi="Times New Roman"/>
          <w:sz w:val="20"/>
          <w:szCs w:val="20"/>
          <w:color w:val="auto"/>
        </w:rPr>
        <w:t>transfer agent may require a signature guaranty or other reasonable evidence that any signature is genuine and effective before making any</w:t>
      </w:r>
    </w:p>
    <w:p>
      <w:pPr>
        <w:ind w:right="680"/>
        <w:spacing w:after="0" w:line="221" w:lineRule="auto"/>
        <w:rPr>
          <w:sz w:val="20"/>
          <w:szCs w:val="20"/>
          <w:color w:val="auto"/>
        </w:rPr>
      </w:pPr>
      <w:r>
        <w:rPr>
          <w:rFonts w:ascii="Times New Roman" w:cs="Times New Roman" w:eastAsia="Times New Roman" w:hAnsi="Times New Roman"/>
          <w:sz w:val="20"/>
          <w:szCs w:val="20"/>
          <w:color w:val="auto"/>
        </w:rPr>
        <w:t>transfer. Transfers of uncertificated shares of authorized capital stock of the Corporation shall be made in accordance with applicable provisions of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Registered Holders</w:t>
      </w:r>
      <w:r>
        <w:rPr>
          <w:rFonts w:ascii="Times New Roman" w:cs="Times New Roman" w:eastAsia="Times New Roman" w:hAnsi="Times New Roman"/>
          <w:sz w:val="19"/>
          <w:szCs w:val="19"/>
          <w:color w:val="auto"/>
        </w:rPr>
        <w:t>. The Corporation shall be entitled to recognize the exclusive right of a person registered on its books as</w:t>
      </w:r>
    </w:p>
    <w:p>
      <w:pPr>
        <w:spacing w:after="0" w:line="6"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w:t>
      </w:r>
    </w:p>
    <w:p>
      <w:pPr>
        <w:ind w:right="260"/>
        <w:spacing w:after="0" w:line="228" w:lineRule="auto"/>
        <w:rPr>
          <w:sz w:val="20"/>
          <w:szCs w:val="20"/>
          <w:color w:val="auto"/>
        </w:rPr>
      </w:pPr>
      <w:r>
        <w:rPr>
          <w:rFonts w:ascii="Times New Roman" w:cs="Times New Roman" w:eastAsia="Times New Roman" w:hAnsi="Times New Roman"/>
          <w:sz w:val="20"/>
          <w:szCs w:val="20"/>
          <w:color w:val="auto"/>
        </w:rPr>
        <w:t>owner of such shares, and shall not be bound to recognize any equitable or other claim to or interest in such shares on the part of any other person, whether or not it shall have express or other notice thereof, except as otherwise provided by applicable law.</w:t>
      </w:r>
    </w:p>
    <w:p>
      <w:pPr>
        <w:spacing w:after="0" w:line="149" w:lineRule="exact"/>
        <w:rPr>
          <w:sz w:val="20"/>
          <w:szCs w:val="20"/>
          <w:color w:val="auto"/>
        </w:rPr>
      </w:pPr>
    </w:p>
    <w:p>
      <w:pPr>
        <w:ind w:right="42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Transfer Agents, Registrars and Paying Agents</w:t>
      </w:r>
      <w:r>
        <w:rPr>
          <w:rFonts w:ascii="Times New Roman" w:cs="Times New Roman" w:eastAsia="Times New Roman" w:hAnsi="Times New Roman"/>
          <w:sz w:val="19"/>
          <w:szCs w:val="19"/>
          <w:color w:val="auto"/>
        </w:rPr>
        <w:t>. The Board may at its discretion appoint one or more transfer agents, registrars and agents for making payment upon any class of stock, bond, debenture or other security of the Corporation. Such agents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registrars may be located either within or outside Delaware. They shall have such rights and duties and shall be entitled to such compensation as may be agreed.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Lost, Stolen or Destroyed Certificates</w:t>
      </w:r>
      <w:r>
        <w:rPr>
          <w:rFonts w:ascii="Times New Roman" w:cs="Times New Roman" w:eastAsia="Times New Roman" w:hAnsi="Times New Roman"/>
          <w:sz w:val="19"/>
          <w:szCs w:val="19"/>
          <w:color w:val="auto"/>
        </w:rPr>
        <w:t>. Except as provided in this Section 5.05, no new certificate representing shares of the</w:t>
      </w:r>
    </w:p>
    <w:p>
      <w:pPr>
        <w:spacing w:after="0" w:line="6"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Corporation’s authorized capital stock shall be issued to replace a previously issued certificate representing such shares unless the previously issued certificate is surrendered to the Corporation and immediately cancelled. The Corporation may issue a new certificate representing</w:t>
      </w:r>
    </w:p>
    <w:p>
      <w:pPr>
        <w:spacing w:after="0" w:line="211" w:lineRule="auto"/>
        <w:rPr>
          <w:sz w:val="20"/>
          <w:szCs w:val="20"/>
          <w:color w:val="auto"/>
        </w:rPr>
      </w:pPr>
      <w:r>
        <w:rPr>
          <w:rFonts w:ascii="Times New Roman" w:cs="Times New Roman" w:eastAsia="Times New Roman" w:hAnsi="Times New Roman"/>
          <w:sz w:val="20"/>
          <w:szCs w:val="20"/>
          <w:color w:val="auto"/>
        </w:rPr>
        <w:t>shares of its authorized capital stock or uncertificated shares in the place of any certificate theretofore issued by it that is alleged by a</w:t>
      </w:r>
    </w:p>
    <w:p>
      <w:pPr>
        <w:ind w:right="500"/>
        <w:spacing w:after="0" w:line="215" w:lineRule="auto"/>
        <w:rPr>
          <w:sz w:val="20"/>
          <w:szCs w:val="20"/>
          <w:color w:val="auto"/>
        </w:rPr>
      </w:pPr>
      <w:r>
        <w:rPr>
          <w:rFonts w:ascii="Times New Roman" w:cs="Times New Roman" w:eastAsia="Times New Roman" w:hAnsi="Times New Roman"/>
          <w:sz w:val="19"/>
          <w:szCs w:val="19"/>
          <w:color w:val="auto"/>
        </w:rPr>
        <w:t>stockholder to have been lost, stolen or destroyed, and the Corporation may require such stockholder, or such stockholder’s legal representative, to give the Corporation a bond sufficient to indemnify it against any claim that may be made against it on account of the</w:t>
      </w:r>
    </w:p>
    <w:p>
      <w:pPr>
        <w:spacing w:after="0"/>
        <w:rPr>
          <w:sz w:val="20"/>
          <w:szCs w:val="20"/>
          <w:color w:val="auto"/>
        </w:rPr>
      </w:pPr>
      <w:r>
        <w:rPr>
          <w:rFonts w:ascii="Times New Roman" w:cs="Times New Roman" w:eastAsia="Times New Roman" w:hAnsi="Times New Roman"/>
          <w:sz w:val="20"/>
          <w:szCs w:val="20"/>
          <w:color w:val="auto"/>
        </w:rPr>
        <w:t>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394" w:right="35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20"/>
          <w:szCs w:val="20"/>
          <w:color w:val="auto"/>
        </w:rPr>
        <w:t>ARTICLE VI</w:t>
      </w:r>
    </w:p>
    <w:p>
      <w:pPr>
        <w:jc w:val="center"/>
        <w:ind w:right="-59"/>
        <w:spacing w:after="0"/>
        <w:rPr>
          <w:sz w:val="20"/>
          <w:szCs w:val="20"/>
          <w:color w:val="auto"/>
        </w:rPr>
      </w:pPr>
      <w:r>
        <w:rPr>
          <w:rFonts w:ascii="Times New Roman" w:cs="Times New Roman" w:eastAsia="Times New Roman" w:hAnsi="Times New Roman"/>
          <w:sz w:val="20"/>
          <w:szCs w:val="20"/>
          <w:color w:val="auto"/>
        </w:rPr>
        <w:t>Indemnification</w:t>
      </w:r>
    </w:p>
    <w:p>
      <w:pPr>
        <w:spacing w:after="0" w:line="153" w:lineRule="exact"/>
        <w:rPr>
          <w:sz w:val="20"/>
          <w:szCs w:val="20"/>
          <w:color w:val="auto"/>
        </w:rPr>
      </w:pPr>
    </w:p>
    <w:p>
      <w:pPr>
        <w:ind w:right="14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6.01 </w:t>
      </w:r>
      <w:r>
        <w:rPr>
          <w:rFonts w:ascii="Times New Roman" w:cs="Times New Roman" w:eastAsia="Times New Roman" w:hAnsi="Times New Roman"/>
          <w:sz w:val="19"/>
          <w:szCs w:val="19"/>
          <w:u w:val="single" w:color="auto"/>
          <w:color w:val="auto"/>
        </w:rPr>
        <w:t>Right to Indemnification</w:t>
      </w:r>
      <w:r>
        <w:rPr>
          <w:rFonts w:ascii="Times New Roman" w:cs="Times New Roman" w:eastAsia="Times New Roman" w:hAnsi="Times New Roman"/>
          <w:sz w:val="19"/>
          <w:szCs w:val="19"/>
          <w:color w:val="auto"/>
        </w:rPr>
        <w:t>. The Corporation shall indemnify and pay the expenses of directors, officers and individuals who have agreed to serve as directors or officers of the Corporation as provided in the Certificate of Incorporation and, if applicable, in any</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indemnification agreement between the Corporation and such individuals. The Corporation has the right, but not the obligation, to indemnify and pay the expenses of other persons authorized by a majority of the Board as provided in the Certificate of Incorporation.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Corporation may purchase and maintain insurance on behalf of any person who is or was a director, officer,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w:t>
      </w:r>
    </w:p>
    <w:p>
      <w:pPr>
        <w:ind w:right="100"/>
        <w:spacing w:after="0" w:line="228" w:lineRule="auto"/>
        <w:rPr>
          <w:sz w:val="20"/>
          <w:szCs w:val="20"/>
          <w:color w:val="auto"/>
        </w:rPr>
      </w:pPr>
      <w:r>
        <w:rPr>
          <w:rFonts w:ascii="Times New Roman" w:cs="Times New Roman" w:eastAsia="Times New Roman" w:hAnsi="Times New Roman"/>
          <w:sz w:val="20"/>
          <w:szCs w:val="20"/>
          <w:color w:val="auto"/>
        </w:rPr>
        <w:t>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ARTICLE VII</w:t>
      </w:r>
    </w:p>
    <w:p>
      <w:pPr>
        <w:ind w:left="5060"/>
        <w:spacing w:after="0"/>
        <w:rPr>
          <w:sz w:val="20"/>
          <w:szCs w:val="20"/>
          <w:color w:val="auto"/>
        </w:rPr>
      </w:pPr>
      <w:r>
        <w:rPr>
          <w:rFonts w:ascii="Times New Roman" w:cs="Times New Roman" w:eastAsia="Times New Roman" w:hAnsi="Times New Roman"/>
          <w:sz w:val="20"/>
          <w:szCs w:val="20"/>
          <w:color w:val="auto"/>
        </w:rPr>
        <w:t>Miscellaneous</w:t>
      </w:r>
    </w:p>
    <w:p>
      <w:pPr>
        <w:spacing w:after="0" w:line="167" w:lineRule="exact"/>
        <w:rPr>
          <w:sz w:val="20"/>
          <w:szCs w:val="20"/>
          <w:color w:val="auto"/>
        </w:rPr>
      </w:pPr>
    </w:p>
    <w:p>
      <w:pPr>
        <w:ind w:right="30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7.01 </w:t>
      </w:r>
      <w:r>
        <w:rPr>
          <w:rFonts w:ascii="Times New Roman" w:cs="Times New Roman" w:eastAsia="Times New Roman" w:hAnsi="Times New Roman"/>
          <w:sz w:val="19"/>
          <w:szCs w:val="19"/>
          <w:u w:val="single" w:color="auto"/>
          <w:color w:val="auto"/>
        </w:rPr>
        <w:t>Notice by Electronic Transmission</w:t>
      </w:r>
      <w:r>
        <w:rPr>
          <w:rFonts w:ascii="Times New Roman" w:cs="Times New Roman" w:eastAsia="Times New Roman" w:hAnsi="Times New Roman"/>
          <w:sz w:val="19"/>
          <w:szCs w:val="19"/>
          <w:color w:val="auto"/>
        </w:rPr>
        <w:t>. Without limiting the manner by which notice otherwise may be given effectively to stockholders pursuant to the DGCL, the Certificate of Incorporation or these Bylaws, any notice to stockholders given by the Corporation</w:t>
      </w:r>
    </w:p>
    <w:p>
      <w:pPr>
        <w:spacing w:after="0" w:line="211" w:lineRule="auto"/>
        <w:rPr>
          <w:sz w:val="20"/>
          <w:szCs w:val="20"/>
          <w:color w:val="auto"/>
        </w:rPr>
      </w:pPr>
      <w:r>
        <w:rPr>
          <w:rFonts w:ascii="Times New Roman" w:cs="Times New Roman" w:eastAsia="Times New Roman" w:hAnsi="Times New Roman"/>
          <w:sz w:val="20"/>
          <w:szCs w:val="20"/>
          <w:color w:val="auto"/>
        </w:rPr>
        <w:t>under any provision of the DGCL, the Certificate of Incorporation or these Bylaws shall be effective if given by a form of electronic</w:t>
      </w:r>
    </w:p>
    <w:p>
      <w:pPr>
        <w:spacing w:after="0" w:line="1" w:lineRule="exact"/>
        <w:rPr>
          <w:sz w:val="20"/>
          <w:szCs w:val="20"/>
          <w:color w:val="auto"/>
        </w:rPr>
      </w:pPr>
    </w:p>
    <w:p>
      <w:pPr>
        <w:ind w:right="420"/>
        <w:spacing w:after="0" w:line="221" w:lineRule="auto"/>
        <w:rPr>
          <w:sz w:val="20"/>
          <w:szCs w:val="20"/>
          <w:color w:val="auto"/>
        </w:rPr>
      </w:pPr>
      <w:r>
        <w:rPr>
          <w:rFonts w:ascii="Times New Roman" w:cs="Times New Roman" w:eastAsia="Times New Roman" w:hAnsi="Times New Roman"/>
          <w:sz w:val="20"/>
          <w:szCs w:val="20"/>
          <w:color w:val="auto"/>
        </w:rPr>
        <w:t>transmission consented to by the stockholder to whom such notice is given. Any such consent shall be revocable by such stockholder by written notice to the Corporation.</w:t>
      </w:r>
    </w:p>
    <w:p>
      <w:pPr>
        <w:spacing w:after="0" w:line="162" w:lineRule="exact"/>
        <w:rPr>
          <w:sz w:val="20"/>
          <w:szCs w:val="20"/>
          <w:color w:val="auto"/>
        </w:rPr>
      </w:pPr>
    </w:p>
    <w:p>
      <w:pPr>
        <w:ind w:left="740" w:hanging="408"/>
        <w:spacing w:after="0"/>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consent shall be deemed revoked if:</w:t>
      </w:r>
    </w:p>
    <w:p>
      <w:pPr>
        <w:spacing w:after="0" w:line="175" w:lineRule="exact"/>
        <w:rPr>
          <w:rFonts w:ascii="Times New Roman" w:cs="Times New Roman" w:eastAsia="Times New Roman" w:hAnsi="Times New Roman"/>
          <w:sz w:val="20"/>
          <w:szCs w:val="20"/>
          <w:color w:val="auto"/>
        </w:rPr>
      </w:pPr>
    </w:p>
    <w:p>
      <w:pPr>
        <w:ind w:left="980" w:right="100" w:hanging="324"/>
        <w:spacing w:after="0"/>
        <w:tabs>
          <w:tab w:leader="none" w:pos="104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unable to deliver by electronic transmission two consecutive notices given by the Corporation in accordance with such consent; and</w:t>
      </w:r>
    </w:p>
    <w:p>
      <w:pPr>
        <w:spacing w:after="0" w:line="161" w:lineRule="exact"/>
        <w:rPr>
          <w:rFonts w:ascii="Times New Roman" w:cs="Times New Roman" w:eastAsia="Times New Roman" w:hAnsi="Times New Roman"/>
          <w:sz w:val="20"/>
          <w:szCs w:val="20"/>
          <w:color w:val="auto"/>
        </w:rPr>
      </w:pPr>
    </w:p>
    <w:p>
      <w:pPr>
        <w:ind w:left="980" w:right="660" w:hanging="324"/>
        <w:spacing w:after="0" w:line="233" w:lineRule="auto"/>
        <w:tabs>
          <w:tab w:leader="none" w:pos="109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inability becomes known to the secretary or an assistant secretary of the Corporation or to the transfer agent of the Corporation, or other person responsible for the giving of notice.</w:t>
      </w:r>
    </w:p>
    <w:p>
      <w:pPr>
        <w:spacing w:after="0" w:line="161" w:lineRule="exact"/>
        <w:rPr>
          <w:sz w:val="20"/>
          <w:szCs w:val="20"/>
          <w:color w:val="auto"/>
        </w:rPr>
      </w:pPr>
    </w:p>
    <w:p>
      <w:pPr>
        <w:ind w:right="700" w:firstLine="324"/>
        <w:spacing w:after="0"/>
        <w:rPr>
          <w:sz w:val="20"/>
          <w:szCs w:val="20"/>
          <w:color w:val="auto"/>
        </w:rPr>
      </w:pPr>
      <w:r>
        <w:rPr>
          <w:rFonts w:ascii="Times New Roman" w:cs="Times New Roman" w:eastAsia="Times New Roman" w:hAnsi="Times New Roman"/>
          <w:sz w:val="20"/>
          <w:szCs w:val="20"/>
          <w:color w:val="auto"/>
        </w:rPr>
        <w:t>However, the inadvertent failure to treat such inability as a revocation shall not invalidate any meeting of the stockholders of the Corporation or other action by the Corporation.</w:t>
      </w:r>
    </w:p>
    <w:p>
      <w:pPr>
        <w:spacing w:after="0" w:line="148" w:lineRule="exact"/>
        <w:rPr>
          <w:sz w:val="20"/>
          <w:szCs w:val="20"/>
          <w:color w:val="auto"/>
        </w:rPr>
      </w:pPr>
    </w:p>
    <w:p>
      <w:pPr>
        <w:ind w:left="740" w:hanging="408"/>
        <w:spacing w:after="0"/>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given pursuant to this Section 7.01 shall be deemed given:</w:t>
      </w:r>
    </w:p>
    <w:p>
      <w:pPr>
        <w:spacing w:after="0" w:line="188" w:lineRule="exact"/>
        <w:rPr>
          <w:rFonts w:ascii="Times New Roman" w:cs="Times New Roman" w:eastAsia="Times New Roman" w:hAnsi="Times New Roman"/>
          <w:sz w:val="20"/>
          <w:szCs w:val="20"/>
          <w:color w:val="auto"/>
        </w:rPr>
      </w:pPr>
    </w:p>
    <w:p>
      <w:pPr>
        <w:ind w:left="980" w:right="380" w:hanging="324"/>
        <w:spacing w:after="0"/>
        <w:tabs>
          <w:tab w:leader="none" w:pos="104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facsimile telecommunication, when directed to a number at which the stockholder of the Corporation has consented to receive notice;</w:t>
      </w:r>
    </w:p>
    <w:p>
      <w:pPr>
        <w:spacing w:after="0" w:line="147" w:lineRule="exact"/>
        <w:rPr>
          <w:rFonts w:ascii="Times New Roman" w:cs="Times New Roman" w:eastAsia="Times New Roman" w:hAnsi="Times New Roman"/>
          <w:sz w:val="20"/>
          <w:szCs w:val="20"/>
          <w:color w:val="auto"/>
        </w:rPr>
      </w:pPr>
    </w:p>
    <w:p>
      <w:pPr>
        <w:ind w:left="980" w:right="120" w:hanging="324"/>
        <w:spacing w:after="0"/>
        <w:tabs>
          <w:tab w:leader="none" w:pos="109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electronic mail, when directed to an electronic mail address at which the stockholder of the Corporation has consented to receive notice;</w:t>
      </w:r>
    </w:p>
    <w:p>
      <w:pPr>
        <w:spacing w:after="0" w:line="161" w:lineRule="exact"/>
        <w:rPr>
          <w:rFonts w:ascii="Times New Roman" w:cs="Times New Roman" w:eastAsia="Times New Roman" w:hAnsi="Times New Roman"/>
          <w:sz w:val="20"/>
          <w:szCs w:val="20"/>
          <w:color w:val="auto"/>
        </w:rPr>
      </w:pPr>
    </w:p>
    <w:p>
      <w:pPr>
        <w:ind w:left="980" w:right="300" w:hanging="324"/>
        <w:spacing w:after="0" w:line="233" w:lineRule="auto"/>
        <w:tabs>
          <w:tab w:leader="none" w:pos="115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the Corporation of such specific posting, upon the later of such posting and the giving of such separate notice; and</w:t>
      </w:r>
    </w:p>
    <w:p>
      <w:pPr>
        <w:spacing w:after="0" w:line="160"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 of the Corporation.</w:t>
      </w:r>
    </w:p>
    <w:p>
      <w:pPr>
        <w:spacing w:after="0" w:line="18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9"/>
          <w:szCs w:val="19"/>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20" w:top="1394" w:right="379" w:bottom="1440" w:gutter="0" w:footer="0" w:header="0"/>
        </w:sectPr>
      </w:pPr>
    </w:p>
    <w:bookmarkStart w:id="52" w:name="page53"/>
    <w:bookmarkEnd w:id="52"/>
    <w:p>
      <w:pPr>
        <w:jc w:val="both"/>
        <w:ind w:left="660" w:right="400" w:hanging="328"/>
        <w:spacing w:after="0" w:line="226" w:lineRule="auto"/>
        <w:tabs>
          <w:tab w:leader="none" w:pos="74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60" w:lineRule="exact"/>
        <w:rPr>
          <w:rFonts w:ascii="Times New Roman" w:cs="Times New Roman" w:eastAsia="Times New Roman" w:hAnsi="Times New Roman"/>
          <w:sz w:val="20"/>
          <w:szCs w:val="20"/>
          <w:color w:val="auto"/>
        </w:rPr>
      </w:pPr>
    </w:p>
    <w:p>
      <w:pPr>
        <w:ind w:left="760" w:hanging="428"/>
        <w:spacing w:after="0"/>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by a form of electronic transmission shall not apply to Sections 164, 296, 311, 312 or 324 of the DGCL.</w:t>
      </w:r>
    </w:p>
    <w:p>
      <w:pPr>
        <w:spacing w:after="0" w:line="189"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9"/>
          <w:szCs w:val="19"/>
          <w:color w:val="auto"/>
        </w:rPr>
        <w:t xml:space="preserve">Section 7.02 </w:t>
      </w:r>
      <w:r>
        <w:rPr>
          <w:rFonts w:ascii="Times New Roman" w:cs="Times New Roman" w:eastAsia="Times New Roman" w:hAnsi="Times New Roman"/>
          <w:sz w:val="19"/>
          <w:szCs w:val="19"/>
          <w:u w:val="single" w:color="auto"/>
          <w:color w:val="auto"/>
        </w:rPr>
        <w:t>Waivers of Notice</w:t>
      </w:r>
      <w:r>
        <w:rPr>
          <w:rFonts w:ascii="Times New Roman" w:cs="Times New Roman" w:eastAsia="Times New Roman" w:hAnsi="Times New Roman"/>
          <w:sz w:val="19"/>
          <w:szCs w:val="19"/>
          <w:color w:val="auto"/>
        </w:rPr>
        <w:t>. Whenever notice is required to be given by law, by the Certificate of Incorporation or by these Bylaws, a written waiver thereof, signed by the person entitled to such notice or a waiver by electronic transmission by the person entitled to such</w:t>
      </w:r>
    </w:p>
    <w:p>
      <w:pPr>
        <w:spacing w:after="0" w:line="211" w:lineRule="auto"/>
        <w:rPr>
          <w:sz w:val="20"/>
          <w:szCs w:val="20"/>
          <w:color w:val="auto"/>
        </w:rPr>
      </w:pPr>
      <w:r>
        <w:rPr>
          <w:rFonts w:ascii="Times New Roman" w:cs="Times New Roman" w:eastAsia="Times New Roman" w:hAnsi="Times New Roman"/>
          <w:sz w:val="20"/>
          <w:szCs w:val="20"/>
          <w:color w:val="auto"/>
        </w:rPr>
        <w:t>notice, whether before or after the time stated therein, shall be deemed equivalent to notice. Attendance of a person at a meeting or (in the</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case of a stockholder of the Corporation) by proxy shall constitute a waiver of notice of such meeting, except when the person attends such meeting for the express purpose of objecting, at the beginning of such meeting, to the transaction of any business because such meeting was</w:t>
      </w:r>
    </w:p>
    <w:p>
      <w:pPr>
        <w:ind w:right="120"/>
        <w:spacing w:after="0" w:line="242" w:lineRule="auto"/>
        <w:rPr>
          <w:sz w:val="20"/>
          <w:szCs w:val="20"/>
          <w:color w:val="auto"/>
        </w:rPr>
      </w:pPr>
      <w:r>
        <w:rPr>
          <w:rFonts w:ascii="Times New Roman" w:cs="Times New Roman" w:eastAsia="Times New Roman" w:hAnsi="Times New Roman"/>
          <w:sz w:val="19"/>
          <w:szCs w:val="19"/>
          <w:color w:val="auto"/>
        </w:rPr>
        <w:t>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p>
    <w:p>
      <w:pPr>
        <w:spacing w:after="0" w:line="145" w:lineRule="exact"/>
        <w:rPr>
          <w:sz w:val="20"/>
          <w:szCs w:val="20"/>
          <w:color w:val="auto"/>
        </w:rPr>
      </w:pPr>
    </w:p>
    <w:p>
      <w:pPr>
        <w:ind w:right="540" w:firstLine="324"/>
        <w:spacing w:after="0" w:line="234" w:lineRule="auto"/>
        <w:rPr>
          <w:sz w:val="20"/>
          <w:szCs w:val="20"/>
          <w:color w:val="auto"/>
        </w:rPr>
      </w:pPr>
      <w:r>
        <w:rPr>
          <w:rFonts w:ascii="Times New Roman" w:cs="Times New Roman" w:eastAsia="Times New Roman" w:hAnsi="Times New Roman"/>
          <w:sz w:val="19"/>
          <w:szCs w:val="19"/>
          <w:color w:val="auto"/>
        </w:rPr>
        <w:t xml:space="preserve">Section 7.03 </w:t>
      </w:r>
      <w:r>
        <w:rPr>
          <w:rFonts w:ascii="Times New Roman" w:cs="Times New Roman" w:eastAsia="Times New Roman" w:hAnsi="Times New Roman"/>
          <w:sz w:val="19"/>
          <w:szCs w:val="19"/>
          <w:u w:val="single" w:color="auto"/>
          <w:color w:val="auto"/>
        </w:rPr>
        <w:t>Presumption of Assent</w:t>
      </w:r>
      <w:r>
        <w:rPr>
          <w:rFonts w:ascii="Times New Roman" w:cs="Times New Roman" w:eastAsia="Times New Roman" w:hAnsi="Times New Roman"/>
          <w:sz w:val="19"/>
          <w:szCs w:val="19"/>
          <w:color w:val="auto"/>
        </w:rPr>
        <w:t>. A director or stockholder of the Corporation who is present at a meeting of the Board or stockholders of the Corporation at which action on any corporate matter is taken shall be presumed to have assented to the action taken</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w:t>
      </w:r>
    </w:p>
    <w:p>
      <w:pPr>
        <w:ind w:right="740"/>
        <w:spacing w:after="0" w:line="228" w:lineRule="auto"/>
        <w:rPr>
          <w:sz w:val="20"/>
          <w:szCs w:val="20"/>
          <w:color w:val="auto"/>
        </w:rPr>
      </w:pPr>
      <w:r>
        <w:rPr>
          <w:rFonts w:ascii="Times New Roman" w:cs="Times New Roman" w:eastAsia="Times New Roman" w:hAnsi="Times New Roman"/>
          <w:sz w:val="20"/>
          <w:szCs w:val="20"/>
          <w:color w:val="auto"/>
        </w:rPr>
        <w:t>secretary of the Corporation immediately after the adjournment of such meeting. Such right to dissent shall not apply to a director or stockholder of the Corporation who voted in favor of such action.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Section 7.04 </w:t>
      </w:r>
      <w:r>
        <w:rPr>
          <w:rFonts w:ascii="Times New Roman" w:cs="Times New Roman" w:eastAsia="Times New Roman" w:hAnsi="Times New Roman"/>
          <w:sz w:val="19"/>
          <w:szCs w:val="19"/>
          <w:u w:val="single" w:color="auto"/>
          <w:color w:val="auto"/>
        </w:rPr>
        <w:t>Voting of Securities by the Corporation</w:t>
      </w:r>
      <w:r>
        <w:rPr>
          <w:rFonts w:ascii="Times New Roman" w:cs="Times New Roman" w:eastAsia="Times New Roman" w:hAnsi="Times New Roman"/>
          <w:sz w:val="19"/>
          <w:szCs w:val="19"/>
          <w:color w:val="auto"/>
        </w:rPr>
        <w:t>. Unless otherwise provided by resolution of the Board, on behalf of the Corporation</w:t>
      </w:r>
    </w:p>
    <w:p>
      <w:pPr>
        <w:spacing w:after="0" w:line="6"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w:t>
      </w:r>
    </w:p>
    <w:p>
      <w:pPr>
        <w:spacing w:after="0" w:line="211" w:lineRule="auto"/>
        <w:rPr>
          <w:sz w:val="20"/>
          <w:szCs w:val="20"/>
          <w:color w:val="auto"/>
        </w:rPr>
      </w:pPr>
      <w:r>
        <w:rPr>
          <w:rFonts w:ascii="Times New Roman" w:cs="Times New Roman" w:eastAsia="Times New Roman" w:hAnsi="Times New Roman"/>
          <w:sz w:val="20"/>
          <w:szCs w:val="20"/>
          <w:color w:val="auto"/>
        </w:rPr>
        <w:t>proxy or proxies to represent the Corporation at, all meetings of the stockholders of any other corporation, association or other entity in</w:t>
      </w:r>
    </w:p>
    <w:p>
      <w:pPr>
        <w:ind w:right="140"/>
        <w:spacing w:after="0" w:line="215" w:lineRule="auto"/>
        <w:rPr>
          <w:sz w:val="20"/>
          <w:szCs w:val="20"/>
          <w:color w:val="auto"/>
        </w:rPr>
      </w:pPr>
      <w:r>
        <w:rPr>
          <w:rFonts w:ascii="Times New Roman" w:cs="Times New Roman" w:eastAsia="Times New Roman" w:hAnsi="Times New Roman"/>
          <w:sz w:val="19"/>
          <w:szCs w:val="19"/>
          <w:color w:val="auto"/>
        </w:rPr>
        <w:t>which the Corporation holds any stock or other securities, and may execute written waivers of notice with respect to any such meetings. At all such meetings and otherwise, the chairman of the Board, chief executive officer, chief operating officer, chief financial officer, president,</w:t>
      </w:r>
    </w:p>
    <w:p>
      <w:pPr>
        <w:spacing w:after="0" w:line="211" w:lineRule="auto"/>
        <w:rPr>
          <w:sz w:val="20"/>
          <w:szCs w:val="20"/>
          <w:color w:val="auto"/>
        </w:rPr>
      </w:pPr>
      <w:r>
        <w:rPr>
          <w:rFonts w:ascii="Times New Roman" w:cs="Times New Roman" w:eastAsia="Times New Roman" w:hAnsi="Times New Roman"/>
          <w:sz w:val="20"/>
          <w:szCs w:val="20"/>
          <w:color w:val="auto"/>
        </w:rPr>
        <w:t>secretary, treasurer or any vice-president of the Corporation, in person or by substitute or proxy as aforesaid, may vote the stock or other</w:t>
      </w:r>
    </w:p>
    <w:p>
      <w:pPr>
        <w:ind w:right="60"/>
        <w:spacing w:after="0" w:line="215" w:lineRule="auto"/>
        <w:rPr>
          <w:sz w:val="20"/>
          <w:szCs w:val="20"/>
          <w:color w:val="auto"/>
        </w:rPr>
      </w:pPr>
      <w:r>
        <w:rPr>
          <w:rFonts w:ascii="Times New Roman" w:cs="Times New Roman" w:eastAsia="Times New Roman" w:hAnsi="Times New Roman"/>
          <w:sz w:val="19"/>
          <w:szCs w:val="19"/>
          <w:color w:val="auto"/>
        </w:rPr>
        <w:t>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w:t>
      </w:r>
    </w:p>
    <w:p>
      <w:pPr>
        <w:spacing w:after="0"/>
        <w:rPr>
          <w:sz w:val="20"/>
          <w:szCs w:val="20"/>
          <w:color w:val="auto"/>
        </w:rPr>
      </w:pPr>
      <w:r>
        <w:rPr>
          <w:rFonts w:ascii="Times New Roman" w:cs="Times New Roman" w:eastAsia="Times New Roman" w:hAnsi="Times New Roman"/>
          <w:sz w:val="20"/>
          <w:szCs w:val="20"/>
          <w:color w:val="auto"/>
        </w:rPr>
        <w:t>of the Board.</w:t>
      </w:r>
    </w:p>
    <w:p>
      <w:pPr>
        <w:spacing w:after="0" w:line="167" w:lineRule="exact"/>
        <w:rPr>
          <w:sz w:val="20"/>
          <w:szCs w:val="20"/>
          <w:color w:val="auto"/>
        </w:rPr>
      </w:pPr>
    </w:p>
    <w:p>
      <w:pPr>
        <w:ind w:right="80" w:firstLine="324"/>
        <w:spacing w:after="0" w:line="215"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Authorized Signatories</w:t>
      </w:r>
      <w:r>
        <w:rPr>
          <w:rFonts w:ascii="Times New Roman" w:cs="Times New Roman" w:eastAsia="Times New Roman" w:hAnsi="Times New Roman"/>
          <w:sz w:val="20"/>
          <w:szCs w:val="20"/>
          <w:color w:val="auto"/>
        </w:rPr>
        <w:t>. The Board may authorize any officer or officers of the Corporation, or agent or agents, to enter into any contract or execute any instrument in the name of and on behalf of the Corporation; such authority may be general or restricted to</w:t>
      </w:r>
    </w:p>
    <w:p>
      <w:pPr>
        <w:spacing w:after="0" w:line="224" w:lineRule="auto"/>
        <w:rPr>
          <w:sz w:val="20"/>
          <w:szCs w:val="20"/>
          <w:color w:val="auto"/>
        </w:rPr>
      </w:pPr>
      <w:r>
        <w:rPr>
          <w:rFonts w:ascii="Times New Roman" w:cs="Times New Roman" w:eastAsia="Times New Roman" w:hAnsi="Times New Roman"/>
          <w:sz w:val="19"/>
          <w:szCs w:val="19"/>
          <w:color w:val="auto"/>
        </w:rPr>
        <w:t>specific instances. Unless so authorized or ratified by the Board or within the agency power of an officer of the Corporation, no officer, agent</w:t>
      </w:r>
    </w:p>
    <w:p>
      <w:pPr>
        <w:spacing w:after="0" w:line="221" w:lineRule="auto"/>
        <w:rPr>
          <w:sz w:val="20"/>
          <w:szCs w:val="20"/>
          <w:color w:val="auto"/>
        </w:rPr>
      </w:pPr>
      <w:r>
        <w:rPr>
          <w:rFonts w:ascii="Times New Roman" w:cs="Times New Roman" w:eastAsia="Times New Roman" w:hAnsi="Times New Roman"/>
          <w:sz w:val="20"/>
          <w:szCs w:val="20"/>
          <w:color w:val="auto"/>
        </w:rPr>
        <w:t>or employee of the Corporation shall have any power or authority to bind the Corporation by any contract or to pledge its credit or to render it liable for any purpose or for any amount</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7.06 </w:t>
      </w:r>
      <w:r>
        <w:rPr>
          <w:rFonts w:ascii="Times New Roman" w:cs="Times New Roman" w:eastAsia="Times New Roman" w:hAnsi="Times New Roman"/>
          <w:sz w:val="20"/>
          <w:szCs w:val="20"/>
          <w:u w:val="single" w:color="auto"/>
          <w:color w:val="auto"/>
        </w:rPr>
        <w:t>Seal</w:t>
      </w:r>
      <w:r>
        <w:rPr>
          <w:rFonts w:ascii="Times New Roman" w:cs="Times New Roman" w:eastAsia="Times New Roman" w:hAnsi="Times New Roman"/>
          <w:sz w:val="20"/>
          <w:szCs w:val="20"/>
          <w:color w:val="auto"/>
        </w:rPr>
        <w:t>. The corporate seal of the Corporation shall be in such form as adopted by the Board, and any officer of the</w:t>
      </w:r>
    </w:p>
    <w:p>
      <w:pPr>
        <w:ind w:right="840"/>
        <w:spacing w:after="0" w:line="221" w:lineRule="auto"/>
        <w:rPr>
          <w:sz w:val="20"/>
          <w:szCs w:val="20"/>
          <w:color w:val="auto"/>
        </w:rPr>
      </w:pPr>
      <w:r>
        <w:rPr>
          <w:rFonts w:ascii="Times New Roman" w:cs="Times New Roman" w:eastAsia="Times New Roman" w:hAnsi="Times New Roman"/>
          <w:sz w:val="20"/>
          <w:szCs w:val="20"/>
          <w:color w:val="auto"/>
        </w:rPr>
        <w:t>Corporation may, when and as required, affix or impress the seal, or a facsimile thereof, to or on any instrument or document of the Corporation.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be as established by resolution of the Board.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7.08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These Bylaws may be amended or repealed only in the manner set forth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jc w:val="center"/>
        <w:spacing w:after="0" w:line="207" w:lineRule="auto"/>
        <w:rPr>
          <w:sz w:val="20"/>
          <w:szCs w:val="20"/>
          <w:color w:val="auto"/>
        </w:rPr>
      </w:pPr>
      <w:r>
        <w:rPr>
          <w:rFonts w:ascii="Times New Roman" w:cs="Times New Roman" w:eastAsia="Times New Roman" w:hAnsi="Times New Roman"/>
          <w:sz w:val="19"/>
          <w:szCs w:val="19"/>
          <w:b w:val="1"/>
          <w:bCs w:val="1"/>
          <w:color w:val="auto"/>
        </w:rPr>
        <w:t>CERTIFICATE OF INCORPORATION</w:t>
      </w:r>
    </w:p>
    <w:p>
      <w:pPr>
        <w:jc w:val="center"/>
        <w:spacing w:after="0" w:line="208" w:lineRule="auto"/>
        <w:rPr>
          <w:sz w:val="20"/>
          <w:szCs w:val="20"/>
          <w:color w:val="auto"/>
        </w:rPr>
      </w:pPr>
      <w:r>
        <w:rPr>
          <w:rFonts w:ascii="Times New Roman" w:cs="Times New Roman" w:eastAsia="Times New Roman" w:hAnsi="Times New Roman"/>
          <w:sz w:val="19"/>
          <w:szCs w:val="19"/>
          <w:b w:val="1"/>
          <w:bCs w:val="1"/>
          <w:color w:val="auto"/>
        </w:rPr>
        <w:t>OF</w:t>
      </w:r>
    </w:p>
    <w:p>
      <w:pPr>
        <w:jc w:val="center"/>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amended May 4,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name of the Corporation is National CineMedia, Inc.</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w:t>
      </w:r>
    </w:p>
    <w:p>
      <w:pPr>
        <w:jc w:val="center"/>
        <w:spacing w:after="0"/>
        <w:rPr>
          <w:sz w:val="20"/>
          <w:szCs w:val="20"/>
          <w:color w:val="auto"/>
        </w:rPr>
      </w:pPr>
      <w:r>
        <w:rPr>
          <w:rFonts w:ascii="Times New Roman" w:cs="Times New Roman" w:eastAsia="Times New Roman" w:hAnsi="Times New Roman"/>
          <w:sz w:val="19"/>
          <w:szCs w:val="19"/>
          <w:b w:val="1"/>
          <w:bCs w:val="1"/>
          <w:color w:val="auto"/>
        </w:rPr>
        <w:t>REGISTERED ADDRESS, AGENT</w:t>
      </w:r>
    </w:p>
    <w:p>
      <w:pPr>
        <w:spacing w:after="0" w:line="14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address of the registered office of the Corporation in the State of Delaware is 1209 Orange Street, City of Wilmington, County of New Castle, Delaware 19801. The name of the Corporation’s registered agent at that address is The Corporation Trust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III</w:t>
      </w:r>
    </w:p>
    <w:p>
      <w:pPr>
        <w:ind w:left="5140"/>
        <w:spacing w:after="0"/>
        <w:rPr>
          <w:sz w:val="20"/>
          <w:szCs w:val="20"/>
          <w:color w:val="auto"/>
        </w:rPr>
      </w:pPr>
      <w:r>
        <w:rPr>
          <w:rFonts w:ascii="Times New Roman" w:cs="Times New Roman" w:eastAsia="Times New Roman" w:hAnsi="Times New Roman"/>
          <w:sz w:val="19"/>
          <w:szCs w:val="19"/>
          <w:b w:val="1"/>
          <w:bCs w:val="1"/>
          <w:color w:val="auto"/>
        </w:rPr>
        <w:t>PURPOSES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purpose of the Corporation is to engage in any lawful act or activity for which a corporation may be organized under the DGCL.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IV</w:t>
      </w:r>
    </w:p>
    <w:p>
      <w:pPr>
        <w:jc w:val="center"/>
        <w:spacing w:after="0"/>
        <w:rPr>
          <w:sz w:val="20"/>
          <w:szCs w:val="20"/>
          <w:color w:val="auto"/>
        </w:rPr>
      </w:pPr>
      <w:r>
        <w:rPr>
          <w:rFonts w:ascii="Times New Roman" w:cs="Times New Roman" w:eastAsia="Times New Roman" w:hAnsi="Times New Roman"/>
          <w:sz w:val="19"/>
          <w:szCs w:val="19"/>
          <w:b w:val="1"/>
          <w:bCs w:val="1"/>
          <w:color w:val="auto"/>
        </w:rPr>
        <w:t>CAPITAL, VOTING, CONVERSION</w:t>
      </w:r>
    </w:p>
    <w:p>
      <w:pPr>
        <w:spacing w:after="0" w:line="153" w:lineRule="exact"/>
        <w:rPr>
          <w:sz w:val="20"/>
          <w:szCs w:val="20"/>
          <w:color w:val="auto"/>
        </w:rPr>
      </w:pPr>
    </w:p>
    <w:p>
      <w:pPr>
        <w:ind w:firstLine="713"/>
        <w:spacing w:after="0" w:line="238" w:lineRule="auto"/>
        <w:rPr>
          <w:sz w:val="20"/>
          <w:szCs w:val="20"/>
          <w:color w:val="auto"/>
        </w:rPr>
      </w:pPr>
      <w:r>
        <w:rPr>
          <w:rFonts w:ascii="Times New Roman" w:cs="Times New Roman" w:eastAsia="Times New Roman" w:hAnsi="Times New Roman"/>
          <w:sz w:val="19"/>
          <w:szCs w:val="19"/>
          <w:color w:val="010000"/>
        </w:rPr>
        <w:t xml:space="preserve">Section 4.1 </w:t>
      </w:r>
      <w:r>
        <w:rPr>
          <w:rFonts w:ascii="Times New Roman" w:cs="Times New Roman" w:eastAsia="Times New Roman" w:hAnsi="Times New Roman"/>
          <w:sz w:val="19"/>
          <w:szCs w:val="19"/>
          <w:u w:val="single" w:color="auto"/>
          <w:color w:val="000000"/>
        </w:rPr>
        <w:t>Authorized Shares</w:t>
      </w:r>
      <w:r>
        <w:rPr>
          <w:rFonts w:ascii="Times New Roman" w:cs="Times New Roman" w:eastAsia="Times New Roman" w:hAnsi="Times New Roman"/>
          <w:sz w:val="19"/>
          <w:szCs w:val="19"/>
          <w:color w:val="000000"/>
        </w:rPr>
        <w:t>. The total number of shares of capital stock that the Corporation shall have authority to issue 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270,000,000, which shall be divided into the following classes:</w:t>
      </w:r>
    </w:p>
    <w:p>
      <w:pPr>
        <w:spacing w:after="0" w:line="147" w:lineRule="exact"/>
        <w:rPr>
          <w:sz w:val="20"/>
          <w:szCs w:val="20"/>
          <w:color w:val="auto"/>
        </w:rPr>
      </w:pPr>
    </w:p>
    <w:p>
      <w:pPr>
        <w:ind w:left="1820" w:hanging="386"/>
        <w:spacing w:after="0"/>
        <w:tabs>
          <w:tab w:leader="none" w:pos="1820"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260,000,000 shares shall be of a class designated Common Stock, par value $0.01 per share (“Common Stock”); and</w:t>
      </w:r>
    </w:p>
    <w:p>
      <w:pPr>
        <w:spacing w:after="0" w:line="159" w:lineRule="exact"/>
        <w:rPr>
          <w:rFonts w:ascii="Times New Roman" w:cs="Times New Roman" w:eastAsia="Times New Roman" w:hAnsi="Times New Roman"/>
          <w:sz w:val="19"/>
          <w:szCs w:val="19"/>
          <w:color w:val="010000"/>
        </w:rPr>
      </w:pPr>
    </w:p>
    <w:p>
      <w:pPr>
        <w:ind w:left="1840" w:hanging="406"/>
        <w:spacing w:after="0"/>
        <w:tabs>
          <w:tab w:leader="none" w:pos="1840"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10,000,000 shares shall be of a class designated Preferred Stock, par value $0.01 per share (“Preferred Stock”).</w:t>
      </w:r>
    </w:p>
    <w:p>
      <w:pPr>
        <w:spacing w:after="0" w:line="1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The number of authorized shares of Common Stock may be increased or decreased (but not below the number of shares then outstanding and the number then reserved for issuance upon the exercise, conversion or exchange of Rights (including, without limitation, Membership Units)) by an amendment to this Certificate approved by the affirmative vote of the holders of a majority of the outstanding Common Stock (and any other class or series of stock entitled to vote with the Common Stock).</w:t>
      </w:r>
    </w:p>
    <w:p>
      <w:pPr>
        <w:spacing w:after="0" w:line="150" w:lineRule="exact"/>
        <w:rPr>
          <w:sz w:val="20"/>
          <w:szCs w:val="20"/>
          <w:color w:val="auto"/>
        </w:rPr>
      </w:pPr>
    </w:p>
    <w:p>
      <w:pPr>
        <w:jc w:val="both"/>
        <w:ind w:firstLine="713"/>
        <w:spacing w:after="0" w:line="217" w:lineRule="auto"/>
        <w:rPr>
          <w:sz w:val="20"/>
          <w:szCs w:val="20"/>
          <w:color w:val="auto"/>
        </w:rPr>
      </w:pPr>
      <w:r>
        <w:rPr>
          <w:rFonts w:ascii="Times New Roman" w:cs="Times New Roman" w:eastAsia="Times New Roman" w:hAnsi="Times New Roman"/>
          <w:sz w:val="19"/>
          <w:szCs w:val="19"/>
          <w:color w:val="010000"/>
        </w:rPr>
        <w:t xml:space="preserve">Section 4.2 </w:t>
      </w:r>
      <w:r>
        <w:rPr>
          <w:rFonts w:ascii="Times New Roman" w:cs="Times New Roman" w:eastAsia="Times New Roman" w:hAnsi="Times New Roman"/>
          <w:sz w:val="19"/>
          <w:szCs w:val="19"/>
          <w:u w:val="single" w:color="auto"/>
          <w:color w:val="000000"/>
        </w:rPr>
        <w:t>Voting Power of Common Stock</w:t>
      </w:r>
      <w:r>
        <w:rPr>
          <w:rFonts w:ascii="Times New Roman" w:cs="Times New Roman" w:eastAsia="Times New Roman" w:hAnsi="Times New Roman"/>
          <w:sz w:val="19"/>
          <w:szCs w:val="19"/>
          <w:color w:val="000000"/>
        </w:rPr>
        <w:t>. Each holder of Common Stock shall be entitled to one vote for each share of Common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Stock held on all matters submitted to a vote of stockholders of the Corporation on which holders of Common Stock are entitled to vote. Except as may otherwise be required by the DGCL, by the provisions of this Certificate or any Preferred Stock Designation, the holders of outstanding shares of Common Stock, and the holders of outstanding shares of each series of Preferred Stock entitled to vote thereon, if any, shall vote as one class with respect to all matters to be voted on by the stockholders of the Corporation, and no separate vote or consent of the holders of shares of Common Stock or the holders of shares of any series of Preferred Stock, if any, shall be required for the approval of any such matter.</w:t>
      </w:r>
    </w:p>
    <w:p>
      <w:pPr>
        <w:spacing w:after="0" w:line="13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Notwithstanding the foregoing and provided that the subject matter being voted thereon does not adversely affect the rights, powers or preferences of the Common Stock, holders of Common Stock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exclusively thereon pursuant to this Certificate (including any Preferred Stock Designation).</w:t>
      </w:r>
    </w:p>
    <w:p>
      <w:pPr>
        <w:spacing w:after="0" w:line="151" w:lineRule="exact"/>
        <w:rPr>
          <w:sz w:val="20"/>
          <w:szCs w:val="20"/>
          <w:color w:val="auto"/>
        </w:rPr>
      </w:pPr>
    </w:p>
    <w:p>
      <w:pPr>
        <w:ind w:left="720"/>
        <w:spacing w:after="0"/>
        <w:tabs>
          <w:tab w:leader="none" w:pos="1740" w:val="left"/>
        </w:tabs>
        <w:rPr>
          <w:sz w:val="20"/>
          <w:szCs w:val="20"/>
          <w:color w:val="auto"/>
        </w:rPr>
      </w:pPr>
      <w:r>
        <w:rPr>
          <w:rFonts w:ascii="Times New Roman" w:cs="Times New Roman" w:eastAsia="Times New Roman" w:hAnsi="Times New Roman"/>
          <w:sz w:val="19"/>
          <w:szCs w:val="19"/>
          <w:color w:val="010000"/>
        </w:rPr>
        <w:t>Section 4.3</w:t>
      </w:r>
      <w:r>
        <w:rPr>
          <w:sz w:val="20"/>
          <w:szCs w:val="20"/>
          <w:color w:val="auto"/>
        </w:rPr>
        <w:tab/>
      </w:r>
      <w:r>
        <w:rPr>
          <w:rFonts w:ascii="Times New Roman" w:cs="Times New Roman" w:eastAsia="Times New Roman" w:hAnsi="Times New Roman"/>
          <w:sz w:val="18"/>
          <w:szCs w:val="18"/>
          <w:u w:val="single" w:color="auto"/>
          <w:color w:val="auto"/>
        </w:rPr>
        <w:t>Exchange Rights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434"/>
        <w:spacing w:after="0" w:line="219" w:lineRule="auto"/>
        <w:tabs>
          <w:tab w:leader="none" w:pos="1856"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LLC shall be entitled to exchange Membership Units, at any time and from time to time, on a one-for-one basis, into the same number of fully paid and non-assessable shares of Common Stock as may be required for the LLC to meet an obligation under the LLC Agreement to redeem Membership Units, subject to the Corporation’s right to elect a Cash Settlement. The LLC’s right to exchange Membership Units, and the Corporation’s obligations under this Section 4.3, shall be subject to the delivery of written notice (the “Redemption Notice”) by a Member to the LLC and the Corporation of such</w:t>
      </w:r>
    </w:p>
    <w:p>
      <w:pPr>
        <w:sectPr>
          <w:pgSz w:w="11900" w:h="16838" w:orient="portrait"/>
          <w:cols w:equalWidth="0" w:num="1">
            <w:col w:w="11240"/>
          </w:cols>
          <w:pgMar w:left="320" w:top="752" w:right="339" w:bottom="1440" w:gutter="0" w:footer="0" w:header="0"/>
        </w:sectPr>
      </w:pPr>
    </w:p>
    <w:bookmarkStart w:id="54" w:name="page55"/>
    <w:bookmarkEnd w:id="54"/>
    <w:p>
      <w:pPr>
        <w:jc w:val="both"/>
        <w:spacing w:after="0" w:line="219" w:lineRule="auto"/>
        <w:rPr>
          <w:sz w:val="20"/>
          <w:szCs w:val="20"/>
          <w:color w:val="auto"/>
        </w:rPr>
      </w:pPr>
      <w:r>
        <w:rPr>
          <w:rFonts w:ascii="Times New Roman" w:cs="Times New Roman" w:eastAsia="Times New Roman" w:hAnsi="Times New Roman"/>
          <w:sz w:val="19"/>
          <w:szCs w:val="19"/>
          <w:color w:val="auto"/>
        </w:rPr>
        <w:t>Member’s intent to cause the LLC to redeem all or a portion of the Membership Units held by such Member. The date specified in the Redemption Notice as the date that the LLC shall redeem the Membership Units shall also be the date (the “Exchange Date”) on which the exchange of Membership Units for shares of Common Stock shall occur. The number of Membership Units that the LLC shall issue and deliver to the Corporation for exchange on the Exchange Date pursuant to this Section 4.3 (the “Exchanged Units”) shall be equal to the number of Membership Units specified in the Redemption Notice to be redeemed by the LLC.</w:t>
      </w:r>
    </w:p>
    <w:p>
      <w:pPr>
        <w:spacing w:after="0" w:line="151" w:lineRule="exact"/>
        <w:rPr>
          <w:sz w:val="20"/>
          <w:szCs w:val="20"/>
          <w:color w:val="auto"/>
        </w:rPr>
      </w:pPr>
    </w:p>
    <w:p>
      <w:pPr>
        <w:jc w:val="both"/>
        <w:ind w:firstLine="1434"/>
        <w:spacing w:after="0" w:line="211" w:lineRule="auto"/>
        <w:tabs>
          <w:tab w:leader="none" w:pos="1907"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receipt of the Redemption Notice, the Corporation, in its sole discretion, may elect to deliver shares of Common Stock equal to the number of Exchanged Units (the “Share Settlement”), or may, in lieu of exchanging Common Stock for Exchanged Units, make a cash payment to the LLC in an amount equal to the number of Exchanged Units multiplied by the applicable Exchange Price (the “Cash Settlement”). Within three (3) Business Days of receipt of the Redemption Notice, the Corporation shall deliver written notice to the LLC (with a copy to the holder of Membership Units exercising its right to cause the LLC to redeem all or a portion of its Membership Units) of its intended settlement method (the “Settlement Notice”). If a Settlement Notice is not delivered within such three (3) day period, the Corporation shall be deemed to have elected a Share Settlement. If the Corporation elects to satisfy its exchange obligation through a Cash Settlement, then the holder of Membership Units exercising its right to cause the LLC to redeem all or a portion of its Membership Units may retract its Redemption Notice by delivering written notice of retraction (the “Retraction Notice”) to the LLC (with a copy to the Corporation) within two (2) Business Days of delivery of the Settlement Notice. If the Corporation elects to satisfy its exchange obligation through a Cash Settlement, the Corporation will sell to a third party a number of shares of Common Stock equal to the number of Exchanged Units and shall assure that the number of outstanding shares of Common Stock will equal on a one-for-one basis the number of Membership Units owned by the Corporation. Any Redemption Notice, Settlement Notice or Retraction Notice delivered by or to the Corporation may be delivered by hand or sent by facsimile, electronic mail or nationally recognized overnight delivery service and shall be deemed given when received if delivered on a Business Day during normal business hours of the recipient or, if not so delivered, on the next Business Day following receipt or delivery.</w:t>
      </w:r>
    </w:p>
    <w:p>
      <w:pPr>
        <w:spacing w:after="0" w:line="142" w:lineRule="exact"/>
        <w:rPr>
          <w:rFonts w:ascii="Times New Roman" w:cs="Times New Roman" w:eastAsia="Times New Roman" w:hAnsi="Times New Roman"/>
          <w:sz w:val="19"/>
          <w:szCs w:val="19"/>
          <w:color w:val="010000"/>
        </w:rPr>
      </w:pPr>
    </w:p>
    <w:p>
      <w:pPr>
        <w:ind w:left="1820" w:hanging="386"/>
        <w:spacing w:after="0"/>
        <w:tabs>
          <w:tab w:leader="none" w:pos="1820"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a timely Retraction Notice has been delivered to the Corporation, on the Exchange Date the following shall occur:</w:t>
      </w:r>
    </w:p>
    <w:p>
      <w:pPr>
        <w:spacing w:after="0" w:line="173" w:lineRule="exact"/>
        <w:rPr>
          <w:rFonts w:ascii="Times New Roman" w:cs="Times New Roman" w:eastAsia="Times New Roman" w:hAnsi="Times New Roman"/>
          <w:sz w:val="19"/>
          <w:szCs w:val="19"/>
          <w:color w:val="010000"/>
        </w:rPr>
      </w:pPr>
    </w:p>
    <w:p>
      <w:pPr>
        <w:ind w:firstLine="2146"/>
        <w:spacing w:after="0" w:line="238" w:lineRule="auto"/>
        <w:tabs>
          <w:tab w:leader="none" w:pos="2538"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LLC shall (A) issue and deliver to the Corporation a certificate representing the number of Exchanged Units to be exchanged, and (B) deliver to the Corporation all transfer tax stamps or funds therefor, if required pursuant to Section 4.3(g);</w:t>
      </w:r>
    </w:p>
    <w:p>
      <w:pPr>
        <w:spacing w:after="0" w:line="147" w:lineRule="exact"/>
        <w:rPr>
          <w:rFonts w:ascii="Times New Roman" w:cs="Times New Roman" w:eastAsia="Times New Roman" w:hAnsi="Times New Roman"/>
          <w:sz w:val="19"/>
          <w:szCs w:val="19"/>
          <w:color w:val="010000"/>
        </w:rPr>
      </w:pPr>
    </w:p>
    <w:p>
      <w:pPr>
        <w:ind w:firstLine="2146"/>
        <w:spacing w:after="0" w:line="238" w:lineRule="auto"/>
        <w:tabs>
          <w:tab w:leader="none" w:pos="2619"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Corporation shall deliver to the LLC (or such other party that the LLC may designate in accordance with Section 4.3(d)) one of the following:</w:t>
      </w:r>
    </w:p>
    <w:p>
      <w:pPr>
        <w:spacing w:after="0" w:line="124" w:lineRule="exact"/>
        <w:rPr>
          <w:rFonts w:ascii="Times New Roman" w:cs="Times New Roman" w:eastAsia="Times New Roman" w:hAnsi="Times New Roman"/>
          <w:sz w:val="19"/>
          <w:szCs w:val="19"/>
          <w:color w:val="010000"/>
        </w:rPr>
      </w:pPr>
    </w:p>
    <w:p>
      <w:pPr>
        <w:ind w:left="3280" w:hanging="421"/>
        <w:spacing w:after="0"/>
        <w:tabs>
          <w:tab w:leader="none" w:pos="3280" w:val="left"/>
        </w:tabs>
        <w:numPr>
          <w:ilvl w:val="2"/>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 Share Settlement for the Exchanged Units, the Corporation shall issue to the LLC or in such other</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name or names the LLC may direct a number of shares of Common Stock equal to the number of Exchanged Units; or</w:t>
      </w:r>
    </w:p>
    <w:p>
      <w:pPr>
        <w:spacing w:after="0" w:line="153" w:lineRule="exact"/>
        <w:rPr>
          <w:rFonts w:ascii="Times New Roman" w:cs="Times New Roman" w:eastAsia="Times New Roman" w:hAnsi="Times New Roman"/>
          <w:sz w:val="19"/>
          <w:szCs w:val="19"/>
          <w:color w:val="010000"/>
        </w:rPr>
      </w:pPr>
    </w:p>
    <w:p>
      <w:pPr>
        <w:jc w:val="both"/>
        <w:ind w:firstLine="2859"/>
        <w:spacing w:after="0" w:line="227" w:lineRule="auto"/>
        <w:tabs>
          <w:tab w:leader="none" w:pos="3262" w:val="left"/>
        </w:tabs>
        <w:numPr>
          <w:ilvl w:val="2"/>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 Cash Settlement for the Exchanged Units, the Corporation shall pay to the LLC or such other Person as the LLC may direct, by wire transfer of immediately available funds, an amount equal to the number of Exchanged Units multiplied by the then applicable Exchange Price.</w:t>
      </w:r>
    </w:p>
    <w:p>
      <w:pPr>
        <w:spacing w:after="0" w:line="149" w:lineRule="exact"/>
        <w:rPr>
          <w:rFonts w:ascii="Times New Roman" w:cs="Times New Roman" w:eastAsia="Times New Roman" w:hAnsi="Times New Roman"/>
          <w:sz w:val="19"/>
          <w:szCs w:val="19"/>
          <w:color w:val="010000"/>
        </w:rPr>
      </w:pPr>
    </w:p>
    <w:p>
      <w:pPr>
        <w:jc w:val="both"/>
        <w:ind w:firstLine="1434"/>
        <w:spacing w:after="0" w:line="214" w:lineRule="auto"/>
        <w:tabs>
          <w:tab w:leader="none" w:pos="1907"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a timely Retraction Notice has been delivered to the Corporation, on the Exchange Date, provided the LLC has delivered one or more certificates representing Exchanged Units in the manner provided in Section 4.3(c) and paid in cash any amount required by Section 4.3(g), the Corporation will deliver or cause to be delivered at the office of the Corporation’s transfer agent, a certificate or certificates representing the number of full shares of Common Stock issuable upon such exchange in a Share Settlement, issued in the name of the LLC or in such other name or names the LLC may direct. If the Corporation has elected a Cash Settlement in accordance with Section 4.3(b), the Corporation will deliver the Cash Settlement amount to the LLC. Such exchange shall be deemed to have been effected immediately prior to the close of business on the Exchange Date. The person or persons in whose name or names the certificate or certificates representing the shares of Common Stock are to be issued shall be treated for all purposes as having become the record holder or holders of such shares of Common Stock immediately prior to the close of business on the Exchange Date.</w:t>
      </w:r>
    </w:p>
    <w:p>
      <w:pPr>
        <w:spacing w:after="0" w:line="136" w:lineRule="exact"/>
        <w:rPr>
          <w:rFonts w:ascii="Times New Roman" w:cs="Times New Roman" w:eastAsia="Times New Roman" w:hAnsi="Times New Roman"/>
          <w:sz w:val="19"/>
          <w:szCs w:val="19"/>
          <w:color w:val="010000"/>
        </w:rPr>
      </w:pPr>
    </w:p>
    <w:p>
      <w:pPr>
        <w:jc w:val="both"/>
        <w:ind w:firstLine="1434"/>
        <w:spacing w:after="0" w:line="215" w:lineRule="auto"/>
        <w:tabs>
          <w:tab w:leader="none" w:pos="1829"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 the event of a reclassification or other similar transaction as a result of which the shares of Common Stock are converted into another security, then the LLC shall be entitled to receive upon exchange of Membership Units the amount of such security that such holder would have received if such exchange had occurred immediately prior to the record date of such reclassification or other similar transaction. No adjustments in respect of dividends shall be made upon the exchange of any Membership Unit;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 that if a Membership Unit shall be exchanged subsequent to the record date for the payment of a dividend or other distribution on Membership Units but prior to such payment, then the registered holder of such Membership Unit at the close of business on such record date shall be entitled to receive the dividend or other distribution payable on such Membership Unit notwithstanding the exchange thereof or the default in settlement of the exchange or payment of the dividend or distribution due.</w:t>
      </w:r>
    </w:p>
    <w:p>
      <w:pPr>
        <w:spacing w:after="0" w:line="148" w:lineRule="exact"/>
        <w:rPr>
          <w:rFonts w:ascii="Times New Roman" w:cs="Times New Roman" w:eastAsia="Times New Roman" w:hAnsi="Times New Roman"/>
          <w:sz w:val="19"/>
          <w:szCs w:val="19"/>
          <w:color w:val="010000"/>
        </w:rPr>
      </w:pPr>
    </w:p>
    <w:p>
      <w:pPr>
        <w:jc w:val="both"/>
        <w:ind w:firstLine="1434"/>
        <w:spacing w:after="0" w:line="222" w:lineRule="auto"/>
        <w:tabs>
          <w:tab w:leader="none" w:pos="1848"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Corporation will at all times reserve and keep available out of its authorized but unissued shares of Common Stock, solely for the purpose of issuance upon exchange of Membership Units by the LLC in accordance with this Section 4.3, such number of shares of Common Stock that shall be issuable upon the exchange of all outstanding Membership Units exchangeable hereunder; provided that nothing contained herein shall preclude the Corporation from satisfying its</w:t>
      </w:r>
    </w:p>
    <w:p>
      <w:pPr>
        <w:sectPr>
          <w:pgSz w:w="11900" w:h="16838" w:orient="portrait"/>
          <w:cols w:equalWidth="0" w:num="1">
            <w:col w:w="11240"/>
          </w:cols>
          <w:pgMar w:left="320" w:top="748" w:right="339" w:bottom="1440" w:gutter="0" w:footer="0" w:header="0"/>
        </w:sectPr>
      </w:pPr>
    </w:p>
    <w:bookmarkStart w:id="55" w:name="page56"/>
    <w:bookmarkEnd w:id="55"/>
    <w:p>
      <w:pPr>
        <w:jc w:val="both"/>
        <w:spacing w:after="0" w:line="217" w:lineRule="auto"/>
        <w:rPr>
          <w:sz w:val="20"/>
          <w:szCs w:val="20"/>
          <w:color w:val="auto"/>
        </w:rPr>
      </w:pPr>
      <w:r>
        <w:rPr>
          <w:rFonts w:ascii="Times New Roman" w:cs="Times New Roman" w:eastAsia="Times New Roman" w:hAnsi="Times New Roman"/>
          <w:sz w:val="19"/>
          <w:szCs w:val="19"/>
          <w:color w:val="auto"/>
        </w:rPr>
        <w:t>obligations in respect of the exchange of the outstanding Membership Units by delivery of shares of Common Stock that are held in the treasury of the Corporation. If any shares of Common Stock require registration with or approval of any governmental authority under any federal or state law before such shares of Common Stock may be issued upon exchange, the Corporation will cause such shares to be duly registered or approved, as the case may be. All shares of Common Stock that are issued upon exchange of the Membership Units will, upon issue, be validly issued, fully paid and non-assessable and be listed upon each national securities exchange, other securities exchange or automated or electronic quotation system upon which the outstanding Common Stock is listed at the time of delivery.</w:t>
      </w:r>
    </w:p>
    <w:p>
      <w:pPr>
        <w:spacing w:after="0" w:line="151" w:lineRule="exact"/>
        <w:rPr>
          <w:sz w:val="20"/>
          <w:szCs w:val="20"/>
          <w:color w:val="auto"/>
        </w:rPr>
      </w:pPr>
    </w:p>
    <w:p>
      <w:pPr>
        <w:jc w:val="both"/>
        <w:ind w:firstLine="1434"/>
        <w:spacing w:after="0" w:line="219" w:lineRule="auto"/>
        <w:tabs>
          <w:tab w:leader="none" w:pos="1974" w:val="left"/>
        </w:tabs>
        <w:numPr>
          <w:ilvl w:val="0"/>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issuance of certificates representing shares of Common Stock upon exchange of Membership Units in a Share Settlement shall be made without charge to the LLC for any stamp or other similar tax in respect of such issuance;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 that if any such certificate is to be issued in a name other than that of the LLC, then the person or persons requesting the issuance thereof shall pay to the LLC for remittance to the Corporation the amount of any tax that may be payable in respect of any transfer involved in such issuance or shall establish to the satisfaction of the Corporation that such tax has been paid or is not payable.</w:t>
      </w:r>
    </w:p>
    <w:p>
      <w:pPr>
        <w:spacing w:after="0" w:line="137" w:lineRule="exact"/>
        <w:rPr>
          <w:sz w:val="20"/>
          <w:szCs w:val="20"/>
          <w:color w:val="auto"/>
        </w:rPr>
      </w:pPr>
    </w:p>
    <w:p>
      <w:pPr>
        <w:ind w:left="720"/>
        <w:spacing w:after="0"/>
        <w:tabs>
          <w:tab w:leader="none" w:pos="1740" w:val="left"/>
        </w:tabs>
        <w:rPr>
          <w:sz w:val="20"/>
          <w:szCs w:val="20"/>
          <w:color w:val="auto"/>
        </w:rPr>
      </w:pPr>
      <w:r>
        <w:rPr>
          <w:rFonts w:ascii="Times New Roman" w:cs="Times New Roman" w:eastAsia="Times New Roman" w:hAnsi="Times New Roman"/>
          <w:sz w:val="19"/>
          <w:szCs w:val="19"/>
          <w:color w:val="010000"/>
        </w:rPr>
        <w:t>Section 4.4</w:t>
      </w:r>
      <w:r>
        <w:rPr>
          <w:sz w:val="20"/>
          <w:szCs w:val="20"/>
          <w:color w:val="auto"/>
        </w:rPr>
        <w:tab/>
      </w:r>
      <w:r>
        <w:rPr>
          <w:rFonts w:ascii="Times New Roman" w:cs="Times New Roman" w:eastAsia="Times New Roman" w:hAnsi="Times New Roman"/>
          <w:sz w:val="18"/>
          <w:szCs w:val="18"/>
          <w:u w:val="single" w:color="auto"/>
          <w:color w:val="auto"/>
        </w:rPr>
        <w:t>Stock Splits, Ratios, Adjusting Outstanding Shares of Common Stock or Membership Units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434"/>
        <w:spacing w:after="0" w:line="217" w:lineRule="auto"/>
        <w:tabs>
          <w:tab w:leader="none" w:pos="2004"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Corporation shall undertake all actions, including, without limitation, a reclassification, dividend, division or recapitalization, with respect to the shares of Common Stock or the Membership Units (in the case of the LLC, the Corporation authorizing such in its capacity as manager of the LLC), to maintain at all times a one-to-one ratio between the number of Membership Units owned by the Corporation and the number of outstanding shares of Common Stock, disregarding, for purposes of maintaining the one-to-one ratio, shares of Common Stock issued pursuant to the Equity Incentive Plan that have not vested thereunder, treasury stock, Preferred Stock or other securities of the Corporation that are not convertible into or exercisable or exchangeable for Common Stock.</w:t>
      </w:r>
    </w:p>
    <w:p>
      <w:pPr>
        <w:spacing w:after="0" w:line="151" w:lineRule="exact"/>
        <w:rPr>
          <w:rFonts w:ascii="Times New Roman" w:cs="Times New Roman" w:eastAsia="Times New Roman" w:hAnsi="Times New Roman"/>
          <w:sz w:val="19"/>
          <w:szCs w:val="19"/>
          <w:color w:val="010000"/>
        </w:rPr>
      </w:pPr>
    </w:p>
    <w:p>
      <w:pPr>
        <w:jc w:val="both"/>
        <w:ind w:firstLine="1434"/>
        <w:spacing w:after="0" w:line="214" w:lineRule="auto"/>
        <w:tabs>
          <w:tab w:leader="none" w:pos="1907"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Corporation shall not undertake or authorize (i) any subdivision (by any Membership Unit split, Membership Unit distribution, reclassification, recapitalization or similar event) or combination (by reverse Membership Unit split, reclassification, recapitalization or similar event) of the Membership Units that is not accompanied by an identical subdivision or combination of the Common Stock to maintain at all times a one-to-one ratio between the number of Membership Units owned by the Corporation and the number of outstanding shares of Common Stock; or (ii) any subdivision (by any stock split, stock dividend, reclassification, recapitalization or similar event) or combination (by reverse stock split, reclassification, recapitalization or similar event) of the Common Stock that is not accompanied by an identical subdivision or combination of the Membership Units to maintain at all times a one-to-one ratio between the number of Membership Units owned by the Corporation and the number of outstanding shares of Common Stock, unless, in either case, such action is necessary to maintain at all times a one-to-one ratio between the number of Membership Units owned by the Corporation and the number of outstanding shares of Common Stock.</w:t>
      </w:r>
    </w:p>
    <w:p>
      <w:pPr>
        <w:spacing w:after="0" w:line="136" w:lineRule="exact"/>
        <w:rPr>
          <w:rFonts w:ascii="Times New Roman" w:cs="Times New Roman" w:eastAsia="Times New Roman" w:hAnsi="Times New Roman"/>
          <w:sz w:val="19"/>
          <w:szCs w:val="19"/>
          <w:color w:val="010000"/>
        </w:rPr>
      </w:pPr>
    </w:p>
    <w:p>
      <w:pPr>
        <w:jc w:val="both"/>
        <w:ind w:firstLine="1434"/>
        <w:spacing w:after="0" w:line="216" w:lineRule="auto"/>
        <w:tabs>
          <w:tab w:leader="none" w:pos="1869"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Corporation shall not issue, transfer or deliver from treasury stock or repurchase shares of Common Stock unless in connection with any such issuance, transfer or repurchase the Corporation takes or authorizes all requisite action such that, after giving effect to all such issuances, transfers or repurchases, the number of outstanding shares of Common Stock will equal on a one-for-one basis the number of Membership Units owned by the Corporation. The Corporation shall not issue, transfer or deliver from treasury stock or repurchase shares of Preferred Stock unless in connection with any such issuance, transfer, delivery or repurchase the Corporation takes all requisite action such that, after giving effect to all such issuances, transfers or repurchases, the Corporation holds mirror equity interests of the LLC which (in the good faith determination by the Board) are in the aggregate substantially equivalent to the outstanding Preferred Stock.</w:t>
      </w:r>
    </w:p>
    <w:p>
      <w:pPr>
        <w:spacing w:after="0" w:line="149" w:lineRule="exact"/>
        <w:rPr>
          <w:sz w:val="20"/>
          <w:szCs w:val="20"/>
          <w:color w:val="auto"/>
        </w:rPr>
      </w:pPr>
    </w:p>
    <w:p>
      <w:pPr>
        <w:jc w:val="both"/>
        <w:ind w:firstLine="713"/>
        <w:spacing w:after="0" w:line="227" w:lineRule="auto"/>
        <w:rPr>
          <w:sz w:val="20"/>
          <w:szCs w:val="20"/>
          <w:color w:val="auto"/>
        </w:rPr>
      </w:pPr>
      <w:r>
        <w:rPr>
          <w:rFonts w:ascii="Times New Roman" w:cs="Times New Roman" w:eastAsia="Times New Roman" w:hAnsi="Times New Roman"/>
          <w:sz w:val="19"/>
          <w:szCs w:val="19"/>
          <w:color w:val="010000"/>
        </w:rPr>
        <w:t xml:space="preserve">Section 4.5 </w:t>
      </w:r>
      <w:r>
        <w:rPr>
          <w:rFonts w:ascii="Times New Roman" w:cs="Times New Roman" w:eastAsia="Times New Roman" w:hAnsi="Times New Roman"/>
          <w:sz w:val="19"/>
          <w:szCs w:val="19"/>
          <w:u w:val="single" w:color="auto"/>
          <w:color w:val="000000"/>
        </w:rPr>
        <w:t>Dividends and Distributions</w:t>
      </w:r>
      <w:r>
        <w:rPr>
          <w:rFonts w:ascii="Times New Roman" w:cs="Times New Roman" w:eastAsia="Times New Roman" w:hAnsi="Times New Roman"/>
          <w:sz w:val="19"/>
          <w:szCs w:val="19"/>
          <w:color w:val="000000"/>
        </w:rPr>
        <w:t>. Subject to the preferences of Preferred Stock, if any, outstanding at any time, the holders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shares of Common Stock shall be entitled to receive such dividends and other distributions in property or shares of stock of the Corporation as may be declared thereon by the Board from time to time out of assets or funds of the Corporation legally available therefor.</w:t>
      </w:r>
    </w:p>
    <w:p>
      <w:pPr>
        <w:spacing w:after="0" w:line="150" w:lineRule="exact"/>
        <w:rPr>
          <w:sz w:val="20"/>
          <w:szCs w:val="20"/>
          <w:color w:val="auto"/>
        </w:rPr>
      </w:pPr>
    </w:p>
    <w:p>
      <w:pPr>
        <w:jc w:val="both"/>
        <w:ind w:firstLine="713"/>
        <w:spacing w:after="0" w:line="213" w:lineRule="auto"/>
        <w:rPr>
          <w:sz w:val="20"/>
          <w:szCs w:val="20"/>
          <w:color w:val="auto"/>
        </w:rPr>
      </w:pPr>
      <w:r>
        <w:rPr>
          <w:rFonts w:ascii="Times New Roman" w:cs="Times New Roman" w:eastAsia="Times New Roman" w:hAnsi="Times New Roman"/>
          <w:sz w:val="19"/>
          <w:szCs w:val="19"/>
          <w:color w:val="010000"/>
        </w:rPr>
        <w:t xml:space="preserve">Section 4.6 </w:t>
      </w:r>
      <w:r>
        <w:rPr>
          <w:rFonts w:ascii="Times New Roman" w:cs="Times New Roman" w:eastAsia="Times New Roman" w:hAnsi="Times New Roman"/>
          <w:sz w:val="19"/>
          <w:szCs w:val="19"/>
          <w:u w:val="single" w:color="auto"/>
          <w:color w:val="000000"/>
        </w:rPr>
        <w:t>Mergers, Consolidation, Etc</w:t>
      </w:r>
      <w:r>
        <w:rPr>
          <w:rFonts w:ascii="Times New Roman" w:cs="Times New Roman" w:eastAsia="Times New Roman" w:hAnsi="Times New Roman"/>
          <w:sz w:val="19"/>
          <w:szCs w:val="19"/>
          <w:color w:val="000000"/>
        </w:rPr>
        <w:t>. The Corporation shall not consolidate, merge, combine or consummate any other transaction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each case other than incident to an exchange or a conversion of Common Stock and/or other securities for Common Stock pursuant to the terms of this Certificate) in which shares of Common Stock are exchanged for or converted into other stock or securities, or the right to receive cash and/or any other property, unless in connection with any such consolidation, merger, combination or other transaction the Membership Units or the shares of Common Stock shall be entitled to be exchanged (subject to proration upon equitable terms in the event of a merger or consolidation upon prorated terms) for or converted into the same kind and amount of stock or securities, cash and/or any other property, as the case may be, into which or for which each Membership Unit or share of Common Stock is exchanged or converted and in each case to maintain at all times a one-to-one ratio between the number of Membership Units or other stock, securities, or rights to receive cash and/or any other property owned by the Corporation and the number of outstanding shares of Common Stock or other stock, securities, or rights to receive cash and/or any other property issued by the Corporation.</w:t>
      </w:r>
    </w:p>
    <w:p>
      <w:pPr>
        <w:spacing w:after="0" w:line="140" w:lineRule="exact"/>
        <w:rPr>
          <w:sz w:val="20"/>
          <w:szCs w:val="20"/>
          <w:color w:val="auto"/>
        </w:rPr>
      </w:pPr>
    </w:p>
    <w:p>
      <w:pPr>
        <w:jc w:val="both"/>
        <w:ind w:firstLine="713"/>
        <w:spacing w:after="0" w:line="227" w:lineRule="auto"/>
        <w:rPr>
          <w:sz w:val="20"/>
          <w:szCs w:val="20"/>
          <w:color w:val="auto"/>
        </w:rPr>
      </w:pPr>
      <w:r>
        <w:rPr>
          <w:rFonts w:ascii="Times New Roman" w:cs="Times New Roman" w:eastAsia="Times New Roman" w:hAnsi="Times New Roman"/>
          <w:sz w:val="19"/>
          <w:szCs w:val="19"/>
          <w:color w:val="010000"/>
        </w:rPr>
        <w:t xml:space="preserve">Section 4.7 </w:t>
      </w:r>
      <w:r>
        <w:rPr>
          <w:rFonts w:ascii="Times New Roman" w:cs="Times New Roman" w:eastAsia="Times New Roman" w:hAnsi="Times New Roman"/>
          <w:sz w:val="19"/>
          <w:szCs w:val="19"/>
          <w:u w:val="single" w:color="auto"/>
          <w:color w:val="000000"/>
        </w:rPr>
        <w:t>Preferred Stock</w:t>
      </w:r>
      <w:r>
        <w:rPr>
          <w:rFonts w:ascii="Times New Roman" w:cs="Times New Roman" w:eastAsia="Times New Roman" w:hAnsi="Times New Roman"/>
          <w:sz w:val="19"/>
          <w:szCs w:val="19"/>
          <w:color w:val="000000"/>
        </w:rPr>
        <w:t>. The Board is authorized, subject to any limitations prescribed by applicable law, to provide from time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time for the issuance of shares of Preferred Stock in one or more series, and by filing a certificate pursuant to the DGCL (a “Preferred Stock Designation”), to establish the rights, powers and preferences of each such series of Preferred Stock, including the following:</w:t>
      </w:r>
    </w:p>
    <w:p>
      <w:pPr>
        <w:sectPr>
          <w:pgSz w:w="11900" w:h="16838" w:orient="portrait"/>
          <w:cols w:equalWidth="0" w:num="1">
            <w:col w:w="11240"/>
          </w:cols>
          <w:pgMar w:left="320" w:top="748" w:right="339" w:bottom="1440" w:gutter="0" w:footer="0" w:header="0"/>
        </w:sectPr>
      </w:pPr>
    </w:p>
    <w:bookmarkStart w:id="56" w:name="page57"/>
    <w:bookmarkEnd w:id="56"/>
    <w:p>
      <w:pPr>
        <w:ind w:firstLine="1434"/>
        <w:spacing w:after="0" w:line="238" w:lineRule="auto"/>
        <w:tabs>
          <w:tab w:leader="none" w:pos="1829"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number of shares of that series, which may subsequently be increased or decreased (but not below the number of shares of that series then outstanding) by resolution of the Board, and the distinctive serial designation thereof;</w:t>
      </w:r>
    </w:p>
    <w:p>
      <w:pPr>
        <w:spacing w:after="0" w:line="147" w:lineRule="exact"/>
        <w:rPr>
          <w:rFonts w:ascii="Times New Roman" w:cs="Times New Roman" w:eastAsia="Times New Roman" w:hAnsi="Times New Roman"/>
          <w:sz w:val="19"/>
          <w:szCs w:val="19"/>
          <w:color w:val="010000"/>
        </w:rPr>
      </w:pPr>
    </w:p>
    <w:p>
      <w:pPr>
        <w:ind w:left="1840" w:hanging="406"/>
        <w:spacing w:after="0"/>
        <w:tabs>
          <w:tab w:leader="none" w:pos="1840"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voting powers, full or limited, if any, of the shares of that series and the number of votes per share;</w:t>
      </w:r>
    </w:p>
    <w:p>
      <w:pPr>
        <w:spacing w:after="0" w:line="159" w:lineRule="exact"/>
        <w:rPr>
          <w:rFonts w:ascii="Times New Roman" w:cs="Times New Roman" w:eastAsia="Times New Roman" w:hAnsi="Times New Roman"/>
          <w:sz w:val="19"/>
          <w:szCs w:val="19"/>
          <w:color w:val="010000"/>
        </w:rPr>
      </w:pPr>
    </w:p>
    <w:p>
      <w:pPr>
        <w:jc w:val="both"/>
        <w:ind w:firstLine="1434"/>
        <w:spacing w:after="0" w:line="227" w:lineRule="auto"/>
        <w:tabs>
          <w:tab w:leader="none" w:pos="1842"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rights in respect of dividends on the shares of that series, whether dividends shall be cumulative and, if so, from which date or dates and the relative rights or priority, if any, of payment of dividends on shares of that series and any limitations, restrictions or conditions on the payment of dividends;</w:t>
      </w:r>
    </w:p>
    <w:p>
      <w:pPr>
        <w:spacing w:after="0" w:line="149" w:lineRule="exact"/>
        <w:rPr>
          <w:rFonts w:ascii="Times New Roman" w:cs="Times New Roman" w:eastAsia="Times New Roman" w:hAnsi="Times New Roman"/>
          <w:sz w:val="19"/>
          <w:szCs w:val="19"/>
          <w:color w:val="010000"/>
        </w:rPr>
      </w:pPr>
    </w:p>
    <w:p>
      <w:pPr>
        <w:ind w:firstLine="1434"/>
        <w:spacing w:after="0" w:line="238" w:lineRule="auto"/>
        <w:tabs>
          <w:tab w:leader="none" w:pos="1907"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relative amounts, and the relative rights or priority, if any, of payment in respect of shares of that series, which the holders of the shares of that series shall be entitled to receive upon any liquidation, dissolution or winding up of the Corporation;</w:t>
      </w:r>
    </w:p>
    <w:p>
      <w:pPr>
        <w:spacing w:after="0" w:line="147" w:lineRule="exact"/>
        <w:rPr>
          <w:rFonts w:ascii="Times New Roman" w:cs="Times New Roman" w:eastAsia="Times New Roman" w:hAnsi="Times New Roman"/>
          <w:sz w:val="19"/>
          <w:szCs w:val="19"/>
          <w:color w:val="010000"/>
        </w:rPr>
      </w:pPr>
    </w:p>
    <w:p>
      <w:pPr>
        <w:jc w:val="both"/>
        <w:ind w:firstLine="1434"/>
        <w:spacing w:after="0" w:line="227" w:lineRule="auto"/>
        <w:tabs>
          <w:tab w:leader="none" w:pos="1964"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terms and conditions (including the price or prices, which may vary under different conditions and at different redemption or purchase dates), if any, upon which all or any part of the shares of that series may be redeemed or purchased by the Corporation, and any limitations, restrictions or conditions on such redemption or purchase;</w:t>
      </w:r>
    </w:p>
    <w:p>
      <w:pPr>
        <w:spacing w:after="0" w:line="136" w:lineRule="exact"/>
        <w:rPr>
          <w:rFonts w:ascii="Times New Roman" w:cs="Times New Roman" w:eastAsia="Times New Roman" w:hAnsi="Times New Roman"/>
          <w:sz w:val="19"/>
          <w:szCs w:val="19"/>
          <w:color w:val="010000"/>
        </w:rPr>
      </w:pPr>
    </w:p>
    <w:p>
      <w:pPr>
        <w:ind w:left="1800" w:hanging="366"/>
        <w:spacing w:after="0"/>
        <w:tabs>
          <w:tab w:leader="none" w:pos="1800"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terms, if any, of any purchase, retirement or sinking fund to be provided for the shares of that series;</w:t>
      </w:r>
    </w:p>
    <w:p>
      <w:pPr>
        <w:spacing w:after="0" w:line="173" w:lineRule="exact"/>
        <w:rPr>
          <w:rFonts w:ascii="Times New Roman" w:cs="Times New Roman" w:eastAsia="Times New Roman" w:hAnsi="Times New Roman"/>
          <w:sz w:val="19"/>
          <w:szCs w:val="19"/>
          <w:color w:val="010000"/>
        </w:rPr>
      </w:pPr>
    </w:p>
    <w:p>
      <w:pPr>
        <w:ind w:right="20" w:firstLine="1434"/>
        <w:spacing w:after="0" w:line="238" w:lineRule="auto"/>
        <w:tabs>
          <w:tab w:leader="none" w:pos="1826"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terms, if any, upon which the shares of that series shall be convertible into or exchangeable for shares of any other class, classes or series, or other securities, whether or not issued by the Corporation;</w:t>
      </w:r>
    </w:p>
    <w:p>
      <w:pPr>
        <w:spacing w:after="0" w:line="147" w:lineRule="exact"/>
        <w:rPr>
          <w:rFonts w:ascii="Times New Roman" w:cs="Times New Roman" w:eastAsia="Times New Roman" w:hAnsi="Times New Roman"/>
          <w:sz w:val="19"/>
          <w:szCs w:val="19"/>
          <w:color w:val="010000"/>
        </w:rPr>
      </w:pPr>
    </w:p>
    <w:p>
      <w:pPr>
        <w:ind w:firstLine="1434"/>
        <w:spacing w:after="0" w:line="238" w:lineRule="auto"/>
        <w:tabs>
          <w:tab w:leader="none" w:pos="1826"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restrictions, limitations and conditions, if any, upon issuance of indebtedness of the Corporation so long as any shares of that series are outstanding; and</w:t>
      </w:r>
    </w:p>
    <w:p>
      <w:pPr>
        <w:spacing w:after="0" w:line="133" w:lineRule="exact"/>
        <w:rPr>
          <w:rFonts w:ascii="Times New Roman" w:cs="Times New Roman" w:eastAsia="Times New Roman" w:hAnsi="Times New Roman"/>
          <w:sz w:val="19"/>
          <w:szCs w:val="19"/>
          <w:color w:val="010000"/>
        </w:rPr>
      </w:pPr>
    </w:p>
    <w:p>
      <w:pPr>
        <w:ind w:firstLine="1434"/>
        <w:spacing w:after="0" w:line="238" w:lineRule="auto"/>
        <w:tabs>
          <w:tab w:leader="none" w:pos="1878"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preferences and relative, participating, optional or other rights and limitations not inconsistent with law, this Article IV or any resolution of the Board in accordance with this Article IV.</w:t>
      </w:r>
    </w:p>
    <w:p>
      <w:pPr>
        <w:spacing w:after="0" w:line="14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9"/>
          <w:szCs w:val="19"/>
          <w:color w:val="auto"/>
        </w:rPr>
        <w:t>All shares of any one series of the Preferred Stock shall be alike in all respects. Except to the extent otherwise expressly provided in the Preferred Stock Designation for a series of Preferred Stock, the holders of shares of such series shall have no voting rights except as may be required by the laws of the DGCL. Further, unless otherwise expressly provided in the Preferred Stock Designation for a series of Preferred Stock, no consent or vote of the holders of shares of Preferred Stock or any series thereof shall be required for any amendment to this Certificate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of such series, as the case may be, then outstanding). Except as may be provided by the Board in a Preferred Stock Designation or by applicable law, shares of any series of Preferred Stock that have been redeemed (whether through the operation of a sinking fund or otherwise) or purchased by the Corporation, or which, if convertible or exchangeable, have been converted into or exchanged for shares of stock of any other class or series shall have the status of authorized and unissued shares of Preferred Stock and may be reissued as a part of the series of which they were originally a part or may be reissued as part of a new series of Preferred Stock to be created by resolution or resolutions of the Board or as part of any other series of Preferred Stock.</w:t>
      </w:r>
    </w:p>
    <w:p>
      <w:pPr>
        <w:spacing w:after="0" w:line="155" w:lineRule="exact"/>
        <w:rPr>
          <w:sz w:val="20"/>
          <w:szCs w:val="20"/>
          <w:color w:val="auto"/>
        </w:rPr>
      </w:pPr>
    </w:p>
    <w:p>
      <w:pPr>
        <w:jc w:val="both"/>
        <w:ind w:firstLine="713"/>
        <w:spacing w:after="0" w:line="216" w:lineRule="auto"/>
        <w:rPr>
          <w:sz w:val="20"/>
          <w:szCs w:val="20"/>
          <w:color w:val="auto"/>
        </w:rPr>
      </w:pPr>
      <w:r>
        <w:rPr>
          <w:rFonts w:ascii="Times New Roman" w:cs="Times New Roman" w:eastAsia="Times New Roman" w:hAnsi="Times New Roman"/>
          <w:sz w:val="19"/>
          <w:szCs w:val="19"/>
          <w:color w:val="010000"/>
        </w:rPr>
        <w:t xml:space="preserve">Section 4.8 </w:t>
      </w:r>
      <w:r>
        <w:rPr>
          <w:rFonts w:ascii="Times New Roman" w:cs="Times New Roman" w:eastAsia="Times New Roman" w:hAnsi="Times New Roman"/>
          <w:sz w:val="19"/>
          <w:szCs w:val="19"/>
          <w:u w:val="single" w:color="auto"/>
          <w:color w:val="000000"/>
        </w:rPr>
        <w:t>Liquidation, Dissolution or Winding Up</w:t>
      </w:r>
      <w:r>
        <w:rPr>
          <w:rFonts w:ascii="Times New Roman" w:cs="Times New Roman" w:eastAsia="Times New Roman" w:hAnsi="Times New Roman"/>
          <w:sz w:val="19"/>
          <w:szCs w:val="19"/>
          <w:color w:val="000000"/>
        </w:rPr>
        <w:t>. In the event of a liquidation, dissolution or winding up of the Corporation, whether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voluntary or involuntary, after payment or provision for payment of the debts and liabilities of the Corporation and subject to the prior payment in full of the preferential amounts to which any series of Preferred Stock is entitled, the holders of shares of Common Stock of all classes shall share equally, on a share for share basis, in the assets of the Corporation remaining for distribution to its holders of Common Stock. Neither the consolidation or merger of the Corporation with or into any other person or persons nor the sale, transfer or lease of all or substantially all of the assets of the Corporation shall itself be deemed to be a liquidation, dissolution or winding up of the Corporation within the meaning of this Section 4.8.</w:t>
      </w:r>
    </w:p>
    <w:p>
      <w:pPr>
        <w:spacing w:after="0" w:line="136" w:lineRule="exact"/>
        <w:rPr>
          <w:sz w:val="20"/>
          <w:szCs w:val="20"/>
          <w:color w:val="auto"/>
        </w:rPr>
      </w:pPr>
    </w:p>
    <w:p>
      <w:pPr>
        <w:jc w:val="both"/>
        <w:ind w:firstLine="713"/>
        <w:spacing w:after="0" w:line="218" w:lineRule="auto"/>
        <w:rPr>
          <w:sz w:val="20"/>
          <w:szCs w:val="20"/>
          <w:color w:val="auto"/>
        </w:rPr>
      </w:pPr>
      <w:r>
        <w:rPr>
          <w:rFonts w:ascii="Times New Roman" w:cs="Times New Roman" w:eastAsia="Times New Roman" w:hAnsi="Times New Roman"/>
          <w:sz w:val="19"/>
          <w:szCs w:val="19"/>
          <w:color w:val="010000"/>
        </w:rPr>
        <w:t xml:space="preserve">Section 4.9 </w:t>
      </w:r>
      <w:r>
        <w:rPr>
          <w:rFonts w:ascii="Times New Roman" w:cs="Times New Roman" w:eastAsia="Times New Roman" w:hAnsi="Times New Roman"/>
          <w:sz w:val="19"/>
          <w:szCs w:val="19"/>
          <w:u w:val="single" w:color="auto"/>
          <w:color w:val="000000"/>
        </w:rPr>
        <w:t>Notice</w:t>
      </w:r>
      <w:r>
        <w:rPr>
          <w:rFonts w:ascii="Times New Roman" w:cs="Times New Roman" w:eastAsia="Times New Roman" w:hAnsi="Times New Roman"/>
          <w:sz w:val="19"/>
          <w:szCs w:val="19"/>
          <w:color w:val="000000"/>
        </w:rPr>
        <w:t>. The Corporation shall give written notice thereof to all holders of Membership Units (based on the ledger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ownership of the LLC) at least 20 days prior to (i) the date on which the Corporation sets a record date for determining rights in connection with a</w:t>
      </w:r>
    </w:p>
    <w:p>
      <w:pPr>
        <w:spacing w:after="0" w:line="1" w:lineRule="exact"/>
        <w:rPr>
          <w:sz w:val="20"/>
          <w:szCs w:val="20"/>
          <w:color w:val="auto"/>
        </w:rPr>
      </w:pPr>
    </w:p>
    <w:p>
      <w:pPr>
        <w:ind w:firstLine="8"/>
        <w:spacing w:after="0" w:line="227" w:lineRule="auto"/>
        <w:tabs>
          <w:tab w:leader="none" w:pos="2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 tender offer, reorganization, recapitalization, reclassification or other change in the capital structure of the Corporation or (y) any dividend or distribution (including in liquidation) and (ii) if no such record date is set, the date of such foregoing event.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w:t>
      </w:r>
    </w:p>
    <w:p>
      <w:pPr>
        <w:ind w:left="4540"/>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153" w:lineRule="exact"/>
        <w:rPr>
          <w:sz w:val="20"/>
          <w:szCs w:val="20"/>
          <w:color w:val="auto"/>
        </w:rPr>
      </w:pPr>
    </w:p>
    <w:p>
      <w:pPr>
        <w:ind w:left="720"/>
        <w:spacing w:after="0"/>
        <w:tabs>
          <w:tab w:leader="none" w:pos="1740" w:val="left"/>
        </w:tabs>
        <w:rPr>
          <w:sz w:val="20"/>
          <w:szCs w:val="20"/>
          <w:color w:val="auto"/>
        </w:rPr>
      </w:pPr>
      <w:r>
        <w:rPr>
          <w:rFonts w:ascii="Times New Roman" w:cs="Times New Roman" w:eastAsia="Times New Roman" w:hAnsi="Times New Roman"/>
          <w:sz w:val="19"/>
          <w:szCs w:val="19"/>
          <w:color w:val="010000"/>
        </w:rPr>
        <w:t>Section 5.1</w:t>
      </w:r>
      <w:r>
        <w:rPr>
          <w:sz w:val="20"/>
          <w:szCs w:val="20"/>
          <w:color w:val="auto"/>
        </w:rPr>
        <w:tab/>
      </w:r>
      <w:r>
        <w:rPr>
          <w:rFonts w:ascii="Times New Roman" w:cs="Times New Roman" w:eastAsia="Times New Roman" w:hAnsi="Times New Roman"/>
          <w:sz w:val="18"/>
          <w:szCs w:val="18"/>
          <w:u w:val="single" w:color="auto"/>
          <w:color w:val="auto"/>
        </w:rPr>
        <w:t>Classification and Election of Directors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434"/>
        <w:spacing w:after="0" w:line="222" w:lineRule="auto"/>
        <w:tabs>
          <w:tab w:leader="none" w:pos="1937"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business and affairs of the Corporation shall be managed by or under the direction of a Board of Directors (the “Board”) which at the effective time of this Certificate shall be comprised of nine directors. The number of directors, other than those who may be elected by the holders of one or more series of Preferred Stock voting separately by class or series, shall be fixed by the Bylaws, but shall not be more than eleven. The directors of the Corporation will be elected by the plurality of the votes cast by the holders of shares of Common Stock.</w:t>
      </w:r>
    </w:p>
    <w:p>
      <w:pPr>
        <w:sectPr>
          <w:pgSz w:w="11900" w:h="16838" w:orient="portrait"/>
          <w:cols w:equalWidth="0" w:num="1">
            <w:col w:w="11240"/>
          </w:cols>
          <w:pgMar w:left="320" w:top="748" w:right="339" w:bottom="1440" w:gutter="0" w:footer="0" w:header="0"/>
        </w:sectPr>
      </w:pPr>
    </w:p>
    <w:bookmarkStart w:id="57" w:name="page58"/>
    <w:bookmarkEnd w:id="57"/>
    <w:p>
      <w:pPr>
        <w:jc w:val="both"/>
        <w:ind w:firstLine="1434"/>
        <w:spacing w:after="0" w:line="227" w:lineRule="auto"/>
        <w:tabs>
          <w:tab w:leader="none" w:pos="1826"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Following the date hereof, and subject to the rights of holders of any series of Preferred Stock with respect to the election of directors, each director of the Corporation shall hold office until the next annual meeting of stockholders and until his or her successor is duly elected and qualified or until his or her earlier death, resignation or removal.</w:t>
      </w:r>
    </w:p>
    <w:p>
      <w:pPr>
        <w:spacing w:after="0" w:line="150" w:lineRule="exact"/>
        <w:rPr>
          <w:sz w:val="20"/>
          <w:szCs w:val="20"/>
          <w:color w:val="auto"/>
        </w:rPr>
      </w:pPr>
    </w:p>
    <w:p>
      <w:pPr>
        <w:jc w:val="both"/>
        <w:ind w:firstLine="713"/>
        <w:spacing w:after="0" w:line="224" w:lineRule="auto"/>
        <w:rPr>
          <w:sz w:val="20"/>
          <w:szCs w:val="20"/>
          <w:color w:val="auto"/>
        </w:rPr>
      </w:pPr>
      <w:r>
        <w:rPr>
          <w:rFonts w:ascii="Times New Roman" w:cs="Times New Roman" w:eastAsia="Times New Roman" w:hAnsi="Times New Roman"/>
          <w:sz w:val="18"/>
          <w:szCs w:val="18"/>
          <w:color w:val="010000"/>
        </w:rPr>
        <w:t xml:space="preserve">Section 5.2 </w:t>
      </w:r>
      <w:r>
        <w:rPr>
          <w:rFonts w:ascii="Times New Roman" w:cs="Times New Roman" w:eastAsia="Times New Roman" w:hAnsi="Times New Roman"/>
          <w:sz w:val="18"/>
          <w:szCs w:val="18"/>
          <w:u w:val="single" w:color="auto"/>
          <w:color w:val="000000"/>
        </w:rPr>
        <w:t>Approval Rights of Certain Matters</w:t>
      </w:r>
      <w:r>
        <w:rPr>
          <w:rFonts w:ascii="Times New Roman" w:cs="Times New Roman" w:eastAsia="Times New Roman" w:hAnsi="Times New Roman"/>
          <w:sz w:val="18"/>
          <w:szCs w:val="18"/>
          <w:color w:val="000000"/>
        </w:rPr>
        <w:t>. So long as any Founding Member owns five percent or more of the then issued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Membership Units, including Membership Units acquired from another Founding Member or an Affiliate of another Founding Member (which, for purposes of this Section 5.2, shall be calculated to include (a) all shares of Common Stock beneficially owned by such Founding Member as of the date of determination as a result of the redemption of any Membership Units in accordance with Article 9 of the LLC Agreement,</w:t>
      </w:r>
    </w:p>
    <w:p>
      <w:pPr>
        <w:spacing w:after="0" w:line="3" w:lineRule="exact"/>
        <w:rPr>
          <w:sz w:val="20"/>
          <w:szCs w:val="20"/>
          <w:color w:val="auto"/>
        </w:rPr>
      </w:pPr>
    </w:p>
    <w:p>
      <w:pPr>
        <w:jc w:val="both"/>
        <w:ind w:firstLine="8"/>
        <w:spacing w:after="0" w:line="207" w:lineRule="auto"/>
        <w:tabs>
          <w:tab w:leader="none" w:pos="29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shares of Common Stock issued in connection with any dividend or distribution on the Common Stock so received as a result of the redemption of any Membership Units, and (c) any shares of Common Stock acquired from another Founding Member provided that such other Founding Member acquired such shares of Common Stock in a transaction described in clause (a) or (b) above, but excluding (x) any shares of Common Stock otherwise acquired by the Founding Members and (y) any Membership Units issued to the Corporation in connection with redemption of Membership Units by a Founding Member (unless the Founding Member has disposed of any of the shares of Common Stock received in connection with such redemption of Membership Units (other than to another Founding Member in a transaction described in clause (c) above), in which case a number of Membership Units issued to the Corporation in connection with such redemption equal to the number of shares of Common Stock disposed of by such Founding Member shall be included in determining such Founding Member’s ownership interest)), if either</w:t>
      </w:r>
    </w:p>
    <w:p>
      <w:pPr>
        <w:spacing w:after="0" w:line="4" w:lineRule="exact"/>
        <w:rPr>
          <w:rFonts w:ascii="Times New Roman" w:cs="Times New Roman" w:eastAsia="Times New Roman" w:hAnsi="Times New Roman"/>
          <w:sz w:val="19"/>
          <w:szCs w:val="19"/>
          <w:color w:val="auto"/>
        </w:rPr>
      </w:pPr>
    </w:p>
    <w:p>
      <w:pPr>
        <w:jc w:val="both"/>
        <w:ind w:firstLine="8"/>
        <w:spacing w:after="0" w:line="211" w:lineRule="auto"/>
        <w:tabs>
          <w:tab w:leader="none" w:pos="25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majority of the directors then in office have not approved any of the following actions, or (ii) (A) two directors then in office who were designated for election to the Board by Cinemark Media pursuant to Section 2.1 of the Director Designation Agreement (or if only one director so designated by Cinemark Media is serving on the Board and that director qualifies as an “independent director” under the applicable rules of The NASDAQ Stock Market LLC, then only such director), or (B) two directors then in office who were designated for election to the Board by Regal pursuant to Section 2.1 of the Director Designation Agreement (or if only one director so designated by Regal is serving on the Board and that director qualifies as an “independent director” under the applicable rules of The NASDAQ Stock Market LLC, then only such director), vote against any of the following actions, then, in either case, the Corporation shall be prohibited from (x) taking those of the following actions that were not approved by a majority of the directors as described in (i) above or were vetoed as described in (ii) above, or (y) in its capacity as manager of the LLC, authorizing or permitting the LLC to take those of the following actions that were not approved by a majority of the directors as described in (i) above or were vetoed as described in (ii) above, as the case may be:</w:t>
      </w:r>
    </w:p>
    <w:p>
      <w:pPr>
        <w:spacing w:after="0" w:line="128" w:lineRule="exact"/>
        <w:rPr>
          <w:rFonts w:ascii="Times New Roman" w:cs="Times New Roman" w:eastAsia="Times New Roman" w:hAnsi="Times New Roman"/>
          <w:sz w:val="19"/>
          <w:szCs w:val="19"/>
          <w:color w:val="auto"/>
        </w:rPr>
      </w:pPr>
    </w:p>
    <w:p>
      <w:pPr>
        <w:ind w:left="1980" w:hanging="546"/>
        <w:spacing w:after="0"/>
        <w:tabs>
          <w:tab w:leader="none" w:pos="1980"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assignment, transfer, sale or pledge of all or a portion of the Membership Interests beneficially owned by the</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Corporation;</w:t>
      </w:r>
    </w:p>
    <w:p>
      <w:pPr>
        <w:spacing w:after="0" w:line="153" w:lineRule="exact"/>
        <w:rPr>
          <w:rFonts w:ascii="Times New Roman" w:cs="Times New Roman" w:eastAsia="Times New Roman" w:hAnsi="Times New Roman"/>
          <w:sz w:val="19"/>
          <w:szCs w:val="19"/>
          <w:color w:val="010000"/>
        </w:rPr>
      </w:pPr>
    </w:p>
    <w:p>
      <w:pPr>
        <w:jc w:val="both"/>
        <w:ind w:firstLine="1434"/>
        <w:spacing w:after="0" w:line="222" w:lineRule="auto"/>
        <w:tabs>
          <w:tab w:leader="none" w:pos="1826"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acquisition, disposition, leasing or licensing of assets by the Corporation or the LLC or entering into a contract to do the foregoing, in a single transaction or in two or more transactions (related or unrelated) in any consecutive twelve-month period with an aggregate value (as determined in good faith by the Board) exceeding 20 percent of the fair market value of the business of the LLC operating as a going concern (as determined in good faith by the Board);</w:t>
      </w:r>
    </w:p>
    <w:p>
      <w:pPr>
        <w:spacing w:after="0" w:line="150" w:lineRule="exact"/>
        <w:rPr>
          <w:rFonts w:ascii="Times New Roman" w:cs="Times New Roman" w:eastAsia="Times New Roman" w:hAnsi="Times New Roman"/>
          <w:sz w:val="19"/>
          <w:szCs w:val="19"/>
          <w:color w:val="010000"/>
        </w:rPr>
      </w:pPr>
    </w:p>
    <w:p>
      <w:pPr>
        <w:ind w:firstLine="1434"/>
        <w:spacing w:after="0" w:line="238" w:lineRule="auto"/>
        <w:tabs>
          <w:tab w:leader="none" w:pos="1842"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merger, reorganization, recapitalization, reclassification, consolidation, dissolution, liquidation or similar transaction of the Corporation or the LLC;</w:t>
      </w:r>
    </w:p>
    <w:p>
      <w:pPr>
        <w:spacing w:after="0" w:line="133" w:lineRule="exact"/>
        <w:rPr>
          <w:rFonts w:ascii="Times New Roman" w:cs="Times New Roman" w:eastAsia="Times New Roman" w:hAnsi="Times New Roman"/>
          <w:sz w:val="19"/>
          <w:szCs w:val="19"/>
          <w:color w:val="010000"/>
        </w:rPr>
      </w:pPr>
    </w:p>
    <w:p>
      <w:pPr>
        <w:jc w:val="both"/>
        <w:ind w:firstLine="1434"/>
        <w:spacing w:after="0" w:line="227" w:lineRule="auto"/>
        <w:tabs>
          <w:tab w:leader="none" w:pos="1961"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incurrence by the Corporation or the LLC of any funded indebtedness (including the refinancing of any funded indebtedness) or the repayment before due of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149" w:lineRule="exact"/>
        <w:rPr>
          <w:rFonts w:ascii="Times New Roman" w:cs="Times New Roman" w:eastAsia="Times New Roman" w:hAnsi="Times New Roman"/>
          <w:sz w:val="19"/>
          <w:szCs w:val="19"/>
          <w:color w:val="010000"/>
        </w:rPr>
      </w:pPr>
    </w:p>
    <w:p>
      <w:pPr>
        <w:jc w:val="both"/>
        <w:ind w:firstLine="1434"/>
        <w:spacing w:after="0" w:line="222" w:lineRule="auto"/>
        <w:tabs>
          <w:tab w:leader="none" w:pos="1856"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(1) the issuance, grant or sale of shares of Common Stock or Rights with respect to Common Stock, except in connection with (x) the issuance of Rights to Common Stock in connection with the Equity Incentive Plan (or such other equity incentive compensation plan as may be approved by the Board in the future) or (y) any exchange of Membership Units in accordance with Section 4.3, or (2) the issuance, grant or sale of any Preferred Stock or Rights with respect to Preferred Stock;</w:t>
      </w:r>
    </w:p>
    <w:p>
      <w:pPr>
        <w:spacing w:after="0" w:line="150" w:lineRule="exact"/>
        <w:rPr>
          <w:rFonts w:ascii="Times New Roman" w:cs="Times New Roman" w:eastAsia="Times New Roman" w:hAnsi="Times New Roman"/>
          <w:sz w:val="19"/>
          <w:szCs w:val="19"/>
          <w:color w:val="010000"/>
        </w:rPr>
      </w:pPr>
    </w:p>
    <w:p>
      <w:pPr>
        <w:jc w:val="both"/>
        <w:ind w:right="20" w:firstLine="1434"/>
        <w:spacing w:after="0" w:line="227" w:lineRule="auto"/>
        <w:tabs>
          <w:tab w:leader="none" w:pos="1808"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authorization, issuance, grant or sale of additional Membership Interests or Rights with respect to Membership Interests (except as provided in the LLC Agreement, Unit Adjustment Agreement or pursuant to the Equity Incentive Plan or such other equity incentive compensation plan as may be approved by the Board in the future);</w:t>
      </w:r>
    </w:p>
    <w:p>
      <w:pPr>
        <w:spacing w:after="0" w:line="126" w:lineRule="exact"/>
        <w:rPr>
          <w:rFonts w:ascii="Times New Roman" w:cs="Times New Roman" w:eastAsia="Times New Roman" w:hAnsi="Times New Roman"/>
          <w:sz w:val="19"/>
          <w:szCs w:val="19"/>
          <w:color w:val="010000"/>
        </w:rPr>
      </w:pPr>
    </w:p>
    <w:p>
      <w:pPr>
        <w:ind w:left="1980" w:hanging="546"/>
        <w:spacing w:after="0"/>
        <w:tabs>
          <w:tab w:leader="none" w:pos="1980"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amendment, modification, restatement or repeal of any provision of this Certificate or the Bylaws or the LLC</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Agreement;</w:t>
      </w:r>
    </w:p>
    <w:p>
      <w:pPr>
        <w:spacing w:after="0" w:line="153" w:lineRule="exact"/>
        <w:rPr>
          <w:rFonts w:ascii="Times New Roman" w:cs="Times New Roman" w:eastAsia="Times New Roman" w:hAnsi="Times New Roman"/>
          <w:sz w:val="19"/>
          <w:szCs w:val="19"/>
          <w:color w:val="010000"/>
        </w:rPr>
      </w:pPr>
    </w:p>
    <w:p>
      <w:pPr>
        <w:ind w:left="1840" w:hanging="406"/>
        <w:spacing w:after="0"/>
        <w:tabs>
          <w:tab w:leader="none" w:pos="1840"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entering into, modification or termination of any contract of the type specified in Item 601(b)(10)(i) of Regulation S-K;</w:t>
      </w:r>
    </w:p>
    <w:p>
      <w:pPr>
        <w:spacing w:after="0" w:line="173" w:lineRule="exact"/>
        <w:rPr>
          <w:rFonts w:ascii="Times New Roman" w:cs="Times New Roman" w:eastAsia="Times New Roman" w:hAnsi="Times New Roman"/>
          <w:sz w:val="19"/>
          <w:szCs w:val="19"/>
          <w:color w:val="010000"/>
        </w:rPr>
      </w:pPr>
    </w:p>
    <w:p>
      <w:pPr>
        <w:ind w:firstLine="1434"/>
        <w:spacing w:after="0" w:line="238" w:lineRule="auto"/>
        <w:tabs>
          <w:tab w:leader="none" w:pos="1851"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specifically set forth in the LLC Agreement, the declaration, setting aside or payment of any redemption of or dividends on Membership Interests, payable in cash, property or otherwise;</w:t>
      </w:r>
    </w:p>
    <w:p>
      <w:pPr>
        <w:spacing w:after="0" w:line="133" w:lineRule="exact"/>
        <w:rPr>
          <w:rFonts w:ascii="Times New Roman" w:cs="Times New Roman" w:eastAsia="Times New Roman" w:hAnsi="Times New Roman"/>
          <w:sz w:val="19"/>
          <w:szCs w:val="19"/>
          <w:color w:val="010000"/>
        </w:rPr>
      </w:pPr>
    </w:p>
    <w:p>
      <w:pPr>
        <w:ind w:firstLine="1434"/>
        <w:spacing w:after="0" w:line="238" w:lineRule="auto"/>
        <w:tabs>
          <w:tab w:leader="none" w:pos="1824"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material amendment (as such term is described in IM-4350-5 to Rule 4350 of the Marketplace Rules of the NASDAQ Stock Market, Inc.) to the Equity Incentive Plan or the entering into or consummation of any new equity incentive compensation plan;</w:t>
      </w:r>
    </w:p>
    <w:p>
      <w:pPr>
        <w:sectPr>
          <w:pgSz w:w="11900" w:h="16838" w:orient="portrait"/>
          <w:cols w:equalWidth="0" w:num="1">
            <w:col w:w="11240"/>
          </w:cols>
          <w:pgMar w:left="320" w:top="748" w:right="339" w:bottom="1440" w:gutter="0" w:footer="0" w:header="0"/>
        </w:sectPr>
      </w:pPr>
    </w:p>
    <w:bookmarkStart w:id="58" w:name="page59"/>
    <w:bookmarkEnd w:id="58"/>
    <w:p>
      <w:pPr>
        <w:ind w:firstLine="1434"/>
        <w:spacing w:after="0" w:line="238" w:lineRule="auto"/>
        <w:tabs>
          <w:tab w:leader="none" w:pos="1853"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change in the current business purpose of the Corporation to serve solely as the manager of the LLC or any change in the current business purpose of the LLC to provide the services as set forth in the ESAs; and</w:t>
      </w:r>
    </w:p>
    <w:p>
      <w:pPr>
        <w:spacing w:after="0" w:line="147" w:lineRule="exact"/>
        <w:rPr>
          <w:rFonts w:ascii="Times New Roman" w:cs="Times New Roman" w:eastAsia="Times New Roman" w:hAnsi="Times New Roman"/>
          <w:sz w:val="19"/>
          <w:szCs w:val="19"/>
          <w:color w:val="010000"/>
        </w:rPr>
      </w:pPr>
    </w:p>
    <w:p>
      <w:pPr>
        <w:ind w:left="1800" w:hanging="366"/>
        <w:spacing w:after="0"/>
        <w:tabs>
          <w:tab w:leader="none" w:pos="180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approval of any actions relating to the LLC that could reasonably be expected to have a material adverse tax effect on the</w:t>
      </w:r>
    </w:p>
    <w:p>
      <w:pPr>
        <w:spacing w:after="0" w:line="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9"/>
          <w:szCs w:val="19"/>
          <w:color w:val="auto"/>
        </w:rPr>
        <w:t>Founding Members.</w:t>
      </w:r>
    </w:p>
    <w:p>
      <w:pPr>
        <w:spacing w:after="0" w:line="14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Notwithstanding anything in this Section 5.2 to the contrary, a Founding Member shall permanently cease to be a Founding Member for purposes of this Certificate (i) if at any time such Founding Member owns less than five percent of the then issued and outstanding Membership Units as determined pursuant to this Section 5.2, or (ii) upon the occurrence of a direct or indirect Change of Control of such Founding Member, or any direct or indirect holder of equity in such Founding Member (other than a Change of Control (A) of such Founding Member’s ESA Party or its stockholders, or (B) in which, following the Change of Control, the Founding Member’s ESA Party or its stockholders owns 50 percent or more of the general voting power of the transferee).</w:t>
      </w:r>
    </w:p>
    <w:p>
      <w:pPr>
        <w:spacing w:after="0" w:line="151" w:lineRule="exact"/>
        <w:rPr>
          <w:sz w:val="20"/>
          <w:szCs w:val="20"/>
          <w:color w:val="auto"/>
        </w:rPr>
      </w:pPr>
    </w:p>
    <w:p>
      <w:pPr>
        <w:jc w:val="both"/>
        <w:ind w:firstLine="713"/>
        <w:spacing w:after="0" w:line="219" w:lineRule="auto"/>
        <w:rPr>
          <w:sz w:val="20"/>
          <w:szCs w:val="20"/>
          <w:color w:val="auto"/>
        </w:rPr>
      </w:pPr>
      <w:r>
        <w:rPr>
          <w:rFonts w:ascii="Times New Roman" w:cs="Times New Roman" w:eastAsia="Times New Roman" w:hAnsi="Times New Roman"/>
          <w:sz w:val="19"/>
          <w:szCs w:val="19"/>
          <w:color w:val="010000"/>
        </w:rPr>
        <w:t xml:space="preserve">Section 5.3 </w:t>
      </w:r>
      <w:r>
        <w:rPr>
          <w:rFonts w:ascii="Times New Roman" w:cs="Times New Roman" w:eastAsia="Times New Roman" w:hAnsi="Times New Roman"/>
          <w:sz w:val="19"/>
          <w:szCs w:val="19"/>
          <w:u w:val="single" w:color="auto"/>
          <w:color w:val="000000"/>
        </w:rPr>
        <w:t>Modification or Amendment of ESAs</w:t>
      </w:r>
      <w:r>
        <w:rPr>
          <w:rFonts w:ascii="Times New Roman" w:cs="Times New Roman" w:eastAsia="Times New Roman" w:hAnsi="Times New Roman"/>
          <w:sz w:val="19"/>
          <w:szCs w:val="19"/>
          <w:color w:val="000000"/>
        </w:rPr>
        <w:t>. Any (i) modification or amendment of an ESA which could reasonably be expected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the good faith determination of the Board) to result in payments to or from the LLC in excess of $50,000 or (ii) entry into or amendment of any contract or transaction which could reasonably be expected (in the good faith determination of the Board) to result in payments to or from the LLC or the Corporation in excess of $50,000 between (a) the LLC or the Corporation and (b) any Founding Member, will require the approval of a majority of the directors then in office and a majority of the Independent Directors then in office.</w:t>
      </w:r>
    </w:p>
    <w:p>
      <w:pPr>
        <w:spacing w:after="0" w:line="151" w:lineRule="exact"/>
        <w:rPr>
          <w:sz w:val="20"/>
          <w:szCs w:val="20"/>
          <w:color w:val="auto"/>
        </w:rPr>
      </w:pPr>
    </w:p>
    <w:p>
      <w:pPr>
        <w:jc w:val="both"/>
        <w:ind w:firstLine="713"/>
        <w:spacing w:after="0" w:line="222" w:lineRule="auto"/>
        <w:rPr>
          <w:sz w:val="20"/>
          <w:szCs w:val="20"/>
          <w:color w:val="auto"/>
        </w:rPr>
      </w:pPr>
      <w:r>
        <w:rPr>
          <w:rFonts w:ascii="Times New Roman" w:cs="Times New Roman" w:eastAsia="Times New Roman" w:hAnsi="Times New Roman"/>
          <w:sz w:val="19"/>
          <w:szCs w:val="19"/>
          <w:color w:val="010000"/>
        </w:rPr>
        <w:t xml:space="preserve">Section 5.4 </w:t>
      </w:r>
      <w:r>
        <w:rPr>
          <w:rFonts w:ascii="Times New Roman" w:cs="Times New Roman" w:eastAsia="Times New Roman" w:hAnsi="Times New Roman"/>
          <w:sz w:val="19"/>
          <w:szCs w:val="19"/>
          <w:u w:val="single" w:color="auto"/>
          <w:color w:val="000000"/>
        </w:rPr>
        <w:t>Term of Office</w:t>
      </w:r>
      <w:r>
        <w:rPr>
          <w:rFonts w:ascii="Times New Roman" w:cs="Times New Roman" w:eastAsia="Times New Roman" w:hAnsi="Times New Roman"/>
          <w:sz w:val="19"/>
          <w:szCs w:val="19"/>
          <w:color w:val="000000"/>
        </w:rPr>
        <w:t>. A director shall hold office until his or her successor shall be qualified and elected, subject, however, to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director’s earlier death, resignation, retirement, disqualification or removal from office.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37" w:lineRule="exact"/>
        <w:rPr>
          <w:sz w:val="20"/>
          <w:szCs w:val="20"/>
          <w:color w:val="auto"/>
        </w:rPr>
      </w:pPr>
    </w:p>
    <w:p>
      <w:pPr>
        <w:jc w:val="both"/>
        <w:ind w:firstLine="713"/>
        <w:spacing w:after="0" w:line="227" w:lineRule="auto"/>
        <w:rPr>
          <w:sz w:val="20"/>
          <w:szCs w:val="20"/>
          <w:color w:val="auto"/>
        </w:rPr>
      </w:pPr>
      <w:r>
        <w:rPr>
          <w:rFonts w:ascii="Times New Roman" w:cs="Times New Roman" w:eastAsia="Times New Roman" w:hAnsi="Times New Roman"/>
          <w:sz w:val="19"/>
          <w:szCs w:val="19"/>
          <w:color w:val="010000"/>
        </w:rPr>
        <w:t xml:space="preserve">Section 5.5 </w:t>
      </w:r>
      <w:r>
        <w:rPr>
          <w:rFonts w:ascii="Times New Roman" w:cs="Times New Roman" w:eastAsia="Times New Roman" w:hAnsi="Times New Roman"/>
          <w:sz w:val="19"/>
          <w:szCs w:val="19"/>
          <w:u w:val="single" w:color="auto"/>
          <w:color w:val="000000"/>
        </w:rPr>
        <w:t>Removal</w:t>
      </w:r>
      <w:r>
        <w:rPr>
          <w:rFonts w:ascii="Times New Roman" w:cs="Times New Roman" w:eastAsia="Times New Roman" w:hAnsi="Times New Roman"/>
          <w:sz w:val="19"/>
          <w:szCs w:val="19"/>
          <w:color w:val="000000"/>
        </w:rPr>
        <w:t>. Subject to the rights of the holders of any series of Preferred Stock and the terms of the Director Designation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Agreement, upon the effective date of this Certificate, any or all of the directors of the Corporation may be removed from office at any time, whether with or without cause, and only by the affirmative vote of the holders of at least a majority of the outstanding Common Stock.</w:t>
      </w:r>
    </w:p>
    <w:p>
      <w:pPr>
        <w:spacing w:after="0" w:line="150" w:lineRule="exact"/>
        <w:rPr>
          <w:sz w:val="20"/>
          <w:szCs w:val="20"/>
          <w:color w:val="auto"/>
        </w:rPr>
      </w:pPr>
    </w:p>
    <w:p>
      <w:pPr>
        <w:jc w:val="both"/>
        <w:ind w:firstLine="713"/>
        <w:spacing w:after="0" w:line="238" w:lineRule="auto"/>
        <w:rPr>
          <w:sz w:val="20"/>
          <w:szCs w:val="20"/>
          <w:color w:val="auto"/>
        </w:rPr>
      </w:pPr>
      <w:r>
        <w:rPr>
          <w:rFonts w:ascii="Times New Roman" w:cs="Times New Roman" w:eastAsia="Times New Roman" w:hAnsi="Times New Roman"/>
          <w:sz w:val="19"/>
          <w:szCs w:val="19"/>
          <w:color w:val="010000"/>
        </w:rPr>
        <w:t xml:space="preserve">Section 5.6 </w:t>
      </w:r>
      <w:r>
        <w:rPr>
          <w:rFonts w:ascii="Times New Roman" w:cs="Times New Roman" w:eastAsia="Times New Roman" w:hAnsi="Times New Roman"/>
          <w:sz w:val="19"/>
          <w:szCs w:val="19"/>
          <w:u w:val="single" w:color="auto"/>
          <w:color w:val="000000"/>
        </w:rPr>
        <w:t>Notice of Nominations</w:t>
      </w:r>
      <w:r>
        <w:rPr>
          <w:rFonts w:ascii="Times New Roman" w:cs="Times New Roman" w:eastAsia="Times New Roman" w:hAnsi="Times New Roman"/>
          <w:sz w:val="19"/>
          <w:szCs w:val="19"/>
          <w:color w:val="000000"/>
        </w:rPr>
        <w:t>. Advance notice of nominations for the election of directors, other than nominations by the Board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 committee thereof, shall be given to the Corporation in the manner provided in the Bylaws.</w:t>
      </w:r>
    </w:p>
    <w:p>
      <w:pPr>
        <w:spacing w:after="0" w:line="147" w:lineRule="exact"/>
        <w:rPr>
          <w:sz w:val="20"/>
          <w:szCs w:val="20"/>
          <w:color w:val="auto"/>
        </w:rPr>
      </w:pPr>
    </w:p>
    <w:p>
      <w:pPr>
        <w:jc w:val="both"/>
        <w:ind w:firstLine="713"/>
        <w:spacing w:after="0" w:line="216" w:lineRule="auto"/>
        <w:rPr>
          <w:sz w:val="20"/>
          <w:szCs w:val="20"/>
          <w:color w:val="auto"/>
        </w:rPr>
      </w:pPr>
      <w:r>
        <w:rPr>
          <w:rFonts w:ascii="Times New Roman" w:cs="Times New Roman" w:eastAsia="Times New Roman" w:hAnsi="Times New Roman"/>
          <w:sz w:val="19"/>
          <w:szCs w:val="19"/>
          <w:color w:val="010000"/>
        </w:rPr>
        <w:t xml:space="preserve">Section 5.7 </w:t>
      </w:r>
      <w:r>
        <w:rPr>
          <w:rFonts w:ascii="Times New Roman" w:cs="Times New Roman" w:eastAsia="Times New Roman" w:hAnsi="Times New Roman"/>
          <w:sz w:val="19"/>
          <w:szCs w:val="19"/>
          <w:u w:val="single" w:color="auto"/>
          <w:color w:val="000000"/>
        </w:rPr>
        <w:t>Newly Created Directorships and Vacancies</w:t>
      </w:r>
      <w:r>
        <w:rPr>
          <w:rFonts w:ascii="Times New Roman" w:cs="Times New Roman" w:eastAsia="Times New Roman" w:hAnsi="Times New Roman"/>
          <w:sz w:val="19"/>
          <w:szCs w:val="19"/>
          <w:color w:val="000000"/>
        </w:rPr>
        <w:t>. Subject to the rights of holders of any series of Preferred Stock, any newly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created directorship resulting from an increase in the number of directors or any other vacancy with respect to the office of a director, however caused, shall be filled only by a majority of the directors then in office (even if less than a quorum) or by a sole remaining director, in each case in accordance with the Director Designation Agreement. Subject to the terms and conditions of the Director Designation Agreement, any director elected by one or more directors to fill a newly created directorship or other vacancy shall hold office for the remainder of the full term of the class of directors to which the new directorship was added or in which the vacancy occurred and until his or her successor shall have been elected and qualified, subject, however, to such director’s earlier death, resignation, retirement, disqualification or removal.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w:t>
      </w:r>
    </w:p>
    <w:p>
      <w:pPr>
        <w:jc w:val="center"/>
        <w:spacing w:after="0"/>
        <w:rPr>
          <w:sz w:val="20"/>
          <w:szCs w:val="20"/>
          <w:color w:val="auto"/>
        </w:rPr>
      </w:pPr>
      <w:r>
        <w:rPr>
          <w:rFonts w:ascii="Times New Roman" w:cs="Times New Roman" w:eastAsia="Times New Roman" w:hAnsi="Times New Roman"/>
          <w:sz w:val="19"/>
          <w:szCs w:val="19"/>
          <w:b w:val="1"/>
          <w:bCs w:val="1"/>
          <w:color w:val="auto"/>
        </w:rPr>
        <w:t>NO LIABILITY</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To the fullest extent permitted by the DGCL, as now existing or hereafter amended, a director of the Corporation shall not be liable to the Corporation or any of its stockholders for monetary damages for breach of his or her fiduciary duty as a director.</w:t>
      </w:r>
    </w:p>
    <w:p>
      <w:pPr>
        <w:spacing w:after="0" w:line="1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Any amendment or repeal of this Article VI shall be prospective only and shall not adversely affect any limitation, right or protection of a director of the Corporation existing under this Article VI immediately before the amendment or repeal.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w:t>
      </w:r>
    </w:p>
    <w:p>
      <w:pPr>
        <w:jc w:val="center"/>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153" w:lineRule="exact"/>
        <w:rPr>
          <w:sz w:val="20"/>
          <w:szCs w:val="20"/>
          <w:color w:val="auto"/>
        </w:rPr>
      </w:pPr>
    </w:p>
    <w:p>
      <w:pPr>
        <w:jc w:val="both"/>
        <w:ind w:firstLine="713"/>
        <w:spacing w:after="0" w:line="214" w:lineRule="auto"/>
        <w:rPr>
          <w:sz w:val="20"/>
          <w:szCs w:val="20"/>
          <w:color w:val="auto"/>
        </w:rPr>
      </w:pPr>
      <w:r>
        <w:rPr>
          <w:rFonts w:ascii="Times New Roman" w:cs="Times New Roman" w:eastAsia="Times New Roman" w:hAnsi="Times New Roman"/>
          <w:sz w:val="19"/>
          <w:szCs w:val="19"/>
          <w:color w:val="010000"/>
        </w:rPr>
        <w:t xml:space="preserve">Section 7.1 </w:t>
      </w:r>
      <w:r>
        <w:rPr>
          <w:rFonts w:ascii="Times New Roman" w:cs="Times New Roman" w:eastAsia="Times New Roman" w:hAnsi="Times New Roman"/>
          <w:sz w:val="19"/>
          <w:szCs w:val="19"/>
          <w:u w:val="single" w:color="auto"/>
          <w:color w:val="000000"/>
        </w:rPr>
        <w:t>Right to Indemnification</w:t>
      </w:r>
      <w:r>
        <w:rPr>
          <w:rFonts w:ascii="Times New Roman" w:cs="Times New Roman" w:eastAsia="Times New Roman" w:hAnsi="Times New Roman"/>
          <w:sz w:val="19"/>
          <w:szCs w:val="19"/>
          <w:color w:val="000000"/>
        </w:rPr>
        <w:t>. The Corporation shall indemnify and hold harmless, to the fullest extent permitted by applicable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or has agreed to serve as a director or officer of the Corporation or is or was serving or has agreed to serve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The Corporation shall be required to indemnify or make advances to a Person in connection with a Proceeding (or part thereof) initiated by such Person only if the Proceeding (or part thereof) was authorized by the Board.</w:t>
      </w:r>
    </w:p>
    <w:p>
      <w:pPr>
        <w:sectPr>
          <w:pgSz w:w="11900" w:h="16838" w:orient="portrait"/>
          <w:cols w:equalWidth="0" w:num="1">
            <w:col w:w="11240"/>
          </w:cols>
          <w:pgMar w:left="320" w:top="748" w:right="339" w:bottom="1440" w:gutter="0" w:footer="0" w:header="0"/>
        </w:sectPr>
      </w:pPr>
    </w:p>
    <w:bookmarkStart w:id="59" w:name="page60"/>
    <w:bookmarkEnd w:id="59"/>
    <w:p>
      <w:pPr>
        <w:jc w:val="both"/>
        <w:ind w:firstLine="713"/>
        <w:spacing w:after="0" w:line="219" w:lineRule="auto"/>
        <w:rPr>
          <w:sz w:val="20"/>
          <w:szCs w:val="20"/>
          <w:color w:val="auto"/>
        </w:rPr>
      </w:pPr>
      <w:r>
        <w:rPr>
          <w:rFonts w:ascii="Times New Roman" w:cs="Times New Roman" w:eastAsia="Times New Roman" w:hAnsi="Times New Roman"/>
          <w:sz w:val="19"/>
          <w:szCs w:val="19"/>
          <w:color w:val="010000"/>
        </w:rPr>
        <w:t xml:space="preserve">Section 7.2 </w:t>
      </w:r>
      <w:r>
        <w:rPr>
          <w:rFonts w:ascii="Times New Roman" w:cs="Times New Roman" w:eastAsia="Times New Roman" w:hAnsi="Times New Roman"/>
          <w:sz w:val="19"/>
          <w:szCs w:val="19"/>
          <w:u w:val="single" w:color="auto"/>
          <w:color w:val="000000"/>
        </w:rPr>
        <w:t>Prepayment of Expenses</w:t>
      </w:r>
      <w:r>
        <w:rPr>
          <w:rFonts w:ascii="Times New Roman" w:cs="Times New Roman" w:eastAsia="Times New Roman" w:hAnsi="Times New Roman"/>
          <w:sz w:val="19"/>
          <w:szCs w:val="19"/>
          <w:color w:val="000000"/>
        </w:rPr>
        <w:t>. The Corporation shall, to the fullest extent not prohibited by law, pay the expenses (including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attorneys’ fees) incurred by a Person identified in Section 7.1 in defending any Proceeding in advance of its final disposition,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 that the payment of expenses incurred by a Person identified in Section 7.1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151" w:lineRule="exact"/>
        <w:rPr>
          <w:sz w:val="20"/>
          <w:szCs w:val="20"/>
          <w:color w:val="auto"/>
        </w:rPr>
      </w:pPr>
    </w:p>
    <w:p>
      <w:pPr>
        <w:jc w:val="both"/>
        <w:ind w:firstLine="713"/>
        <w:spacing w:after="0" w:line="222" w:lineRule="auto"/>
        <w:rPr>
          <w:sz w:val="20"/>
          <w:szCs w:val="20"/>
          <w:color w:val="auto"/>
        </w:rPr>
      </w:pPr>
      <w:r>
        <w:rPr>
          <w:rFonts w:ascii="Times New Roman" w:cs="Times New Roman" w:eastAsia="Times New Roman" w:hAnsi="Times New Roman"/>
          <w:sz w:val="19"/>
          <w:szCs w:val="19"/>
          <w:color w:val="010000"/>
        </w:rPr>
        <w:t xml:space="preserve">Section 7.3 </w:t>
      </w:r>
      <w:r>
        <w:rPr>
          <w:rFonts w:ascii="Times New Roman" w:cs="Times New Roman" w:eastAsia="Times New Roman" w:hAnsi="Times New Roman"/>
          <w:sz w:val="19"/>
          <w:szCs w:val="19"/>
          <w:u w:val="single" w:color="auto"/>
          <w:color w:val="000000"/>
        </w:rPr>
        <w:t>Claims</w:t>
      </w:r>
      <w:r>
        <w:rPr>
          <w:rFonts w:ascii="Times New Roman" w:cs="Times New Roman" w:eastAsia="Times New Roman" w:hAnsi="Times New Roman"/>
          <w:sz w:val="19"/>
          <w:szCs w:val="19"/>
          <w:color w:val="000000"/>
        </w:rPr>
        <w:t>. If a claim for indemnification or payment of expenses under this Article VII is not paid in full within 60 days after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37" w:lineRule="exact"/>
        <w:rPr>
          <w:sz w:val="20"/>
          <w:szCs w:val="20"/>
          <w:color w:val="auto"/>
        </w:rPr>
      </w:pPr>
    </w:p>
    <w:p>
      <w:pPr>
        <w:jc w:val="both"/>
        <w:ind w:firstLine="713"/>
        <w:spacing w:after="0" w:line="227" w:lineRule="auto"/>
        <w:rPr>
          <w:sz w:val="20"/>
          <w:szCs w:val="20"/>
          <w:color w:val="auto"/>
        </w:rPr>
      </w:pPr>
      <w:r>
        <w:rPr>
          <w:rFonts w:ascii="Times New Roman" w:cs="Times New Roman" w:eastAsia="Times New Roman" w:hAnsi="Times New Roman"/>
          <w:sz w:val="19"/>
          <w:szCs w:val="19"/>
          <w:color w:val="010000"/>
        </w:rPr>
        <w:t xml:space="preserve">Section 7.4 </w:t>
      </w:r>
      <w:r>
        <w:rPr>
          <w:rFonts w:ascii="Times New Roman" w:cs="Times New Roman" w:eastAsia="Times New Roman" w:hAnsi="Times New Roman"/>
          <w:sz w:val="19"/>
          <w:szCs w:val="19"/>
          <w:u w:val="single" w:color="auto"/>
          <w:color w:val="000000"/>
        </w:rPr>
        <w:t>Non-Exclusivity of Rights</w:t>
      </w:r>
      <w:r>
        <w:rPr>
          <w:rFonts w:ascii="Times New Roman" w:cs="Times New Roman" w:eastAsia="Times New Roman" w:hAnsi="Times New Roman"/>
          <w:sz w:val="19"/>
          <w:szCs w:val="19"/>
          <w:color w:val="000000"/>
        </w:rPr>
        <w:t>. The rights conferred on any Person by this Article VII shall not be exclusive of any other rights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that such Person may have or hereafter acquire under any statute, provision of this Certificate, the Bylaws, agreement, vote of stockholders or resolution of disinterested directors or otherwise.</w:t>
      </w:r>
    </w:p>
    <w:p>
      <w:pPr>
        <w:spacing w:after="0" w:line="150" w:lineRule="exact"/>
        <w:rPr>
          <w:sz w:val="20"/>
          <w:szCs w:val="20"/>
          <w:color w:val="auto"/>
        </w:rPr>
      </w:pPr>
    </w:p>
    <w:p>
      <w:pPr>
        <w:jc w:val="both"/>
        <w:ind w:firstLine="713"/>
        <w:spacing w:after="0" w:line="222" w:lineRule="auto"/>
        <w:rPr>
          <w:sz w:val="20"/>
          <w:szCs w:val="20"/>
          <w:color w:val="auto"/>
        </w:rPr>
      </w:pPr>
      <w:r>
        <w:rPr>
          <w:rFonts w:ascii="Times New Roman" w:cs="Times New Roman" w:eastAsia="Times New Roman" w:hAnsi="Times New Roman"/>
          <w:sz w:val="19"/>
          <w:szCs w:val="19"/>
          <w:color w:val="010000"/>
        </w:rPr>
        <w:t xml:space="preserve">Section 7.5 </w:t>
      </w:r>
      <w:r>
        <w:rPr>
          <w:rFonts w:ascii="Times New Roman" w:cs="Times New Roman" w:eastAsia="Times New Roman" w:hAnsi="Times New Roman"/>
          <w:sz w:val="19"/>
          <w:szCs w:val="19"/>
          <w:u w:val="single" w:color="auto"/>
          <w:color w:val="000000"/>
        </w:rPr>
        <w:t>Other Indemnification</w:t>
      </w:r>
      <w:r>
        <w:rPr>
          <w:rFonts w:ascii="Times New Roman" w:cs="Times New Roman" w:eastAsia="Times New Roman" w:hAnsi="Times New Roman"/>
          <w:sz w:val="19"/>
          <w:szCs w:val="19"/>
          <w:color w:val="000000"/>
        </w:rPr>
        <w:t>. The Corporation’s obligation, if any, to indemnify or advance expenses to any Person who was or 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150" w:lineRule="exact"/>
        <w:rPr>
          <w:sz w:val="20"/>
          <w:szCs w:val="20"/>
          <w:color w:val="auto"/>
        </w:rPr>
      </w:pPr>
    </w:p>
    <w:p>
      <w:pPr>
        <w:jc w:val="both"/>
        <w:ind w:firstLine="713"/>
        <w:spacing w:after="0" w:line="213" w:lineRule="auto"/>
        <w:rPr>
          <w:sz w:val="20"/>
          <w:szCs w:val="20"/>
          <w:color w:val="auto"/>
        </w:rPr>
      </w:pPr>
      <w:r>
        <w:rPr>
          <w:rFonts w:ascii="Times New Roman" w:cs="Times New Roman" w:eastAsia="Times New Roman" w:hAnsi="Times New Roman"/>
          <w:sz w:val="19"/>
          <w:szCs w:val="19"/>
          <w:color w:val="010000"/>
        </w:rPr>
        <w:t xml:space="preserve">Section 7.6 </w:t>
      </w:r>
      <w:r>
        <w:rPr>
          <w:rFonts w:ascii="Times New Roman" w:cs="Times New Roman" w:eastAsia="Times New Roman" w:hAnsi="Times New Roman"/>
          <w:sz w:val="19"/>
          <w:szCs w:val="19"/>
          <w:u w:val="single" w:color="auto"/>
          <w:color w:val="000000"/>
        </w:rPr>
        <w:t>Indemnification of Other Persons</w:t>
      </w:r>
      <w:r>
        <w:rPr>
          <w:rFonts w:ascii="Times New Roman" w:cs="Times New Roman" w:eastAsia="Times New Roman" w:hAnsi="Times New Roman"/>
          <w:sz w:val="19"/>
          <w:szCs w:val="19"/>
          <w:color w:val="000000"/>
        </w:rPr>
        <w:t>. This Article VII shall not limit the right of the Corporation, to the extent and 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manner permitted by law, to indemnify and to advance expenses to Persons other than those Persons identified in Section 7.1 when and as authorized by a majority of the entire Board (without regard to vacancies) or by the action of a committee of the Board or designated officers of the Corporation established by or designated in resolutions approved by a majority of the entire Board (without regard to vacancies); </w:t>
      </w:r>
      <w:r>
        <w:rPr>
          <w:rFonts w:ascii="Times New Roman" w:cs="Times New Roman" w:eastAsia="Times New Roman" w:hAnsi="Times New Roman"/>
          <w:sz w:val="19"/>
          <w:szCs w:val="19"/>
          <w:i w:val="1"/>
          <w:iCs w:val="1"/>
          <w:color w:val="000000"/>
        </w:rPr>
        <w:t>provided, however</w:t>
      </w:r>
    </w:p>
    <w:p>
      <w:pPr>
        <w:jc w:val="both"/>
        <w:ind w:firstLine="8"/>
        <w:spacing w:after="0" w:line="220" w:lineRule="auto"/>
        <w:tabs>
          <w:tab w:leader="none" w:pos="9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payment of expenses incurred by such a Person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VIII</w:t>
      </w:r>
    </w:p>
    <w:p>
      <w:pPr>
        <w:jc w:val="center"/>
        <w:spacing w:after="0"/>
        <w:rPr>
          <w:sz w:val="20"/>
          <w:szCs w:val="20"/>
          <w:color w:val="auto"/>
        </w:rPr>
      </w:pPr>
      <w:r>
        <w:rPr>
          <w:rFonts w:ascii="Times New Roman" w:cs="Times New Roman" w:eastAsia="Times New Roman" w:hAnsi="Times New Roman"/>
          <w:sz w:val="19"/>
          <w:szCs w:val="19"/>
          <w:b w:val="1"/>
          <w:bCs w:val="1"/>
          <w:color w:val="auto"/>
        </w:rPr>
        <w:t>ACTION BY CONSENT</w:t>
      </w:r>
    </w:p>
    <w:p>
      <w:pPr>
        <w:spacing w:after="0" w:line="19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Except as provided in any Preferred Stock Designation with respect to one or more series of Preferred Stock, after the Corporation first has a class of securities registered under Section 12(g) of the Securities Exchange Act of 1934, as amended, or its equivalent, any action required or permitted to be taken by the stockholders of the Corporation must be taken at a duly called annual or special meeting of the stockholders and may not be taken by consent in writing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IX</w:t>
      </w:r>
    </w:p>
    <w:p>
      <w:pPr>
        <w:jc w:val="center"/>
        <w:spacing w:after="0"/>
        <w:rPr>
          <w:sz w:val="20"/>
          <w:szCs w:val="20"/>
          <w:color w:val="auto"/>
        </w:rPr>
      </w:pPr>
      <w:r>
        <w:rPr>
          <w:rFonts w:ascii="Times New Roman" w:cs="Times New Roman" w:eastAsia="Times New Roman" w:hAnsi="Times New Roman"/>
          <w:sz w:val="19"/>
          <w:szCs w:val="19"/>
          <w:b w:val="1"/>
          <w:bCs w:val="1"/>
          <w:color w:val="auto"/>
        </w:rPr>
        <w:t>STOCKHOLDER MEETINGS</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Except as otherwise required by law or provided in the Bylaws, and subject to the rights of the holders of any class or series of shares issued by the Corporation having a preference over the Common Stock as to dividends or upon liquidation to elect directors in certain circumstances, special meetings of the stockholders of the Corporation may be called only by the Board pursuant to a resolution approved by the affirmative vote of a majority of the directors then in office.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w:t>
      </w:r>
    </w:p>
    <w:p>
      <w:pPr>
        <w:ind w:left="5080"/>
        <w:spacing w:after="0"/>
        <w:rPr>
          <w:sz w:val="20"/>
          <w:szCs w:val="20"/>
          <w:color w:val="auto"/>
        </w:rPr>
      </w:pPr>
      <w:r>
        <w:rPr>
          <w:rFonts w:ascii="Times New Roman" w:cs="Times New Roman" w:eastAsia="Times New Roman" w:hAnsi="Times New Roman"/>
          <w:sz w:val="19"/>
          <w:szCs w:val="19"/>
          <w:b w:val="1"/>
          <w:bCs w:val="1"/>
          <w:color w:val="auto"/>
        </w:rPr>
        <w:t>ELECTIONS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Election of directors need not be by written ballot unless so provided in the Bylaws.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XI</w:t>
      </w:r>
    </w:p>
    <w:p>
      <w:pPr>
        <w:jc w:val="center"/>
        <w:spacing w:after="0"/>
        <w:rPr>
          <w:sz w:val="20"/>
          <w:szCs w:val="20"/>
          <w:color w:val="auto"/>
        </w:rPr>
      </w:pPr>
      <w:r>
        <w:rPr>
          <w:rFonts w:ascii="Times New Roman" w:cs="Times New Roman" w:eastAsia="Times New Roman" w:hAnsi="Times New Roman"/>
          <w:sz w:val="19"/>
          <w:szCs w:val="19"/>
          <w:b w:val="1"/>
          <w:bCs w:val="1"/>
          <w:color w:val="auto"/>
        </w:rPr>
        <w:t>BYLAWS</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Subject to Section 5.2 hereof and to the provisions of the Bylaws, the Board shall have the power to adopt, alter, amend or repeal the Bylaws by vote of not less than a majority of the directors then in office. The holders of shares of Common Stock shall also have the power to adopt, alter, amend or repeal the Bylaws, but only if such action receives the affirmative vote of the holders of at least 66-2/3 percent of the outstanding Common Stock.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XII</w:t>
      </w: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OF CERTIFICATE</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Notwithstanding anything to the contrary in this Certificate and in addition to the vote required by the Board as set forth in Section 5.2 hereof, the affirmative vote of the holders of at least a majority of the outstanding Common Stock shall be required</w:t>
      </w:r>
    </w:p>
    <w:p>
      <w:pPr>
        <w:sectPr>
          <w:pgSz w:w="11900" w:h="16838" w:orient="portrait"/>
          <w:cols w:equalWidth="0" w:num="1">
            <w:col w:w="11240"/>
          </w:cols>
          <w:pgMar w:left="320" w:top="74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9"/>
          <w:szCs w:val="19"/>
          <w:color w:val="auto"/>
        </w:rPr>
        <w:t>to amend this Certificate (in any such case including, without limitation, by merger, consolidation, binding share exchange or otherwise).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XIII</w:t>
      </w:r>
    </w:p>
    <w:p>
      <w:pPr>
        <w:jc w:val="center"/>
        <w:spacing w:after="0"/>
        <w:rPr>
          <w:sz w:val="20"/>
          <w:szCs w:val="20"/>
          <w:color w:val="auto"/>
        </w:rPr>
      </w:pPr>
      <w:r>
        <w:rPr>
          <w:rFonts w:ascii="Times New Roman" w:cs="Times New Roman" w:eastAsia="Times New Roman" w:hAnsi="Times New Roman"/>
          <w:sz w:val="19"/>
          <w:szCs w:val="19"/>
          <w:b w:val="1"/>
          <w:bCs w:val="1"/>
          <w:color w:val="auto"/>
        </w:rPr>
        <w:t>EXISTENCE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term of the existence of the Corporation shall be perpetual.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XIV</w:t>
      </w:r>
    </w:p>
    <w:p>
      <w:pPr>
        <w:jc w:val="center"/>
        <w:spacing w:after="0"/>
        <w:rPr>
          <w:sz w:val="20"/>
          <w:szCs w:val="20"/>
          <w:color w:val="auto"/>
        </w:rPr>
      </w:pPr>
      <w:r>
        <w:rPr>
          <w:rFonts w:ascii="Times New Roman" w:cs="Times New Roman" w:eastAsia="Times New Roman" w:hAnsi="Times New Roman"/>
          <w:sz w:val="19"/>
          <w:szCs w:val="19"/>
          <w:b w:val="1"/>
          <w:bCs w:val="1"/>
          <w:color w:val="auto"/>
        </w:rPr>
        <w:t>CORPORATE OPPORTUNITIES</w:t>
      </w:r>
    </w:p>
    <w:p>
      <w:pPr>
        <w:spacing w:after="0" w:line="15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9"/>
          <w:szCs w:val="19"/>
          <w:color w:val="auto"/>
        </w:rPr>
        <w:t>The Corporation renounces any interest or expectancy in, or in being offered the opportunity to participate in, business opportunities that are presented to the Corporation, the LLC or to one or more of the officers, directors or stockholders (both direct and indirect) of the Corporation and members of the LLC that relate to the provision of services to motion picture theaters, use of theaters for any purpose, sale of advertising and promotional services in and around theaters and any other business related to the motion picture theater business, except services as provided in any ESAs and except as may be offered to an officer of the Corporation in his capacity as an officer of the Corporation, even if the business opportunity is one that the Corporation might reasonably be deemed to have pursued or had the ability or desire to pursue if granted the opportunity to do so, and no such person shall be liable to the Corporation or any stockholder of the Corporation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the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XV</w:t>
      </w:r>
    </w:p>
    <w:p>
      <w:pPr>
        <w:jc w:val="center"/>
        <w:spacing w:after="0"/>
        <w:rPr>
          <w:sz w:val="20"/>
          <w:szCs w:val="20"/>
          <w:color w:val="auto"/>
        </w:rPr>
      </w:pPr>
      <w:r>
        <w:rPr>
          <w:rFonts w:ascii="Times New Roman" w:cs="Times New Roman" w:eastAsia="Times New Roman" w:hAnsi="Times New Roman"/>
          <w:sz w:val="19"/>
          <w:szCs w:val="19"/>
          <w:b w:val="1"/>
          <w:bCs w:val="1"/>
          <w:color w:val="auto"/>
        </w:rPr>
        <w:t>NON-ASSESSABLE</w:t>
      </w:r>
    </w:p>
    <w:p>
      <w:pPr>
        <w:spacing w:after="0" w:line="15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The capital stock of the Corporation shall not be assessable. It shall be issued as fully paid, and the private property of the stockholders shall not be liable for the debts, obligations or liabilities of this Corporation. This Certificate shall not be subject to amendment in this respect.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XVI</w:t>
      </w: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203</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Corporation hereby elects not to be governed by Section 203 of the DGCL, and the restrictions contained in Section 203 shall not apply to the Corporation.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XVII</w:t>
      </w:r>
    </w:p>
    <w:p>
      <w:pPr>
        <w:ind w:left="500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purposes of this Certificate the following terms shall have the meaning set forth below.</w:t>
      </w:r>
    </w:p>
    <w:p>
      <w:pPr>
        <w:spacing w:after="0" w:line="16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9"/>
          <w:szCs w:val="19"/>
          <w:color w:val="auto"/>
        </w:rPr>
        <w:t>“Affiliate” means with respect to any Person, any Person that directly or indirectly, through one or more intermediaries Controls, is Controlled by or is under common Control with such Person. Notwithstanding the foregoing, (i) no Founding Member shall be deemed an Affiliate of the Corporation, (ii) the Corporation shall not be deemed an Affiliate of any Founding Member, (iii) no stockholder of Cineworld, or any of such stockholder’s Affiliates (other than Cineworld and its Subsidiaries) shall be deemed an Affiliate of any Founding Member or the Corporation, (iv) no stockholder of Dalian Wanda Group, or any of such stockholder’s Affiliates (other than Dalian Wanda Group and its Subsidiaries) shall be deemed an Affiliate of any Founding Member or the Corporation, (v) no stockholder of Cinemark, or any of such stockholder’s Affiliates (other than Cinemark and its Subsidiaries) shall be deemed an Affiliate of any Founding Member or the Corporation, (vi) no stockholder of the Corporation shall be deemed an Affiliate of the Corporation, and (vii) the Corporation shall not be deemed an Affiliate of any stockholder of the Corporation.</w:t>
      </w:r>
    </w:p>
    <w:p>
      <w:pPr>
        <w:spacing w:after="0" w:line="15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“AMC” means American Multi-Cinema, Inc., a Missouri corporation, including any Affiliate or Permitted Transferee thereof, so long as any Permitted Transferee continues to qualify as a Permitted Transferee.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has the meaning set forth in Section 5.1(a).</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“Business Day” means a day other than a Saturday, Sunday, federal holiday or other day on which commercial banks in New York, New York are authorized or required by law to close.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“Bylaws” means the bylaws of the Corporation, as they may be amended, supplemented or otherwise modified from time to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Settlement” has the meaning set forth in Section 4.3(b).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 has the meaning set forth in the introductory paragraph.</w:t>
      </w:r>
    </w:p>
    <w:p>
      <w:pPr>
        <w:sectPr>
          <w:pgSz w:w="11900" w:h="16838" w:orient="portrait"/>
          <w:cols w:equalWidth="0" w:num="1">
            <w:col w:w="11240"/>
          </w:cols>
          <w:pgMar w:left="320" w:top="748" w:right="339" w:bottom="1440" w:gutter="0" w:footer="0" w:header="0"/>
        </w:sectPr>
      </w:pPr>
    </w:p>
    <w:bookmarkStart w:id="61" w:name="page62"/>
    <w:bookmarkEnd w:id="61"/>
    <w:p>
      <w:pPr>
        <w:jc w:val="both"/>
        <w:spacing w:after="0" w:line="216" w:lineRule="auto"/>
        <w:rPr>
          <w:sz w:val="20"/>
          <w:szCs w:val="20"/>
          <w:color w:val="auto"/>
        </w:rPr>
      </w:pPr>
      <w:r>
        <w:rPr>
          <w:rFonts w:ascii="Times New Roman" w:cs="Times New Roman" w:eastAsia="Times New Roman" w:hAnsi="Times New Roman"/>
          <w:sz w:val="19"/>
          <w:szCs w:val="19"/>
          <w:color w:val="auto"/>
        </w:rPr>
        <w:t>“Change of Control”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at least 50 percent of the general voting power of the entity surviving or resulting from such transaction (or its stockholders or the Ultimate Parent thereof) or (B) any Person or Group becomes the beneficial owner of more than 50 percent of the general voting power of the entity surviving or resulting from such transaction (or its stockholders or the Ultimate Parent thereof), (ii) any transaction or series of related transactions in which in excess of 50 percent of such Person’s general voting power is Transferred to any other Person or Group or (iii) the sale or Transfer by such Person of all or substantially all of its assets.</w:t>
      </w:r>
    </w:p>
    <w:p>
      <w:pPr>
        <w:spacing w:after="0" w:line="14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“Cinemark” means Cinemark Holdings, Inc. or its successor or any Person that wholly-owns Cinemark Holdings, Inc., directly or indirectly, in the future.</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“Cinemark Media” means Cinemark Media, Inc., a Delaware corporation, including any Affiliate or Permitted Transferee thereof, so long as any Permitted Transferee continues to qualify as a Permitted Transferee.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“Cinemark USA” means Cinemark USA, Inc., a Texas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“Cineworld” means Cineworld Group plc, or its successor or any Person that wholly-owns Cineworld Group plc, directly or indirectly,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Stock” has the meaning set forth in Section 4.1(a).</w:t>
      </w:r>
    </w:p>
    <w:p>
      <w:pPr>
        <w:spacing w:after="0" w:line="1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“Control”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has the meaning set forth in Article I.</w:t>
      </w:r>
    </w:p>
    <w:p>
      <w:pPr>
        <w:spacing w:after="0" w:line="1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“Dalian Wanda Group” means Dalian Wanda Group Co., Ltd. or its successor or any Person that wholly-owns Dalian Wanda Group Co., Ltd., directly or indirectly,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“DGCL” has the meaning set forth in introductory paragraph B.</w:t>
      </w:r>
    </w:p>
    <w:p>
      <w:pPr>
        <w:spacing w:after="0" w:line="17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“Director Designation Agreement” means the Director Designation Agreement by and among the Founding Members and the Corporation, as it may be amended, supplemented or otherwise modified from time to time.</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“Equity Incentive Plan” means the National CineMedia Inc. 2007 Equity Incentive Plan, as it may be amended, supplemented, or otherwise modified from time to time.</w:t>
      </w:r>
    </w:p>
    <w:p>
      <w:pPr>
        <w:spacing w:after="0" w:line="1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“ESA” means any of the Exhibitor Services Agreements entered into, by and between the LLC and each ESA Party, as each may be amended, supplemented or otherwise modified from time to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“ESA Party” means (i) AMC in the case of AMC, (ii) Cinemark USA in the case of Cinemark Media, and (iii) Regal Cinemas in the case of Regal.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Date” has the meaning set forth in Section 4.3(a).</w:t>
      </w:r>
    </w:p>
    <w:p>
      <w:pPr>
        <w:spacing w:after="0" w:line="17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“Exchange Price” means the arithmetic average of the volume weighted average prices for a share of the Common Stock on the principal United States securities exchange or automated or electronic quotation system on which the Common Stock trades, as reported by Bloomberg, L.P., or its successor, for each of the three consecutive full Trading Days ending on and including the last full Trading Day immediately prior to the Exchange Date, subject to appropriate and equitable adjustment for any stock splits, reverse splits, stock dividends or similar events affecting the Common Stock. If the Common Stock no longer trades on a securities exchange or automated or electronic quotation system, then a majority of the Independent Directors of the Corporation shall determine the Exchange Price in good faith.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“Exchanged Units” has the meaning set forth in Section 4.3(a).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“Founding Members” means AMC, Cinemark Media and Regal.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“Group” has the meaning set forth in Section 13(d)(3) and Rule 13d-5 of the Securities Exchange Act of 1934, as amended.</w:t>
      </w:r>
    </w:p>
    <w:p>
      <w:pPr>
        <w:spacing w:after="0" w:line="16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“Independent Director” means any director of the Corporation that if the Common Stock is traded on the NASDAQ Stock Market, satisfies the definition of an “independent director” set forth in the applicable rules in the Marketplace Rules of the NASDAQ Stock Market, Inc., as such rules may be amended from time to time, or, if the Common Stock is then traded on a different exchange, such term shall mean any director of the Corporation that satisfies the definition of independent director according to the rules of such exchange.</w:t>
      </w:r>
    </w:p>
    <w:p>
      <w:pPr>
        <w:sectPr>
          <w:pgSz w:w="11900" w:h="16838" w:orient="portrait"/>
          <w:cols w:equalWidth="0" w:num="1">
            <w:col w:w="11240"/>
          </w:cols>
          <w:pgMar w:left="320" w:top="74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color w:val="auto"/>
        </w:rPr>
        <w:t>“LLC” means National CineMedia, LLC, a Delaware limited liability company, or its successor.</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“LLC Agreement” means the Third Amended and Restated Limited Liability Company Operating Agreement of National CineMedia, LLC as it may be amended, supplemented, or otherwise modified from time to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“Member” means each member of the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“Membership Interest” means a membership interest in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“Membership Unit” means an outstanding common membership unit of the LLC.</w:t>
      </w:r>
    </w:p>
    <w:p>
      <w:pPr>
        <w:spacing w:after="0" w:line="16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“Permitted Transferee” means in the case of any Founding Member and any Permitted Transferee of any Founding Member (i) an Affiliate of such Founding Member or Permitted Transferee, or (ii) a non-Affiliate of such Founding Member or Permitted Transferee that is owned more than 50 percent directly or indirectly through one or more entities that are the same entities that own 50 percent or more of the general voting power of the Ultimate Parent of such Founding Member.</w:t>
      </w:r>
    </w:p>
    <w:p>
      <w:pPr>
        <w:spacing w:after="0" w:line="15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“Person” means any individual, corporation, limited liability company, partnership, trust, joint stock company, business trust, unincorporated association, joint venture or other entity or organization of any nature whatsoever.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“Preferred Stock” has the meaning set forth in Section 4.1(b).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“Preferred Stock Designation” has the meaning set forth in Section 4.7.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“Proceeding” has the meaning set forth in Section 7.1.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“Redemption Notice” has the meaning set forth in Section 4.3(a).</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“Regal” mean Regal CineMedia Holdings, LLC, a Delaware limited liability company, including any Affiliate or Permitted Transferee thereof, so long as any Permitted Transferee continues to qualify as a Permitted Transferee.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“Regal Cinemas” means Regal Cinemas, Inc., a Tennessee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“Retraction Notice” has the meaning set forth in Section 4.3(b).</w:t>
      </w:r>
    </w:p>
    <w:p>
      <w:pPr>
        <w:spacing w:after="0" w:line="16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“Rights” means, when used with respect to a specified Person, securities of such Person (which may include equity securities) that (contingently or otherwise) are exercisable, convertible or exchangeable for or into equity securities of such Person (with or without consideration) or that carry any right to subscribe for or acquire equity securities or securities exercisable, convertible or exchangeable for or into equity securities of such Person.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“Settlement Notice” has the meaning set forth in Section 4.3(b).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 Settlement” has the meaning set forth in Section 4.3(b).</w:t>
      </w:r>
    </w:p>
    <w:p>
      <w:pPr>
        <w:spacing w:after="0" w:line="16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“Subsidiary”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14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“Trading Day” means a day on which the principal United States securities exchange on which such security is listed or admitted to trading, or any automated or electronic quotation system if such security is only listed or admitted to trading on such automated or electronic quotation system, as applicable, is open for the transaction of business (unless such trading shall have been suspended for the entire day).</w:t>
      </w:r>
    </w:p>
    <w:p>
      <w:pPr>
        <w:spacing w:after="0" w:line="13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“Transfer” (including the term “Transferred”) means, with respect to any Person, directly or indirectly, to sell, transfer, give, exchange, bequest, assign, pledge, encumber, hypothecate or otherwise dispose of, either voluntarily or involuntarily (including (i) except as provided in clause (a) below, the direct or indirect Change of Control of any Founding Member or Permitted Transferee (or any direct or indirect holder of equity in a Founding Member or Permitted Transferee), and (ii) upon the foreclosure under any pledge or hypothecation permitted by clause (b) below that results in a change of title), any capital stock or other equity interest of such Person or other assets beneficially owned by such Person. Notwithstanding the foregoing: (a) the Change of Control of an ESA Party or its stockholders shall not be deemed to be a Transfer hereunder, and</w:t>
      </w:r>
    </w:p>
    <w:p>
      <w:pPr>
        <w:spacing w:after="0" w:line="2" w:lineRule="exact"/>
        <w:rPr>
          <w:sz w:val="20"/>
          <w:szCs w:val="20"/>
          <w:color w:val="auto"/>
        </w:rPr>
      </w:pPr>
    </w:p>
    <w:p>
      <w:pPr>
        <w:ind w:right="20" w:firstLine="8"/>
        <w:spacing w:after="0" w:line="227" w:lineRule="auto"/>
        <w:tabs>
          <w:tab w:leader="none" w:pos="28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bona fide pledge of Membership Interests or Common Stock by the Corporation or any Founding Member or their Affiliates shall not be deemed to be a Transfer hereunder.</w:t>
      </w:r>
    </w:p>
    <w:p>
      <w:pPr>
        <w:sectPr>
          <w:pgSz w:w="11900" w:h="16838" w:orient="portrait"/>
          <w:cols w:equalWidth="0" w:num="1">
            <w:col w:w="11240"/>
          </w:cols>
          <w:pgMar w:left="320" w:top="748" w:right="339" w:bottom="1440" w:gutter="0" w:footer="0" w:header="0"/>
        </w:sectPr>
      </w:pPr>
    </w:p>
    <w:bookmarkStart w:id="63" w:name="page64"/>
    <w:bookmarkEnd w:id="63"/>
    <w:p>
      <w:pPr>
        <w:spacing w:after="0" w:line="238" w:lineRule="auto"/>
        <w:rPr>
          <w:sz w:val="20"/>
          <w:szCs w:val="20"/>
          <w:color w:val="auto"/>
        </w:rPr>
      </w:pPr>
      <w:r>
        <w:rPr>
          <w:rFonts w:ascii="Times New Roman" w:cs="Times New Roman" w:eastAsia="Times New Roman" w:hAnsi="Times New Roman"/>
          <w:sz w:val="19"/>
          <w:szCs w:val="19"/>
          <w:color w:val="auto"/>
        </w:rPr>
        <w:t>“Ultimate Parent” means (i) Dalian Wanda Group in the case of AMC, (ii) Cinemark in the case of Cinemark Media and (iii) Cineworld in the case of Regal.</w:t>
      </w:r>
    </w:p>
    <w:p>
      <w:pPr>
        <w:spacing w:after="0" w:line="14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9"/>
          <w:szCs w:val="19"/>
          <w:color w:val="auto"/>
        </w:rPr>
        <w:t>“Unit Adjustment Agreement” means the Common Unit Adjustment Agreement as it may be amended, supplemented, or otherwise modified from time to time, by and among the Founding Members, Regal Cinemas, Inc., Cinemark USA, Inc., the Company and the LLC.</w:t>
      </w:r>
    </w:p>
    <w:p>
      <w:pPr>
        <w:sectPr>
          <w:pgSz w:w="11900" w:h="16838" w:orient="portrait"/>
          <w:cols w:equalWidth="0" w:num="1">
            <w:col w:w="11240"/>
          </w:cols>
          <w:pgMar w:left="320" w:top="74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March 31, 2022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4" w:lineRule="exact"/>
        <w:rPr>
          <w:sz w:val="20"/>
          <w:szCs w:val="20"/>
          <w:color w:val="auto"/>
        </w:rPr>
      </w:pPr>
    </w:p>
    <w:p>
      <w:pPr>
        <w:ind w:left="680" w:hanging="186"/>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March 31, 2022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lowerRoman"/>
      <w:start w:val="3"/>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lvl w:ilvl="1">
      <w:lvlJc w:val="left"/>
      <w:lvlText w:val="(%2)"/>
      <w:numFmt w:val="decimal"/>
      <w:start w:val="1"/>
    </w:lvl>
  </w:abstractNum>
  <w:abstractNum w:abstractNumId="12">
    <w:nsid w:val="614FD4A1"/>
    <w:multiLevelType w:val="hybridMultilevel"/>
    <w:lvl w:ilvl="0">
      <w:lvlJc w:val="left"/>
      <w:lvlText w:val="%1."/>
      <w:numFmt w:val="decimal"/>
      <w:start w:val="10"/>
    </w:lvl>
    <w:lvl w:ilvl="1">
      <w:lvlJc w:val="left"/>
      <w:lvlText w:val="%2"/>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lowerRoman"/>
      <w:start w:val="2"/>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lowerLetter"/>
      <w:start w:val="1"/>
    </w:lvl>
    <w:lvl w:ilvl="1">
      <w:lvlJc w:val="left"/>
      <w:lvlText w:val="(%2)"/>
      <w:numFmt w:val="lowerRoman"/>
      <w:start w:val="1"/>
    </w:lvl>
  </w:abstractNum>
  <w:abstractNum w:abstractNumId="25">
    <w:nsid w:val="580BD78F"/>
    <w:multiLevelType w:val="hybridMultilevel"/>
    <w:lvl w:ilvl="0">
      <w:lvlJc w:val="left"/>
      <w:lvlText w:val="(%1)"/>
      <w:numFmt w:val="lowerRoman"/>
      <w:start w:val="3"/>
    </w:lvl>
    <w:lvl w:ilvl="1">
      <w:lvlJc w:val="left"/>
      <w:lvlText w:val="(%2)"/>
      <w:numFmt w:val="upperLetter"/>
      <w:start w:val="1"/>
    </w:lvl>
  </w:abstractNum>
  <w:abstractNum w:abstractNumId="26">
    <w:nsid w:val="153EA438"/>
    <w:multiLevelType w:val="hybridMultilevel"/>
    <w:lvl w:ilvl="0">
      <w:lvlJc w:val="left"/>
      <w:lvlText w:val="(%1)"/>
      <w:numFmt w:val="lowerLetter"/>
      <w:start w:val="1"/>
    </w:lvl>
    <w:lvl w:ilvl="1">
      <w:lvlJc w:val="left"/>
      <w:lvlText w:val="(%2)"/>
      <w:numFmt w:val="lowerRoman"/>
      <w:start w:val="1"/>
    </w:lvl>
  </w:abstractNum>
  <w:abstractNum w:abstractNumId="27">
    <w:nsid w:val="3855585C"/>
    <w:multiLevelType w:val="hybridMultilevel"/>
    <w:lvl w:ilvl="0">
      <w:lvlJc w:val="left"/>
      <w:lvlText w:val="(%1)"/>
      <w:numFmt w:val="lowerRoman"/>
      <w:start w:val="3"/>
    </w:lvl>
    <w:lvl w:ilvl="1">
      <w:lvlJc w:val="left"/>
      <w:lvlText w:val="(%2)"/>
      <w:numFmt w:val="upperLetter"/>
      <w:start w:val="1"/>
    </w:lvl>
  </w:abstractNum>
  <w:abstractNum w:abstractNumId="28">
    <w:nsid w:val="70A64E2A"/>
    <w:multiLevelType w:val="hybridMultilevel"/>
    <w:lvl w:ilvl="0">
      <w:lvlJc w:val="left"/>
      <w:lvlText w:val="(%1)"/>
      <w:numFmt w:val="lowerRoman"/>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1"/>
    </w:lvl>
    <w:lvl w:ilvl="1">
      <w:lvlJc w:val="left"/>
      <w:lvlText w:val="(%2)"/>
      <w:numFmt w:val="lowerLetter"/>
      <w:start w:val="2"/>
    </w:lvl>
  </w:abstractNum>
  <w:abstractNum w:abstractNumId="31">
    <w:nsid w:val="1D4ED43B"/>
    <w:multiLevelType w:val="hybridMultilevel"/>
    <w:lvl w:ilvl="0">
      <w:lvlJc w:val="left"/>
      <w:lvlText w:val="(%1)"/>
      <w:numFmt w:val="lowerLetter"/>
      <w:start w:val="9"/>
    </w:lvl>
    <w:lvl w:ilvl="1">
      <w:lvlJc w:val="left"/>
      <w:lvlText w:val="%2"/>
      <w:numFmt w:val="lowerLetter"/>
      <w:start w:val="1"/>
    </w:lvl>
  </w:abstractNum>
  <w:abstractNum w:abstractNumId="32">
    <w:nsid w:val="725A06FB"/>
    <w:multiLevelType w:val="hybridMultilevel"/>
    <w:lvl w:ilvl="0">
      <w:lvlJc w:val="left"/>
      <w:lvlText w:val="(%1)"/>
      <w:numFmt w:val="lowerLetter"/>
      <w:start w:val="3"/>
    </w:lvl>
  </w:abstractNum>
  <w:abstractNum w:abstractNumId="33">
    <w:nsid w:val="2CD89A32"/>
    <w:multiLevelType w:val="hybridMultilevel"/>
    <w:lvl w:ilvl="0">
      <w:lvlJc w:val="left"/>
      <w:lvlText w:val="(%1)"/>
      <w:numFmt w:val="lowerRoman"/>
      <w:start w:val="4"/>
    </w:lvl>
    <w:lvl w:ilvl="1">
      <w:lvlJc w:val="left"/>
      <w:lvlText w:val="(%2)"/>
      <w:numFmt w:val="lowerLetter"/>
      <w:start w:val="6"/>
    </w:lvl>
  </w:abstractNum>
  <w:abstractNum w:abstractNumId="34">
    <w:nsid w:val="57E4CCAF"/>
    <w:multiLevelType w:val="hybridMultilevel"/>
    <w:lvl w:ilvl="0">
      <w:lvlJc w:val="left"/>
      <w:lvlText w:val="(%1)"/>
      <w:numFmt w:val="lowerLetter"/>
      <w:start w:val="1"/>
    </w:lvl>
    <w:lvl w:ilvl="1">
      <w:lvlJc w:val="left"/>
      <w:lvlText w:val="(%2)"/>
      <w:numFmt w:val="lowerRoman"/>
      <w:start w:val="1"/>
    </w:lvl>
  </w:abstractNum>
  <w:abstractNum w:abstractNumId="35">
    <w:nsid w:val="7A6D8D3C"/>
    <w:multiLevelType w:val="hybridMultilevel"/>
    <w:lvl w:ilvl="0">
      <w:lvlJc w:val="left"/>
      <w:lvlText w:val="(%1)"/>
      <w:numFmt w:val="lowerLetter"/>
      <w:start w:val="2"/>
    </w:lvl>
    <w:lvl w:ilvl="1">
      <w:lvlJc w:val="left"/>
      <w:lvlText w:val="(%2)"/>
      <w:numFmt w:val="lowerRoman"/>
      <w:start w:val="1"/>
    </w:lvl>
  </w:abstractNum>
  <w:abstractNum w:abstractNumId="36">
    <w:nsid w:val="4B588F54"/>
    <w:multiLevelType w:val="hybridMultilevel"/>
    <w:lvl w:ilvl="0">
      <w:lvlJc w:val="left"/>
      <w:lvlText w:val="(%1)"/>
      <w:numFmt w:val="lowerLetter"/>
      <w:start w:val="3"/>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0">
    <w:nsid w:val="7644A45C"/>
    <w:multiLevelType w:val="hybridMultilevel"/>
    <w:lvl w:ilvl="0">
      <w:lvlJc w:val="left"/>
      <w:lvlText w:val="(%1)"/>
      <w:numFmt w:val="lowerLetter"/>
      <w:start w:val="7"/>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Roman"/>
      <w:start w:val="10"/>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2"/>
    </w:lvl>
  </w:abstractNum>
  <w:abstractNum w:abstractNumId="46">
    <w:nsid w:val="1BA026FA"/>
    <w:multiLevelType w:val="hybridMultilevel"/>
    <w:lvl w:ilvl="0">
      <w:lvlJc w:val="left"/>
      <w:lvlText w:val="(%1)"/>
      <w:numFmt w:val="lowerLetter"/>
      <w:start w:val="2"/>
    </w:lvl>
    <w:lvl w:ilvl="1">
      <w:lvlJc w:val="left"/>
      <w:lvlText w:val="%2"/>
      <w:numFmt w:val="lowerLetter"/>
      <w:start w:val="1"/>
    </w:lvl>
  </w:abstractNum>
  <w:abstractNum w:abstractNumId="47">
    <w:nsid w:val="79A1DEAA"/>
    <w:multiLevelType w:val="hybridMultilevel"/>
    <w:lvl w:ilvl="0">
      <w:lvlJc w:val="left"/>
      <w:lvlText w:val="(%1)"/>
      <w:numFmt w:val="lowerLetter"/>
      <w:start w:val="9"/>
    </w:lvl>
    <w:lvl w:ilvl="1">
      <w:lvlJc w:val="left"/>
      <w:lvlText w:val="(%2)"/>
      <w:numFmt w:val="lowerLetter"/>
      <w:start w:val="1"/>
    </w:lvl>
  </w:abstractNum>
  <w:abstractNum w:abstractNumId="48">
    <w:nsid w:val="75C6C33A"/>
    <w:multiLevelType w:val="hybridMultilevel"/>
    <w:lvl w:ilvl="0">
      <w:lvlJc w:val="left"/>
      <w:lvlText w:val="(%1)"/>
      <w:numFmt w:val="lowerLetter"/>
      <w:start w:val="1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4" Type="http://schemas.openxmlformats.org/officeDocument/2006/relationships/hyperlink" Target="http://www.sec.gov/Archives/edgar/data/1377630/000137763022000003/ncm-amendmentno3tocreditag.htm" TargetMode="External"/><Relationship Id="rId55" Type="http://schemas.openxmlformats.org/officeDocument/2006/relationships/hyperlink" Target="http://www.sec.gov/Archives/edgar/data/1377630/000137763022000003/ncm-revolving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2022-05-09T15:40:21Z</dcterms:created>
  <dcterms:modified xsi:type="dcterms:W3CDTF">2022-05-09T15:40:21Z</dcterms:modified>
</cp:coreProperties>
</file>