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2" w:lineRule="exact"/>
        <w:rPr>
          <w:sz w:val="24"/>
          <w:szCs w:val="24"/>
          <w:color w:val="auto"/>
        </w:rPr>
      </w:pPr>
    </w:p>
    <w:p>
      <w:pPr>
        <w:ind w:left="3940" w:right="780" w:hanging="3716"/>
        <w:spacing w:after="0" w:line="383" w:lineRule="auto"/>
        <w:tabs>
          <w:tab w:leader="none" w:pos="1305"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1, 2021</w:t>
      </w:r>
    </w:p>
    <w:p>
      <w:pPr>
        <w:ind w:left="55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52" w:lineRule="exact"/>
        <w:rPr>
          <w:rFonts w:ascii="MS PGothic" w:cs="MS PGothic" w:eastAsia="MS PGothic" w:hAnsi="MS PGothic"/>
          <w:sz w:val="18"/>
          <w:szCs w:val="18"/>
          <w:color w:val="auto"/>
        </w:rPr>
      </w:pPr>
    </w:p>
    <w:p>
      <w:pPr>
        <w:ind w:left="1280" w:hanging="1090"/>
        <w:spacing w:after="0"/>
        <w:tabs>
          <w:tab w:leader="none" w:pos="12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 .</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81280</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773" w:right="339" w:bottom="1440" w:gutter="0" w:footer="0" w:header="0"/>
        </w:sectPr>
      </w:pPr>
    </w:p>
    <w:p>
      <w:pPr>
        <w:spacing w:after="0" w:line="124"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31" w:lineRule="exact"/>
        <w:rPr>
          <w:sz w:val="24"/>
          <w:szCs w:val="24"/>
          <w:color w:val="auto"/>
        </w:rPr>
      </w:pPr>
    </w:p>
    <w:p>
      <w:pPr>
        <w:sectPr>
          <w:pgSz w:w="11900" w:h="16838" w:orient="portrait"/>
          <w:cols w:equalWidth="0" w:num="2">
            <w:col w:w="7420" w:space="720"/>
            <w:col w:w="3100"/>
          </w:cols>
          <w:pgMar w:left="320" w:top="773" w:right="339" w:bottom="1440" w:gutter="0" w:footer="0" w:header="0"/>
          <w:type w:val="continuous"/>
        </w:sectPr>
      </w:pPr>
    </w:p>
    <w:p>
      <w:pPr>
        <w:spacing w:after="0" w:line="12"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300" w:space="720"/>
            <w:col w:w="322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4">
            <w:col w:w="3840" w:space="720"/>
            <w:col w:w="840" w:space="320"/>
            <w:col w:w="1920" w:space="720"/>
            <w:col w:w="288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520" w:space="720"/>
            <w:col w:w="3000"/>
          </w:cols>
          <w:pgMar w:left="320" w:top="773"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73" w:right="3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par value $0.01 per share</w:t>
      </w:r>
    </w:p>
    <w:p>
      <w:pPr>
        <w:spacing w:after="0" w:line="46"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20" w:lineRule="exact"/>
        <w:rPr>
          <w:sz w:val="24"/>
          <w:szCs w:val="24"/>
          <w:color w:val="auto"/>
        </w:rPr>
      </w:pPr>
    </w:p>
    <w:p>
      <w:pPr>
        <w:sectPr>
          <w:pgSz w:w="11900" w:h="16838" w:orient="portrait"/>
          <w:cols w:equalWidth="0" w:num="3">
            <w:col w:w="4160" w:space="720"/>
            <w:col w:w="1720" w:space="720"/>
            <w:col w:w="3920"/>
          </w:cols>
          <w:pgMar w:left="320" w:top="773" w:right="339" w:bottom="1440" w:gutter="0" w:footer="0" w:header="0"/>
          <w:type w:val="continuous"/>
        </w:sect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pacing w:after="0" w:line="21" w:lineRule="exact"/>
        <w:rPr>
          <w:sz w:val="24"/>
          <w:szCs w:val="24"/>
          <w:color w:val="auto"/>
        </w:rPr>
      </w:pPr>
    </w:p>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6"/>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4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August 5, 2021, 81,056,362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4040" w:type="dxa"/>
            <w:vAlign w:val="bottom"/>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Financial Statements</w:t>
              </w:r>
            </w:hyperlink>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Unaudited Condensed Consolidated Balance Sheets</w:t>
              </w:r>
            </w:hyperlink>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Income and Comprehensive Income</w:t>
              </w:r>
            </w:hyperlink>
          </w:p>
        </w:tc>
        <w:tc>
          <w:tcPr>
            <w:tcW w:w="1320" w:type="dxa"/>
            <w:vAlign w:val="bottom"/>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Unaudited Condensed Consolidated Statements of Cash Flows</w:t>
              </w:r>
            </w:hyperlink>
          </w:p>
        </w:tc>
        <w:tc>
          <w:tcPr>
            <w:tcW w:w="3080" w:type="dxa"/>
            <w:vAlign w:val="bottom"/>
            <w:gridSpan w:val="5"/>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Equity/(Deficit)</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Unaudited Condensed Consolidated Financial Statements</w:t>
              </w:r>
            </w:hyperlink>
          </w:p>
        </w:tc>
        <w:tc>
          <w:tcPr>
            <w:tcW w:w="20" w:type="dxa"/>
            <w:vAlign w:val="bottom"/>
            <w:tcBorders>
              <w:top w:val="single" w:sz="8" w:color="0000FF"/>
            </w:tcBorders>
          </w:tcPr>
          <w:p>
            <w:pPr>
              <w:spacing w:after="0"/>
              <w:rPr>
                <w:sz w:val="18"/>
                <w:szCs w:val="18"/>
                <w:color w:val="auto"/>
              </w:rPr>
            </w:pPr>
          </w:p>
        </w:tc>
        <w:tc>
          <w:tcPr>
            <w:tcW w:w="2780" w:type="dxa"/>
            <w:vAlign w:val="bottom"/>
            <w:gridSpan w:val="3"/>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780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4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780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w:t>
              </w:r>
            </w:hyperlink>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w:t>
              </w:r>
            </w:hyperlink>
          </w:p>
        </w:tc>
        <w:tc>
          <w:tcPr>
            <w:tcW w:w="780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1A.</w:t>
              </w:r>
            </w:hyperlink>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3.</w:t>
              </w:r>
            </w:hyperlink>
          </w:p>
        </w:tc>
        <w:tc>
          <w:tcPr>
            <w:tcW w:w="23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Defaults Upon Senior Securities</w:t>
              </w:r>
            </w:hyperlink>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Mine Safety Disclosures</w:t>
              </w:r>
            </w:hyperlink>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5.</w:t>
              </w:r>
            </w:hyperlink>
          </w:p>
        </w:tc>
        <w:tc>
          <w:tcPr>
            <w:tcW w:w="780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6.</w:t>
              </w:r>
            </w:hyperlink>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 2021</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57"/>
        </w:trPr>
        <w:tc>
          <w:tcPr>
            <w:tcW w:w="77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Short-term marketable securities</w:t>
            </w: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Receivables, net of allowance of $1.6 and $2.3, respectively</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assets and prepaid expenses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assets</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Property and equipment, net of accumulated depreciation of $57.6 and $77.7, respectively</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Intangible assets, net of accumulated amortization of $235.4 and $223.0, respectively</w:t>
            </w: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tax assets, net of valuation allowance of $222.5 and $212.0, respectively</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Long-term marketable securities</w:t>
            </w: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Debt issuance costs, net</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assets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EQUITY/(DEFICIT)</w:t>
            </w: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Amounts due to founding members, net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300" w:type="dxa"/>
            <w:vAlign w:val="bottom"/>
          </w:tcPr>
          <w:p>
            <w:pPr>
              <w:spacing w:after="0"/>
              <w:rPr>
                <w:sz w:val="10"/>
                <w:szCs w:val="10"/>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Arial" w:cs="Arial" w:eastAsia="Arial" w:hAnsi="Arial"/>
                <w:sz w:val="13"/>
                <w:szCs w:val="13"/>
                <w:color w:val="auto"/>
              </w:rPr>
              <w:t>parties of $0.0 and $0.6, respectively)</w:t>
            </w:r>
          </w:p>
        </w:tc>
        <w:tc>
          <w:tcPr>
            <w:tcW w:w="3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expenses</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Accrued payroll and related expenses</w:t>
            </w: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Deferred revenue</w:t>
            </w: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Short-term debt</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liabilities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liabilities</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Long-term debt, net of debt issuance costs of $11.8 and $8.0, respectively</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w:t>
            </w: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30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Arial" w:cs="Arial" w:eastAsia="Arial" w:hAnsi="Arial"/>
                <w:sz w:val="13"/>
                <w:szCs w:val="13"/>
                <w:color w:val="auto"/>
              </w:rPr>
              <w:t>parties of $22.6 and $23.7, respectively)</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non-current liabilities</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1,154.8</w:t>
            </w: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1" w:lineRule="exact"/>
              <w:rPr>
                <w:sz w:val="20"/>
                <w:szCs w:val="20"/>
                <w:color w:val="auto"/>
              </w:rPr>
            </w:pPr>
            <w:r>
              <w:rPr>
                <w:rFonts w:ascii="Arial" w:cs="Arial" w:eastAsia="Arial" w:hAnsi="Arial"/>
                <w:sz w:val="13"/>
                <w:szCs w:val="13"/>
                <w:color w:val="auto"/>
              </w:rPr>
              <w:t>COMMITMENTS AND CONTINGENCIES (NOTE 8)</w:t>
            </w: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EQUITY/(DEFICIT):</w:t>
            </w: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20"/>
              <w:spacing w:after="0"/>
              <w:rPr>
                <w:sz w:val="20"/>
                <w:szCs w:val="20"/>
                <w:color w:val="auto"/>
              </w:rPr>
            </w:pPr>
            <w:r>
              <w:rPr>
                <w:rFonts w:ascii="Arial" w:cs="Arial" w:eastAsia="Arial" w:hAnsi="Arial"/>
                <w:sz w:val="13"/>
                <w:szCs w:val="13"/>
                <w:color w:val="auto"/>
              </w:rPr>
              <w:t>NCM, Inc. Stockholders’ Equity/(Deficit):</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3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respectively</w:t>
            </w:r>
          </w:p>
        </w:tc>
        <w:tc>
          <w:tcPr>
            <w:tcW w:w="300" w:type="dxa"/>
            <w:vAlign w:val="bottom"/>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Common stock, $0.01 par value; 175,000,000 shares authorized, 80,238,751 and 78,040,818 issued</w:t>
            </w:r>
          </w:p>
        </w:tc>
        <w:tc>
          <w:tcPr>
            <w:tcW w:w="30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0"/>
        </w:trPr>
        <w:tc>
          <w:tcPr>
            <w:tcW w:w="7700" w:type="dxa"/>
            <w:vAlign w:val="bottom"/>
          </w:tcPr>
          <w:p>
            <w:pPr>
              <w:ind w:left="560"/>
              <w:spacing w:after="0"/>
              <w:rPr>
                <w:sz w:val="20"/>
                <w:szCs w:val="20"/>
                <w:color w:val="auto"/>
              </w:rPr>
            </w:pPr>
            <w:r>
              <w:rPr>
                <w:rFonts w:ascii="Arial" w:cs="Arial" w:eastAsia="Arial" w:hAnsi="Arial"/>
                <w:sz w:val="13"/>
                <w:szCs w:val="13"/>
                <w:color w:val="auto"/>
              </w:rPr>
              <w:t>and outstanding, respectively</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Additional paid in capital/(deficit)</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Retained earnings (distributions in excess of earnings)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NCM, Inc. stockholders’ equity/(deficit)</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Noncontrolling interests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equity/(deficit)</w:t>
            </w:r>
          </w:p>
        </w:tc>
        <w:tc>
          <w:tcPr>
            <w:tcW w:w="3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3"/>
                <w:szCs w:val="13"/>
                <w:color w:val="auto"/>
              </w:rPr>
              <w:t>TOTAL LIABILITIES AND EQUITY/(DEFICIT)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1, 2021</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June 25, 2020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1, 2021</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June 25, 2020</w:t>
            </w:r>
          </w:p>
        </w:tc>
        <w:tc>
          <w:tcPr>
            <w:tcW w:w="0" w:type="dxa"/>
            <w:vAlign w:val="bottom"/>
          </w:tcPr>
          <w:p>
            <w:pPr>
              <w:spacing w:after="0"/>
              <w:rPr>
                <w:sz w:val="1"/>
                <w:szCs w:val="1"/>
                <w:color w:val="auto"/>
              </w:rPr>
            </w:pPr>
          </w:p>
        </w:tc>
      </w:tr>
      <w:tr>
        <w:trPr>
          <w:trHeight w:val="184"/>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(including revenue from related parties of $1.6, $0.0, $2.0 and $4.3, respectively)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Advertising operating costs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Network costs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8"/>
        </w:trPr>
        <w:tc>
          <w:tcPr>
            <w:tcW w:w="6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6"/>
              </w:rPr>
              <w:t>Theater access fees and revenue share to founding members (including fees to related parties of</w:t>
            </w: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$7.1, $0.0, $8.4 and $12.5, respectively)</w:t>
            </w: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Selling and marketing costs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Administrative and other costs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Impairment of long-lived assets</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expense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6"/>
        </w:trPr>
        <w:tc>
          <w:tcPr>
            <w:tcW w:w="60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79"/>
        </w:trPr>
        <w:tc>
          <w:tcPr>
            <w:tcW w:w="60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OPERATING LOSS</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EXPENSES: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Interest on borrowings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Loss on modification and retirement of debt, net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6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Loss (gain) on re-measurement of the payable to founding members under the tax receivable</w:t>
            </w: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agreement</w:t>
            </w: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Other non-operating expense</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0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CONSOLIDATED NET LOSS</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7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NCM,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1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NCM,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NCM, INC. COMMON SHARE: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80,115,377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77,995,951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79,298,366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77,879,959</w:t>
            </w:r>
          </w:p>
        </w:tc>
        <w:tc>
          <w:tcPr>
            <w:tcW w:w="0" w:type="dxa"/>
            <w:vAlign w:val="bottom"/>
          </w:tcPr>
          <w:p>
            <w:pPr>
              <w:spacing w:after="0"/>
              <w:rPr>
                <w:sz w:val="1"/>
                <w:szCs w:val="1"/>
                <w:color w:val="auto"/>
              </w:rPr>
            </w:pPr>
          </w:p>
        </w:tc>
      </w:tr>
      <w:tr>
        <w:trPr>
          <w:trHeight w:val="182"/>
        </w:trPr>
        <w:tc>
          <w:tcPr>
            <w:tcW w:w="6000" w:type="dxa"/>
            <w:vAlign w:val="bottom"/>
          </w:tcPr>
          <w:p>
            <w:pPr>
              <w:ind w:left="22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80,115,377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77,995,951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79,298,366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77,879,959</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July 1, 2021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June 25, 2020</w:t>
            </w:r>
          </w:p>
        </w:tc>
        <w:tc>
          <w:tcPr>
            <w:tcW w:w="0" w:type="dxa"/>
            <w:vAlign w:val="bottom"/>
          </w:tcPr>
          <w:p>
            <w:pPr>
              <w:spacing w:after="0"/>
              <w:rPr>
                <w:sz w:val="1"/>
                <w:szCs w:val="1"/>
                <w:color w:val="auto"/>
              </w:rPr>
            </w:pPr>
          </w:p>
        </w:tc>
      </w:tr>
      <w:tr>
        <w:trPr>
          <w:trHeight w:val="17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Consolidated net loss</w:t>
            </w:r>
          </w:p>
        </w:tc>
        <w:tc>
          <w:tcPr>
            <w:tcW w:w="1660" w:type="dxa"/>
            <w:vAlign w:val="bottom"/>
          </w:tcPr>
          <w:p>
            <w:pPr>
              <w:jc w:val="right"/>
              <w:ind w:right="14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consolidated net loss to net cash (used in) provided by operating activities:</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Deferred income tax benefit</w:t>
            </w:r>
          </w:p>
        </w:tc>
        <w:tc>
          <w:tcPr>
            <w:tcW w:w="16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expense</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share-based compensation</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Impairment of long-lived assets</w:t>
            </w:r>
          </w:p>
        </w:tc>
        <w:tc>
          <w:tcPr>
            <w:tcW w:w="16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Loss on modification and retirement of debt, net</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Non-cash (gain) loss on re-measurement of the payable to founding members under</w:t>
            </w:r>
          </w:p>
        </w:tc>
        <w:tc>
          <w:tcPr>
            <w:tcW w:w="16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the tax receivable agreement</w:t>
            </w:r>
          </w:p>
        </w:tc>
        <w:tc>
          <w:tcPr>
            <w:tcW w:w="16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Other</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Founding member integration and other encumbered theater payments (including</w:t>
            </w:r>
          </w:p>
        </w:tc>
        <w:tc>
          <w:tcPr>
            <w:tcW w:w="16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from related parties of $0.0 and $0.1, respectively)</w:t>
            </w:r>
          </w:p>
        </w:tc>
        <w:tc>
          <w:tcPr>
            <w:tcW w:w="16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20"/>
              <w:spacing w:after="0" w:line="135" w:lineRule="exact"/>
              <w:rPr>
                <w:sz w:val="20"/>
                <w:szCs w:val="20"/>
                <w:color w:val="auto"/>
              </w:rPr>
            </w:pPr>
            <w:r>
              <w:rPr>
                <w:rFonts w:ascii="Arial" w:cs="Arial" w:eastAsia="Arial" w:hAnsi="Arial"/>
                <w:sz w:val="14"/>
                <w:szCs w:val="14"/>
                <w:color w:val="auto"/>
              </w:rPr>
              <w:t>Payment to the founding members under tax receivable agreement (including</w:t>
            </w:r>
          </w:p>
        </w:tc>
        <w:tc>
          <w:tcPr>
            <w:tcW w:w="16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20" w:type="dxa"/>
            <w:vAlign w:val="bottom"/>
          </w:tcPr>
          <w:p>
            <w:pPr>
              <w:ind w:left="340"/>
              <w:spacing w:after="0"/>
              <w:rPr>
                <w:sz w:val="20"/>
                <w:szCs w:val="20"/>
                <w:color w:val="auto"/>
              </w:rPr>
            </w:pPr>
            <w:r>
              <w:rPr>
                <w:rFonts w:ascii="Arial" w:cs="Arial" w:eastAsia="Arial" w:hAnsi="Arial"/>
                <w:sz w:val="14"/>
                <w:szCs w:val="14"/>
                <w:color w:val="auto"/>
              </w:rPr>
              <w:t>payments to related parties of $0.6 and $0.0, respectively)</w:t>
            </w:r>
          </w:p>
        </w:tc>
        <w:tc>
          <w:tcPr>
            <w:tcW w:w="16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6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65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Receivables, net</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135"/>
        </w:trPr>
        <w:tc>
          <w:tcPr>
            <w:tcW w:w="6520" w:type="dxa"/>
            <w:vAlign w:val="bottom"/>
          </w:tcPr>
          <w:p>
            <w:pPr>
              <w:ind w:left="360"/>
              <w:spacing w:after="0" w:line="135" w:lineRule="exact"/>
              <w:rPr>
                <w:sz w:val="20"/>
                <w:szCs w:val="20"/>
                <w:color w:val="auto"/>
              </w:rPr>
            </w:pPr>
            <w:r>
              <w:rPr>
                <w:rFonts w:ascii="Arial" w:cs="Arial" w:eastAsia="Arial" w:hAnsi="Arial"/>
                <w:sz w:val="14"/>
                <w:szCs w:val="14"/>
                <w:color w:val="auto"/>
              </w:rPr>
              <w:t>Accounts payable and accrued expenses (including payments to related parties of $0.6 and $0.0,</w:t>
            </w:r>
          </w:p>
        </w:tc>
        <w:tc>
          <w:tcPr>
            <w:tcW w:w="16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16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Amounts due to/from founding members, net</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9"/>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provided by operating activities</w:t>
            </w:r>
          </w:p>
        </w:tc>
        <w:tc>
          <w:tcPr>
            <w:tcW w:w="1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marketable securities</w:t>
            </w:r>
          </w:p>
        </w:tc>
        <w:tc>
          <w:tcPr>
            <w:tcW w:w="16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sale and maturities of marketable securities</w:t>
            </w:r>
          </w:p>
        </w:tc>
        <w:tc>
          <w:tcPr>
            <w:tcW w:w="16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6"/>
        </w:trPr>
        <w:tc>
          <w:tcPr>
            <w:tcW w:w="65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provided by investing activities</w:t>
            </w:r>
          </w:p>
        </w:tc>
        <w:tc>
          <w:tcPr>
            <w:tcW w:w="16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6"/>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of dividends</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revolving credit facility</w:t>
            </w:r>
          </w:p>
        </w:tc>
        <w:tc>
          <w:tcPr>
            <w:tcW w:w="16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revolving credit facility</w:t>
            </w:r>
          </w:p>
        </w:tc>
        <w:tc>
          <w:tcPr>
            <w:tcW w:w="16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Issuance of term loans</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term loan facility</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Payment of debt issuance costs</w:t>
            </w:r>
          </w:p>
        </w:tc>
        <w:tc>
          <w:tcPr>
            <w:tcW w:w="16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Distributions to founding members</w:t>
            </w:r>
          </w:p>
        </w:tc>
        <w:tc>
          <w:tcPr>
            <w:tcW w:w="16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Repurchase of stock for restricted stock tax withholding</w:t>
            </w:r>
          </w:p>
        </w:tc>
        <w:tc>
          <w:tcPr>
            <w:tcW w:w="16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16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79"/>
        </w:trPr>
        <w:tc>
          <w:tcPr>
            <w:tcW w:w="652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 at beginning of period</w:t>
            </w:r>
          </w:p>
        </w:tc>
        <w:tc>
          <w:tcPr>
            <w:tcW w:w="16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Cash and cash equivalents at end of period</w:t>
            </w:r>
          </w:p>
        </w:tc>
        <w:tc>
          <w:tcPr>
            <w:tcW w:w="166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1, 2021</w:t>
            </w:r>
          </w:p>
        </w:tc>
        <w:tc>
          <w:tcPr>
            <w:tcW w:w="260" w:type="dxa"/>
            <w:vAlign w:val="bottom"/>
          </w:tcPr>
          <w:p>
            <w:pPr>
              <w:spacing w:after="0"/>
              <w:rPr>
                <w:sz w:val="16"/>
                <w:szCs w:val="16"/>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25, 2020</w:t>
            </w:r>
          </w:p>
        </w:tc>
      </w:tr>
      <w:tr>
        <w:trPr>
          <w:trHeight w:val="17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2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9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subsidiary equity with NCM, Inc. equity</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Increase (decrease) in dividend equivalent accrual not requiring cash in the period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9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(refunds) payments for income taxes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NCM, Inc.</w:t>
            </w: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Paid in</w:t>
            </w:r>
          </w:p>
        </w:tc>
        <w:tc>
          <w:tcPr>
            <w:tcW w:w="8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(Distribution in</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8"/>
                <w:szCs w:val="8"/>
                <w:color w:val="auto"/>
              </w:rPr>
            </w:pPr>
          </w:p>
        </w:tc>
        <w:tc>
          <w:tcPr>
            <w:tcW w:w="12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Excess of</w:t>
            </w:r>
          </w:p>
        </w:tc>
        <w:tc>
          <w:tcPr>
            <w:tcW w:w="120" w:type="dxa"/>
            <w:vAlign w:val="bottom"/>
          </w:tcPr>
          <w:p>
            <w:pPr>
              <w:spacing w:after="0"/>
              <w:rPr>
                <w:sz w:val="8"/>
                <w:szCs w:val="8"/>
                <w:color w:val="auto"/>
              </w:rPr>
            </w:pPr>
          </w:p>
        </w:tc>
        <w:tc>
          <w:tcPr>
            <w:tcW w:w="1140" w:type="dxa"/>
            <w:vAlign w:val="bottom"/>
          </w:tcPr>
          <w:p>
            <w:pPr>
              <w:jc w:val="right"/>
              <w:ind w:right="109"/>
              <w:spacing w:after="0" w:line="102"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7"/>
                <w:szCs w:val="17"/>
                <w:color w:val="auto"/>
              </w:rPr>
            </w:pPr>
          </w:p>
        </w:tc>
        <w:tc>
          <w:tcPr>
            <w:tcW w:w="1140" w:type="dxa"/>
            <w:vAlign w:val="bottom"/>
          </w:tcPr>
          <w:p>
            <w:pPr>
              <w:jc w:val="right"/>
              <w:ind w:right="329"/>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4"/>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Balance—March 26,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77,973,648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Distributions to founding members</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Income tax and other impacts of NCM LLC ownership changes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Comprehensive loss, net of tax</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issued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Share-based compensation expensed/capitalized</w:t>
            </w: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$0.07 per share</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Balance—June 25,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78,000,338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Balance—April 1, 2021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(299.3)</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80,017,551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(290.3)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Income tax and other impacts of NCM LLC ownership changes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Comprehensive loss, net of tax</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issued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Share-based compensation expensed/capitalized</w:t>
            </w: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$0.05 per share</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color w:val="auto"/>
              </w:rPr>
              <w:t>Balance—July 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(349.0)</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80,238,751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NCM, Inc.</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(Distribution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4"/>
                <w:szCs w:val="4"/>
                <w:color w:val="auto"/>
              </w:rPr>
            </w:pPr>
          </w:p>
        </w:tc>
        <w:tc>
          <w:tcPr>
            <w:tcW w:w="11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4"/>
                <w:szCs w:val="4"/>
                <w:color w:val="auto"/>
              </w:rPr>
            </w:pPr>
          </w:p>
        </w:tc>
        <w:tc>
          <w:tcPr>
            <w:tcW w:w="1140" w:type="dxa"/>
            <w:vAlign w:val="bottom"/>
            <w:vMerge w:val="restart"/>
          </w:tcPr>
          <w:p>
            <w:pPr>
              <w:jc w:val="right"/>
              <w:ind w:right="88"/>
              <w:spacing w:after="0" w:line="122"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48"/>
        </w:trPr>
        <w:tc>
          <w:tcPr>
            <w:tcW w:w="4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6"/>
                <w:szCs w:val="16"/>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4"/>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26,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77,568,986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w w:val="97"/>
              </w:rPr>
              <w:t>Cumulative-effect adjustment for adoption of ASU 2016-13,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$0.26 per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Balance—June 25,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78,000,338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Balance—December 31,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78,040,818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(266.4)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NCM LLC common membership unit redemption</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807,366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Arial" w:cs="Arial" w:eastAsia="Arial" w:hAnsi="Arial"/>
                <w:sz w:val="14"/>
                <w:szCs w:val="14"/>
                <w:color w:val="auto"/>
              </w:rPr>
              <w:t>Cash dividends declared $0.10 per share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Balance—July 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80,238,751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6" w:right="399" w:bottom="1440" w:gutter="0" w:footer="0" w:header="0"/>
        </w:sectPr>
      </w:pPr>
    </w:p>
    <w:bookmarkStart w:id="8" w:name="page9"/>
    <w:bookmarkEnd w:id="8"/>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20" w:firstLine="526"/>
        <w:spacing w:after="0" w:line="254"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and Cinemark Media, Inc. and Cinemark USA, Inc., wholly owned subsidiaries of Cinemark Holdings, Inc. (“Cinemark”). The terms “NCM”, “the Company” or “we” shall, unless the context otherwise requires, be deemed to include the consolidated entity. On March 23, 2021 American Multi-Cinema, Inc., a wholly owned subsidiary of AMC Entertainment, Inc. (“AMC”) redeemed 1,390,567 membership units, which were issued to AMC in accordance with the terms of the common unit adjustment agreement with the founding members, in exchange for shares of NCM, Inc. common stock, reducing AMC’s ownership to 0.0% as of July 1, 2021. AMC, Regal, Cinemark and their affiliates are referred to in this document as “founding members”.</w:t>
      </w:r>
    </w:p>
    <w:p>
      <w:pPr>
        <w:spacing w:after="0" w:line="73" w:lineRule="exact"/>
        <w:rPr>
          <w:sz w:val="20"/>
          <w:szCs w:val="20"/>
          <w:color w:val="auto"/>
        </w:rPr>
      </w:pPr>
    </w:p>
    <w:p>
      <w:pPr>
        <w:ind w:firstLine="526"/>
        <w:spacing w:after="0" w:line="267" w:lineRule="auto"/>
        <w:rPr>
          <w:sz w:val="20"/>
          <w:szCs w:val="20"/>
          <w:color w:val="auto"/>
        </w:rPr>
      </w:pPr>
      <w:r>
        <w:rPr>
          <w:rFonts w:ascii="Arial" w:cs="Arial" w:eastAsia="Arial" w:hAnsi="Arial"/>
          <w:sz w:val="16"/>
          <w:szCs w:val="16"/>
          <w:color w:val="auto"/>
        </w:rPr>
        <w:t>The Company operates the largest cinema advertising network reaching movie audiences in the U.S., allowing NCM LLC to sell advertising under long-term exhibitor service agreements (“ESAs”) with the founding members and certain third-party network affiliates, under long-term network affiliate agreements. As previously disclosed, the COVID -19 pandemic has had a significant impact on the world and the Company’s business beginning in March 2020 as the United States’ government and other state and local governments issued precautionary restrictions on travel, public gatherings and other events and issued social distancing guidelines. These governmental restrictions resulted in the closure of most of the theaters within the Company’s network for approximately six months and thus the Company generated no in-theater advertising revenue during that time. When theaters began to reopen late in the third quarter of 2020, in-theater advertising revenue continued to be adversely impacted as attendance at the reopened theaters was significantly less than normal given COVID-19 restrictions around patron capacity limitations and a continued lack of new major motion picture releases. These and subsequent developments are referred to as the “COVID-19 Pandemic.” Beginning in 2021, multiple COVID-19 vaccines were approved and have been widely administered throughout the United States. As a result, during the second quarter of 2021, government restrictions lessened allowing theaters in key larger markets to fully reopen over the course of the second quarter of 2021. As of July 1, 2021, approximately 97.0% of the theaters within the Company’s network were open. With nearly all U.S. theaters reopened, multiple successful major motion pictures were released during the second quarter of 2021 resulting in the highest theater attendance since the start of the COVID-19 Pandemic. Despite the increase in network attendance, second quarter of 2021 in-theater advertising revenue remained significantly below historical levels as management believes many advertisers continued to delay making commitments until they confirmed that industry attendance had achieved necessary critical mass. In addition, the Company was not able to participate in the 2021 advertising upfront marketplace during the summer of 2020 while theaters were closed. As of the filing date, variants of the COVID-19 virus have been spreading throughout the United States resulting in mask mandates being reinstated in certain areas with increased infection rates. It remains unclear how future theater attendance and revenue will be impacted by these developments.</w:t>
      </w:r>
    </w:p>
    <w:p>
      <w:pPr>
        <w:spacing w:after="0" w:line="69" w:lineRule="exact"/>
        <w:rPr>
          <w:sz w:val="20"/>
          <w:szCs w:val="20"/>
          <w:color w:val="auto"/>
        </w:rPr>
      </w:pPr>
    </w:p>
    <w:p>
      <w:pPr>
        <w:ind w:right="20" w:firstLine="526"/>
        <w:spacing w:after="0" w:line="259" w:lineRule="auto"/>
        <w:rPr>
          <w:sz w:val="20"/>
          <w:szCs w:val="20"/>
          <w:color w:val="auto"/>
        </w:rPr>
      </w:pPr>
      <w:r>
        <w:rPr>
          <w:rFonts w:ascii="Arial" w:cs="Arial" w:eastAsia="Arial" w:hAnsi="Arial"/>
          <w:sz w:val="17"/>
          <w:szCs w:val="17"/>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upon pre-COVID-19 attendance levels) of approximately 18.2 years as of July 1, 2021. The network affiliate agreements expire at various dates between August 2021 and December 2037. The weighted average remaining term of the ESAs and the network affiliate agreements together is 15.9 years as of July 1, 2021 (based upon pre-COVID-19 attendance levels).</w:t>
      </w:r>
    </w:p>
    <w:p>
      <w:pPr>
        <w:spacing w:after="0" w:line="120" w:lineRule="exact"/>
        <w:rPr>
          <w:sz w:val="20"/>
          <w:szCs w:val="20"/>
          <w:color w:val="auto"/>
        </w:rPr>
      </w:pPr>
    </w:p>
    <w:p>
      <w:pPr>
        <w:jc w:val="both"/>
        <w:ind w:right="120" w:firstLine="526"/>
        <w:spacing w:after="0" w:line="248" w:lineRule="auto"/>
        <w:rPr>
          <w:sz w:val="20"/>
          <w:szCs w:val="20"/>
          <w:color w:val="auto"/>
        </w:rPr>
      </w:pPr>
      <w:r>
        <w:rPr>
          <w:rFonts w:ascii="Arial" w:cs="Arial" w:eastAsia="Arial" w:hAnsi="Arial"/>
          <w:sz w:val="18"/>
          <w:szCs w:val="18"/>
          <w:color w:val="auto"/>
        </w:rPr>
        <w:t>As of July 1, 2021, NCM LLC had 166,427,095 common membership units outstanding, of which 80,238,751 (48.2%) were owned by NCM, Inc., 43,026,794 (25.9%) were owned by Regal and 43,161,550 (25.9%) were owned by Cinemark and 0 (0.0%) were owned by AMC. The membership units held by the founding members are exchangeable into NCM, Inc. common stock on a one-for-one basis.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firstLine="526"/>
        <w:spacing w:after="0" w:line="257"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31, 2020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40" w:firstLine="526"/>
        <w:spacing w:after="0" w:line="293" w:lineRule="auto"/>
        <w:rPr>
          <w:sz w:val="20"/>
          <w:szCs w:val="20"/>
          <w:color w:val="auto"/>
        </w:rPr>
      </w:pPr>
      <w:r>
        <w:rPr>
          <w:rFonts w:ascii="Arial" w:cs="Arial" w:eastAsia="Arial" w:hAnsi="Arial"/>
          <w:sz w:val="16"/>
          <w:szCs w:val="16"/>
          <w:color w:val="auto"/>
        </w:rPr>
        <w:t>In the opinion of management, all adjustments necessary to present fairly in all material respects the financial position, results of operations and cash flows for all periods presented have been made. Historically, the Company’s business has been seasonal and for this and other reasons operating results for interim periods have not been indicative of the Company’s full year results or future performance. Given the impact of the COVID-19 Pandemic during 2021, management expects the Company's 2021 quarterly results to vary from historical trends. As a result of the various related party agreements discussed in Note 5—</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10" w:lineRule="exact"/>
        <w:rPr>
          <w:sz w:val="20"/>
          <w:szCs w:val="20"/>
          <w:color w:val="auto"/>
        </w:rPr>
      </w:pPr>
    </w:p>
    <w:p>
      <w:pPr>
        <w:ind w:right="60" w:firstLine="526"/>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00" w:firstLine="526"/>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31, 2020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right="120" w:firstLine="526"/>
        <w:spacing w:after="0" w:line="30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 advertising and lobby promotions and advertising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03" w:lineRule="exact"/>
        <w:rPr>
          <w:sz w:val="20"/>
          <w:szCs w:val="20"/>
          <w:color w:val="auto"/>
        </w:rPr>
      </w:pPr>
    </w:p>
    <w:p>
      <w:pPr>
        <w:ind w:right="120" w:firstLine="526"/>
        <w:spacing w:after="0" w:line="287"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—The risk of credit loss related to the Company's trade receivables and unbilled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18" w:lineRule="exact"/>
        <w:rPr>
          <w:sz w:val="20"/>
          <w:szCs w:val="20"/>
          <w:color w:val="auto"/>
        </w:rPr>
      </w:pPr>
    </w:p>
    <w:p>
      <w:pPr>
        <w:ind w:firstLine="526"/>
        <w:spacing w:after="0" w:line="296" w:lineRule="auto"/>
        <w:rPr>
          <w:sz w:val="20"/>
          <w:szCs w:val="20"/>
          <w:color w:val="auto"/>
        </w:rPr>
      </w:pPr>
      <w:r>
        <w:rPr>
          <w:rFonts w:ascii="Arial" w:cs="Arial" w:eastAsia="Arial" w:hAnsi="Arial"/>
          <w:sz w:val="16"/>
          <w:szCs w:val="16"/>
          <w:color w:val="auto"/>
        </w:rPr>
        <w:t>The Company had no agencies through which the Company sourced advertising revenue that accounted for more than 10% of the Company’s gross outstanding receivable balance as of July 1, 2021. The Company had one agency through which the Company sourced advertising revenue that accounted for 10.1% of the Company's gross outstanding receivable balance as of December 31, 2020. During the three months ended July 1, 2021 and June 25, 2020, the Company had one customer that accounted for 14.1% and 18.0% of the Company's revenue, respectively. During the six months ended July 1, 2021 and June 25, 2020, the Company had one customer that account for 11.3% and no customers that accounted for more than 10% of revenue, respectively.</w:t>
      </w:r>
    </w:p>
    <w:p>
      <w:pPr>
        <w:spacing w:after="0" w:line="107" w:lineRule="exact"/>
        <w:rPr>
          <w:sz w:val="20"/>
          <w:szCs w:val="20"/>
          <w:color w:val="auto"/>
        </w:rPr>
      </w:pPr>
    </w:p>
    <w:p>
      <w:pPr>
        <w:ind w:right="80" w:firstLine="526"/>
        <w:spacing w:after="0" w:line="259"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—The Company assesses impairment of long-lived assets pursuant to ASC 360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whether certain triggering events have occurred that could affect the value of an asset. The Company recorded losses of $0.0 million, $1.7 million, $0.0 million and $1.7 million related to the write-off of certain internally developed software during the three months ended July 1, 2021 and June 25, 2020 and the six months ended July 1, 2021 and June 25, 2020, respectively.</w:t>
      </w:r>
    </w:p>
    <w:p>
      <w:pPr>
        <w:spacing w:after="0" w:line="133" w:lineRule="exact"/>
        <w:rPr>
          <w:sz w:val="20"/>
          <w:szCs w:val="20"/>
          <w:color w:val="auto"/>
        </w:rPr>
      </w:pPr>
    </w:p>
    <w:p>
      <w:pPr>
        <w:ind w:right="80" w:firstLine="526"/>
        <w:spacing w:after="0" w:line="263"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—The Company has issued stock options, restricted stock, and restricted stock units to certain employees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The restricted stock and restricted stock unit grants for Company management vest upon the achievement of Company performance measures and/or service conditions, while non-management grants vest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February 28, 2021 and March 2, 2021, the Company’s Board of Directors approved certain modifications to equity awards awarded under the Company’s 2016 Equity Incentive Plan to adjust performance metrics, vesting amount and future performance goals in light of the COVID-19 Pandemic resulting in incremental share-based compensation expense of $0.2 million and $1.5 million for the three months and six months ended July 1, 2021, respectively. During the three months ended July 1, 2021 and June 25, 2020 and the six months ended July 1, 2021 and June 25, 2020, 281,810, 33,378, 1,125,539 and 557,681 shares of restricted stock and restricted stock units vested, respectively.</w:t>
      </w:r>
    </w:p>
    <w:p>
      <w:pPr>
        <w:spacing w:after="0" w:line="128" w:lineRule="exact"/>
        <w:rPr>
          <w:sz w:val="20"/>
          <w:szCs w:val="20"/>
          <w:color w:val="auto"/>
        </w:rPr>
      </w:pPr>
    </w:p>
    <w:p>
      <w:pPr>
        <w:ind w:right="80" w:firstLine="526"/>
        <w:spacing w:after="0" w:line="34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The following table presents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changes in NCM, Inc.’s equity resulting from net income attributable to NCM, Inc. and transfers to or from noncontrolling interests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1, 2021</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June 25,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1, 2021</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25, 2020</w:t>
            </w:r>
          </w:p>
        </w:tc>
        <w:tc>
          <w:tcPr>
            <w:tcW w:w="0" w:type="dxa"/>
            <w:vAlign w:val="bottom"/>
          </w:tcPr>
          <w:p>
            <w:pPr>
              <w:spacing w:after="0"/>
              <w:rPr>
                <w:sz w:val="1"/>
                <w:szCs w:val="1"/>
                <w:color w:val="auto"/>
              </w:rPr>
            </w:pPr>
          </w:p>
        </w:tc>
      </w:tr>
      <w:tr>
        <w:trPr>
          <w:trHeight w:val="22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NCM LLC equity issued for purchase of intangible asset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and other impacts of subsidiary ownership changes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NCM LLC common membership unit redemption</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shares to founding members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560" w:type="dxa"/>
            <w:vAlign w:val="bottom"/>
          </w:tcPr>
          <w:p>
            <w:pPr>
              <w:ind w:left="20"/>
              <w:spacing w:after="0" w:line="156" w:lineRule="exact"/>
              <w:rPr>
                <w:sz w:val="20"/>
                <w:szCs w:val="20"/>
                <w:color w:val="auto"/>
              </w:rPr>
            </w:pPr>
            <w:r>
              <w:rPr>
                <w:rFonts w:ascii="Arial" w:cs="Arial" w:eastAsia="Arial" w:hAnsi="Arial"/>
                <w:sz w:val="18"/>
                <w:szCs w:val="18"/>
                <w:color w:val="auto"/>
                <w:w w:val="94"/>
              </w:rPr>
              <w:t>Change from net loss income attributable to NCM, Inc. and transfers from</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8"/>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color w:val="auto"/>
        </w:rPr>
        <w:t xml:space="preserve">During the first quarter of 2021, the Company adopted Accounting Standards Update 2019-12, Income Taxes (Topic 740):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(“ASU 2019-12”), which removes the following exceptions for the Company to analyze in a given period: the exception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incremental approach for intraperiod tax allocation; the exception to accounting for basis differences when there are ownership changes in foreign investments; and the exception in interim periods income tax accounting for year-to-date losses that exceed anticipated losses. The Company’s adoption of ASU 2019-12 did not have a material impact on the unaudited Condensed Consolidated Financial Statements or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unaudited Condensed Consolidated Financial Statements.</w:t>
      </w:r>
    </w:p>
    <w:p>
      <w:pPr>
        <w:spacing w:after="0" w:line="138"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12"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ind w:right="40" w:firstLine="526"/>
        <w:spacing w:after="0" w:line="263"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the Company’s cinema advertising and entertainment pre-show. The Company also sells advertising through the LEN, a series of strategically placed screens located in movie theater lobbies, as well as other forms of advertising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promotions in theater lobbies. In addition, the Company sells online and mobile advertising, including through </w:t>
      </w:r>
      <w:r>
        <w:rPr>
          <w:rFonts w:ascii="Arial" w:cs="Arial" w:eastAsia="Arial" w:hAnsi="Arial"/>
          <w:sz w:val="18"/>
          <w:szCs w:val="18"/>
          <w:i w:val="1"/>
          <w:iCs w:val="1"/>
          <w:color w:val="auto"/>
        </w:rPr>
        <w:t>Noovie Audience Accelerator,</w:t>
      </w:r>
      <w:r>
        <w:rPr>
          <w:rFonts w:ascii="Arial" w:cs="Arial" w:eastAsia="Arial" w:hAnsi="Arial"/>
          <w:sz w:val="18"/>
          <w:szCs w:val="18"/>
          <w:color w:val="auto"/>
        </w:rPr>
        <w:t xml:space="preserve"> through NCM's digital gaming products including </w:t>
      </w:r>
      <w:r>
        <w:rPr>
          <w:rFonts w:ascii="Arial" w:cs="Arial" w:eastAsia="Arial" w:hAnsi="Arial"/>
          <w:sz w:val="18"/>
          <w:szCs w:val="18"/>
          <w:i w:val="1"/>
          <w:iCs w:val="1"/>
          <w:color w:val="auto"/>
        </w:rPr>
        <w:t>Noovie Trivia</w:t>
      </w:r>
      <w:r>
        <w:rPr>
          <w:rFonts w:ascii="Arial" w:cs="Arial" w:eastAsia="Arial" w:hAnsi="Arial"/>
          <w:sz w:val="18"/>
          <w:szCs w:val="18"/>
          <w:color w:val="auto"/>
        </w:rPr>
        <w:t xml:space="preserve">, </w:t>
      </w:r>
      <w:r>
        <w:rPr>
          <w:rFonts w:ascii="Arial" w:cs="Arial" w:eastAsia="Arial" w:hAnsi="Arial"/>
          <w:sz w:val="18"/>
          <w:szCs w:val="18"/>
          <w:i w:val="1"/>
          <w:iCs w:val="1"/>
          <w:color w:val="auto"/>
        </w:rPr>
        <w:t>Noovie ARcade, Name That Movie</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 Shuffle,</w:t>
      </w:r>
      <w:r>
        <w:rPr>
          <w:rFonts w:ascii="Arial" w:cs="Arial" w:eastAsia="Arial" w:hAnsi="Arial"/>
          <w:sz w:val="18"/>
          <w:szCs w:val="18"/>
          <w:color w:val="auto"/>
        </w:rPr>
        <w:t xml:space="preserve"> which can be played on the mobile apps or at </w:t>
      </w:r>
      <w:r>
        <w:rPr>
          <w:rFonts w:ascii="Arial" w:cs="Arial" w:eastAsia="Arial" w:hAnsi="Arial"/>
          <w:sz w:val="18"/>
          <w:szCs w:val="18"/>
          <w:i w:val="1"/>
          <w:iCs w:val="1"/>
          <w:color w:val="auto"/>
        </w:rPr>
        <w:t>Noovie.com</w:t>
      </w:r>
      <w:r>
        <w:rPr>
          <w:rFonts w:ascii="Arial" w:cs="Arial" w:eastAsia="Arial" w:hAnsi="Arial"/>
          <w:sz w:val="18"/>
          <w:szCs w:val="18"/>
          <w:color w:val="auto"/>
        </w:rPr>
        <w:t xml:space="preserve"> and through partnerships with certain internet platforms</w:t>
      </w:r>
      <w:r>
        <w:rPr>
          <w:rFonts w:ascii="Arial" w:cs="Arial" w:eastAsia="Arial" w:hAnsi="Arial"/>
          <w:sz w:val="18"/>
          <w:szCs w:val="18"/>
          <w:i w:val="1"/>
          <w:iCs w:val="1"/>
          <w:color w:val="auto"/>
        </w:rPr>
        <w:t>.</w:t>
      </w:r>
      <w:r>
        <w:rPr>
          <w:rFonts w:ascii="Arial" w:cs="Arial" w:eastAsia="Arial" w:hAnsi="Arial"/>
          <w:sz w:val="18"/>
          <w:szCs w:val="18"/>
          <w:color w:val="auto"/>
        </w:rPr>
        <w:t xml:space="preserve"> Further the Company sells advertising in a variety of complementary out of home venues, including restaurants, retail locations, convenience stores, college campuses and office and residential buildings. The Company also has a long-term agreement to exhibit the advertising of the founding members’ beverage suppliers.</w:t>
      </w:r>
    </w:p>
    <w:p>
      <w:pPr>
        <w:spacing w:after="0" w:line="80" w:lineRule="exact"/>
        <w:rPr>
          <w:sz w:val="20"/>
          <w:szCs w:val="20"/>
          <w:color w:val="auto"/>
        </w:rPr>
      </w:pPr>
    </w:p>
    <w:p>
      <w:pPr>
        <w:ind w:right="20" w:firstLine="526"/>
        <w:spacing w:after="0" w:line="255" w:lineRule="auto"/>
        <w:rPr>
          <w:sz w:val="20"/>
          <w:szCs w:val="20"/>
          <w:color w:val="auto"/>
        </w:rPr>
      </w:pPr>
      <w:r>
        <w:rPr>
          <w:rFonts w:ascii="Arial" w:cs="Arial" w:eastAsia="Arial" w:hAnsi="Arial"/>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The make-good provision is recorded within accrued expenses in the unaudited Condensed Consolidated Balance Sheet. As of July 1, 2021 and December 31, 2020, the Company had a make-good provision of $3.1 million and $7.1 million, respectively.</w:t>
      </w:r>
    </w:p>
    <w:p>
      <w:pPr>
        <w:spacing w:after="0" w:line="84" w:lineRule="exact"/>
        <w:rPr>
          <w:sz w:val="20"/>
          <w:szCs w:val="20"/>
          <w:color w:val="auto"/>
        </w:rPr>
      </w:pPr>
    </w:p>
    <w:p>
      <w:pPr>
        <w:jc w:val="both"/>
        <w:ind w:right="180" w:firstLine="526"/>
        <w:spacing w:after="0" w:line="311" w:lineRule="auto"/>
        <w:rPr>
          <w:sz w:val="20"/>
          <w:szCs w:val="20"/>
          <w:color w:val="auto"/>
        </w:rPr>
      </w:pPr>
      <w:r>
        <w:rPr>
          <w:rFonts w:ascii="Arial" w:cs="Arial" w:eastAsia="Arial" w:hAnsi="Arial"/>
          <w:sz w:val="16"/>
          <w:szCs w:val="16"/>
          <w:color w:val="auto"/>
        </w:rPr>
        <w:t>The Company does not have any contracts with customers with terms in excess of one year that are noncancellable as of July 1, 2021. Agreements with a duration less than one year are not included within this disclosure as the Company elected to use the practical expedient in ASC 606-10-50-14 for those contracts. In addition, the Company’s other contracts longer than one year that are cancellable are not included within this disclosure.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320" w:firstLine="526"/>
        <w:spacing w:after="0" w:line="342" w:lineRule="auto"/>
        <w:rPr>
          <w:sz w:val="20"/>
          <w:szCs w:val="20"/>
          <w:color w:val="auto"/>
        </w:rPr>
      </w:pPr>
      <w:r>
        <w:rPr>
          <w:rFonts w:ascii="Arial" w:cs="Arial" w:eastAsia="Arial" w:hAnsi="Arial"/>
          <w:sz w:val="16"/>
          <w:szCs w:val="16"/>
          <w:color w:val="auto"/>
        </w:rPr>
        <w:t>The Company disaggregates revenue based upon the type of customer: national and regional, local and beverage concessionaire. This method of disaggregation is in alignment with how revenue is reviewed by management and discussed with and historically disclosed to investors.</w:t>
      </w:r>
    </w:p>
    <w:p>
      <w:pPr>
        <w:spacing w:after="0" w:line="16" w:lineRule="exact"/>
        <w:rPr>
          <w:sz w:val="20"/>
          <w:szCs w:val="20"/>
          <w:color w:val="auto"/>
        </w:rPr>
      </w:pPr>
    </w:p>
    <w:p>
      <w:pPr>
        <w:ind w:right="480" w:firstLine="526"/>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three and six months ended July 1, 2021 and June 25, 2020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4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1, 2021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June 25,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1, 2021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June 25, 2020</w:t>
            </w: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 beverage concessionaire</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changes in deferred revenue for the six months ended July 1, 2021 were as follows (in millions):</w:t>
      </w:r>
    </w:p>
    <w:p>
      <w:pPr>
        <w:spacing w:after="0" w:line="20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23495</wp:posOffset>
            </wp:positionV>
            <wp:extent cx="1808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July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contract liabilities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Performance obligations satisfied</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center"/>
              <w:ind w:left="1070"/>
              <w:spacing w:after="0"/>
              <w:rPr>
                <w:sz w:val="20"/>
                <w:szCs w:val="20"/>
                <w:color w:val="auto"/>
              </w:rPr>
            </w:pPr>
            <w:r>
              <w:rPr>
                <w:rFonts w:ascii="Arial" w:cs="Arial" w:eastAsia="Arial" w:hAnsi="Arial"/>
                <w:sz w:val="18"/>
                <w:szCs w:val="18"/>
                <w:color w:val="auto"/>
                <w:w w:val="97"/>
              </w:rPr>
              <w:t>(5.1)</w:t>
            </w:r>
          </w:p>
        </w:tc>
      </w:tr>
      <w:tr>
        <w:trPr>
          <w:trHeight w:val="230"/>
        </w:trPr>
        <w:tc>
          <w:tcPr>
            <w:tcW w:w="1280" w:type="dxa"/>
            <w:vAlign w:val="bottom"/>
          </w:tcPr>
          <w:p>
            <w:pPr>
              <w:spacing w:after="0"/>
              <w:rPr>
                <w:sz w:val="19"/>
                <w:szCs w:val="19"/>
                <w:color w:val="auto"/>
              </w:rPr>
            </w:pPr>
          </w:p>
        </w:tc>
        <w:tc>
          <w:tcPr>
            <w:tcW w:w="1560" w:type="dxa"/>
            <w:vAlign w:val="bottom"/>
          </w:tcPr>
          <w:p>
            <w:pPr>
              <w:jc w:val="center"/>
              <w:ind w:left="1070"/>
              <w:spacing w:after="0"/>
              <w:rPr>
                <w:sz w:val="20"/>
                <w:szCs w:val="20"/>
                <w:color w:val="auto"/>
              </w:rPr>
            </w:pPr>
            <w:r>
              <w:rPr>
                <w:rFonts w:ascii="Arial" w:cs="Arial" w:eastAsia="Arial" w:hAnsi="Arial"/>
                <w:sz w:val="18"/>
                <w:szCs w:val="18"/>
                <w:color w:val="auto"/>
                <w:w w:val="97"/>
              </w:rPr>
              <w:t>(2.9)</w:t>
            </w:r>
          </w:p>
        </w:tc>
      </w:tr>
      <w:tr>
        <w:trPr>
          <w:trHeight w:val="230"/>
        </w:trPr>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87"/>
              </w:rPr>
              <w:t>1.6</w:t>
            </w:r>
          </w:p>
        </w:tc>
      </w:tr>
      <w:tr>
        <w:trPr>
          <w:trHeight w:val="223"/>
        </w:trPr>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7"/>
              </w:rPr>
              <w:t>(6.4)</w:t>
            </w: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-334010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42" w:lineRule="exact"/>
        <w:rPr>
          <w:sz w:val="20"/>
          <w:szCs w:val="20"/>
          <w:color w:val="auto"/>
        </w:rPr>
      </w:pPr>
    </w:p>
    <w:p>
      <w:pPr>
        <w:ind w:right="840" w:firstLine="526"/>
        <w:spacing w:after="0" w:line="344" w:lineRule="auto"/>
        <w:rPr>
          <w:sz w:val="20"/>
          <w:szCs w:val="20"/>
          <w:color w:val="auto"/>
        </w:rPr>
      </w:pPr>
      <w:r>
        <w:rPr>
          <w:rFonts w:ascii="Arial" w:cs="Arial" w:eastAsia="Arial" w:hAnsi="Arial"/>
          <w:sz w:val="18"/>
          <w:szCs w:val="18"/>
          <w:color w:val="auto"/>
        </w:rPr>
        <w:t xml:space="preserve">As of July 1, 2021 and December 31, 2020, the Company had $3.5 million and $2.5 million in unbilled accounts receivable, respectively. </w:t>
      </w:r>
      <w:r>
        <w:rPr>
          <w:rFonts w:ascii="Arial" w:cs="Arial" w:eastAsia="Arial" w:hAnsi="Arial"/>
          <w:sz w:val="18"/>
          <w:szCs w:val="18"/>
          <w:b w:val="1"/>
          <w:bCs w:val="1"/>
          <w:i w:val="1"/>
          <w:iCs w:val="1"/>
          <w:color w:val="auto"/>
        </w:rPr>
        <w:t>Allowance for Doubtful Accounts</w:t>
      </w:r>
    </w:p>
    <w:p>
      <w:pPr>
        <w:spacing w:after="0" w:line="1" w:lineRule="exact"/>
        <w:rPr>
          <w:sz w:val="20"/>
          <w:szCs w:val="20"/>
          <w:color w:val="auto"/>
        </w:rPr>
      </w:pPr>
    </w:p>
    <w:p>
      <w:pPr>
        <w:ind w:right="180" w:firstLine="526"/>
        <w:spacing w:after="0" w:line="263" w:lineRule="auto"/>
        <w:rPr>
          <w:sz w:val="20"/>
          <w:szCs w:val="20"/>
          <w:color w:val="auto"/>
        </w:rPr>
      </w:pPr>
      <w:r>
        <w:rPr>
          <w:rFonts w:ascii="Arial" w:cs="Arial" w:eastAsia="Arial" w:hAnsi="Arial"/>
          <w:sz w:val="18"/>
          <w:szCs w:val="18"/>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six months ended July 1, 2021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left="2680" w:right="268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Provision for bad debt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Write-offs,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951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July 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20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Allowance for National Customer Receivables</w:t>
            </w:r>
          </w:p>
        </w:tc>
        <w:tc>
          <w:tcPr>
            <w:tcW w:w="18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16"/>
              <w:spacing w:after="0" w:line="141" w:lineRule="exact"/>
              <w:rPr>
                <w:sz w:val="20"/>
                <w:szCs w:val="20"/>
                <w:color w:val="auto"/>
              </w:rPr>
            </w:pPr>
            <w:r>
              <w:rPr>
                <w:rFonts w:ascii="Arial" w:cs="Arial" w:eastAsia="Arial" w:hAnsi="Arial"/>
                <w:sz w:val="14"/>
                <w:szCs w:val="14"/>
                <w:b w:val="1"/>
                <w:bCs w:val="1"/>
                <w:color w:val="auto"/>
                <w:w w:val="93"/>
              </w:rPr>
              <w:t>Allowance for Local/ Regional Customer</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24"/>
        </w:trPr>
        <w:tc>
          <w:tcPr>
            <w:tcW w:w="1420" w:type="dxa"/>
            <w:vAlign w:val="bottom"/>
          </w:tcPr>
          <w:p>
            <w:pPr>
              <w:jc w:val="right"/>
              <w:ind w:right="1216"/>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tcPr>
          <w:p>
            <w:pPr>
              <w:jc w:val="center"/>
              <w:ind w:left="2396"/>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60" w:type="dxa"/>
            <w:vAlign w:val="bottom"/>
          </w:tcPr>
          <w:p>
            <w:pPr>
              <w:jc w:val="center"/>
              <w:ind w:left="2356"/>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60" w:type="dxa"/>
            <w:vAlign w:val="bottom"/>
          </w:tcPr>
          <w:p>
            <w:pPr>
              <w:jc w:val="center"/>
              <w:ind w:left="2356"/>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23"/>
        </w:trPr>
        <w:tc>
          <w:tcPr>
            <w:tcW w:w="1420" w:type="dxa"/>
            <w:vAlign w:val="bottom"/>
            <w:tcBorders>
              <w:top w:val="single" w:sz="8" w:color="auto"/>
              <w:bottom w:val="single" w:sz="8" w:color="auto"/>
            </w:tcBorders>
          </w:tcPr>
          <w:p>
            <w:pPr>
              <w:jc w:val="right"/>
              <w:ind w:right="1216"/>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bottom w:val="single" w:sz="8" w:color="auto"/>
            </w:tcBorders>
          </w:tcPr>
          <w:p>
            <w:pPr>
              <w:jc w:val="center"/>
              <w:ind w:left="2396"/>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-633730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-333375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4260" w:space="720"/>
            <w:col w:w="6260"/>
          </w:cols>
          <w:pgMar w:left="320" w:top="121" w:right="339" w:bottom="1440" w:gutter="0" w:footer="0" w:header="0"/>
          <w:type w:val="continuous"/>
        </w:sectPr>
      </w:pPr>
    </w:p>
    <w:p>
      <w:pPr>
        <w:ind w:right="60" w:firstLine="526"/>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1,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25,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1, 2021</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June 25, 2020</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80,115,377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77,995,951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79,298,366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77,879,959</w:t>
            </w:r>
          </w:p>
        </w:tc>
        <w:tc>
          <w:tcPr>
            <w:tcW w:w="0" w:type="dxa"/>
            <w:vAlign w:val="bottom"/>
          </w:tcPr>
          <w:p>
            <w:pPr>
              <w:spacing w:after="0"/>
              <w:rPr>
                <w:sz w:val="1"/>
                <w:szCs w:val="1"/>
                <w:color w:val="auto"/>
              </w:rPr>
            </w:pPr>
          </w:p>
        </w:tc>
      </w:tr>
      <w:tr>
        <w:trPr>
          <w:trHeight w:val="176"/>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w w:val="97"/>
              </w:rPr>
              <w:t>Add: Dilutive effect of stock options, restricted stock and exchangeable</w:t>
            </w:r>
          </w:p>
        </w:tc>
        <w:tc>
          <w:tcPr>
            <w:tcW w:w="1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membership units</w:t>
            </w: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80,115,377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77,995,951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79,298,366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77,879,959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NCM, Inc.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firstLine="526"/>
        <w:spacing w:after="0" w:line="272" w:lineRule="auto"/>
        <w:rPr>
          <w:sz w:val="20"/>
          <w:szCs w:val="20"/>
          <w:color w:val="auto"/>
        </w:rPr>
      </w:pPr>
      <w:r>
        <w:rPr>
          <w:rFonts w:ascii="Arial" w:cs="Arial" w:eastAsia="Arial" w:hAnsi="Arial"/>
          <w:sz w:val="17"/>
          <w:szCs w:val="17"/>
          <w:color w:val="auto"/>
        </w:rPr>
        <w:t>The effect of 86,084,305, 84,531,328, 85,307,817 and 83,252,384 weighted average exchangeable NCM LLC common units held by the founding members for the three months ended July 1, 2021 and June 25, 2020 and six months ended July 1, 2021 and June 25, 2020, respectively, have been excluded from the calculation of diluted weighted average shares and loss per NCM, Inc. share as they were anti-dilutive. NCM LLC common units do not participate in dividends paid on NCM, Inc.’s common stock. In addition, there were 4,376,000, 3,777,240, 4,376,000 and 3,777,240, stock options and non-vested (restricted) shares for the three months ended July 1, 2021 and June 25, 2020 and six months ended July 1, 2021 and June 25, 2020, respectively, excluded from the calculation as they were anti-dilutive. The Company’s non-vested (restricted) shares do not meet the definition of a participating security as the dividends will not be paid if the shares do not vest.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right="60" w:firstLine="526"/>
        <w:spacing w:after="0" w:line="286" w:lineRule="auto"/>
        <w:rPr>
          <w:sz w:val="20"/>
          <w:szCs w:val="20"/>
          <w:color w:val="auto"/>
        </w:rPr>
      </w:pPr>
      <w:r>
        <w:rPr>
          <w:rFonts w:ascii="Arial" w:cs="Arial" w:eastAsia="Arial" w:hAnsi="Arial"/>
          <w:sz w:val="16"/>
          <w:szCs w:val="16"/>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During 2020, the Company determined that recent adverse changes in macroeconomic trends, reduced cash flows as a consequence of the temporary, and sometimes permanent, closure of the theaters within the Company's network in response to the outbreak of the COVID-19 Pandemic, a decline in the fair value of NCM LLC’s debt and the further sustained decline in the market price of NCM, Inc.'s common stock constituted a triggering event for its intangible assets under </w:t>
      </w:r>
      <w:r>
        <w:rPr>
          <w:rFonts w:ascii="Arial" w:cs="Arial" w:eastAsia="Arial" w:hAnsi="Arial"/>
          <w:sz w:val="16"/>
          <w:szCs w:val="16"/>
          <w:i w:val="1"/>
          <w:iCs w:val="1"/>
          <w:color w:val="auto"/>
        </w:rPr>
        <w:t>Accounting Standards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360, Impairment and Disposal of Long-Lived Assets. </w:t>
      </w:r>
      <w:r>
        <w:rPr>
          <w:rFonts w:ascii="Arial" w:cs="Arial" w:eastAsia="Arial" w:hAnsi="Arial"/>
          <w:sz w:val="16"/>
          <w:szCs w:val="16"/>
          <w:color w:val="auto"/>
        </w:rPr>
        <w:t>Management considered possible scenarios in a probability-weighted estimated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undiscounted cash flow analysis, including the potential of further delays in major motion picture releases, a recurrence of the temporary theater closures and other potential adverse impacts to NCM LLC's founding members' and affiliates' financial liquidity related to the COVID-19 Pandemic. The estimated future cash flows from the affiliate agreements and ESAs calculated within the probability-weighted analyses were in excess of the net book value of these intangible assets and no impairment charges were recorded in the year ended December 31, 2020. Such analysis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33" w:lineRule="exact"/>
        <w:rPr>
          <w:sz w:val="20"/>
          <w:szCs w:val="20"/>
          <w:color w:val="auto"/>
        </w:rPr>
      </w:pPr>
    </w:p>
    <w:p>
      <w:pPr>
        <w:ind w:firstLine="526"/>
        <w:spacing w:after="0" w:line="272"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23" w:lineRule="exact"/>
        <w:rPr>
          <w:sz w:val="20"/>
          <w:szCs w:val="20"/>
          <w:color w:val="auto"/>
        </w:rPr>
      </w:pPr>
    </w:p>
    <w:p>
      <w:pPr>
        <w:ind w:firstLine="526"/>
        <w:spacing w:after="0" w:line="257" w:lineRule="auto"/>
        <w:rPr>
          <w:sz w:val="20"/>
          <w:szCs w:val="20"/>
          <w:color w:val="auto"/>
        </w:rPr>
      </w:pPr>
      <w:r>
        <w:rPr>
          <w:rFonts w:ascii="Arial" w:cs="Arial" w:eastAsia="Arial" w:hAnsi="Arial"/>
          <w:sz w:val="18"/>
          <w:szCs w:val="18"/>
          <w:color w:val="auto"/>
        </w:rPr>
        <w:t>During the first quarter of 2021, NCM LLC issued 3,047,582 common membership units to two founding members for the rights to exclusive access to the theater screens and attendees added, net of dispositions, to NCM LLC’s network during the 2020 fiscal year and calculated a negative common membership unit adjustment for one founding member resulting in a receivable included within “Other assets and prepaid expenses” on the unaudited Consolidated Balance Sheet. The net impact as a result of the Common Unit Adjustment to the intangible asset was $4.8 million during the first quarter of 2021.</w:t>
      </w:r>
    </w:p>
    <w:p>
      <w:pPr>
        <w:spacing w:after="0" w:line="134" w:lineRule="exact"/>
        <w:rPr>
          <w:sz w:val="20"/>
          <w:szCs w:val="20"/>
          <w:color w:val="auto"/>
        </w:rPr>
      </w:pPr>
    </w:p>
    <w:p>
      <w:pPr>
        <w:jc w:val="both"/>
        <w:ind w:right="20" w:firstLine="526"/>
        <w:spacing w:after="0" w:line="286" w:lineRule="auto"/>
        <w:rPr>
          <w:sz w:val="20"/>
          <w:szCs w:val="20"/>
          <w:color w:val="auto"/>
        </w:rPr>
      </w:pPr>
      <w:r>
        <w:rPr>
          <w:rFonts w:ascii="Arial" w:cs="Arial" w:eastAsia="Arial" w:hAnsi="Arial"/>
          <w:sz w:val="17"/>
          <w:szCs w:val="17"/>
          <w:color w:val="auto"/>
        </w:rPr>
        <w:t>During the first quarter of 2020, NCM LLC issued 3,022,959 common membership units to its founding members for the rights to exclusive access to the theater screens and attendees added, net of dispositions by the founding members to NCM LLC’s network during the 2019 fiscal year and NCM LLC recorded a net intangible asset of $10.5 million during the first quarter of 2020 as a result of the Common Unit Adjustment.</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place with respect to any acquired theaters (“encumbered theaters”), the founding members may elect to receive common membership units related to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encumbered theaters in connection with the Common Unit Adjustment. If the founding members make this election, then they are required to make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on a quarterly basis in arrears in accordance with certain run-out provisions pursuant to the ESAs (“integration payments”). Because the Carmike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Cinemas, Inc. (“Carmike”) theaters acquired by AMC are subject to an existing on-screen advertising agreement with an alternative provider, AMC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integration payments to NCM LLC. The integration payments will continue until the earlier of (i) the date the theaters are transferred to NCM LLC’s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network or (ii) the expiration of the ESA. Integration payments are calculated based upon the advertising cash flow that the Company would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generated if it had exclusive access to sell advertising in the theaters with pre-existing advertising agreements. The ESAs additionally entitle NCM LLC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related to the founding members’ on-screen advertising commitments under their beverage concessionaire agreements for encumbered theaters.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payments are also accounted for as a reduction to the intangible assets. During the three months ended July 1, 2021 and June 25, 2020 and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1, 2021 and June 25, 2020, the Company recorded a reduction to net intangible assets of $0.2 million, $0.0 million,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respectively, related to integration and other encumbered theater payments. No integrations payments were earned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 2021 because the Company generated negative Adjusted Operating Income Before Depreciation and Amortization (“Adjusted OIBDA”) during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During the three months ended July 1, 2021 and June 25, 2020 and six months ended July 1, 2021 and June 25, 2020, AMC and Cinemark paid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of $0.1 million, $1.2 million, $0.1 million and $9.7 million, respectively, in integration and other encumbered theater payments (as payments are made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one quarter and one month in arrears, respectively). The payments received during the three months ended June 25, 2020 primarily relate to AMC's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theaters from Carmike. If common membership units are issued to a founding member for newly acquired theaters that are subject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on-screen advertising agreement with an alternative provider, the amortization of the intangible asset commences after the existing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expires and NCM LLC can utilize the theaters for all of its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80" w:firstLine="526"/>
        <w:spacing w:after="0" w:line="275" w:lineRule="auto"/>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—In connection with NCM, Inc.’s initial public offering (“IPO”), the Company entered into several agreements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 and regulate the relationships among NCM, Inc., NCM LLC and the founding members which are outlined below. AMC has owned less than 5% of NCM LLC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As of July 1, 2021, AMC’s ownership was 0.0%.</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67" w:lineRule="exact"/>
        <w:rPr>
          <w:sz w:val="20"/>
          <w:szCs w:val="20"/>
          <w:color w:val="auto"/>
        </w:rPr>
      </w:pPr>
    </w:p>
    <w:p>
      <w:pPr>
        <w:ind w:left="1100" w:right="60" w:hanging="323"/>
        <w:spacing w:after="0" w:line="269" w:lineRule="auto"/>
        <w:tabs>
          <w:tab w:leader="none" w:pos="109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LEN and rights to sell and display certain lobby promotions. Further, NCM LLC’s founding members have elected to purchase 30 seconds to 60 seconds of advertising, out of the 90 seconds allowed for under the ESA,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21" w:lineRule="exact"/>
        <w:rPr>
          <w:rFonts w:ascii="Arial" w:cs="Arial" w:eastAsia="Arial" w:hAnsi="Arial"/>
          <w:sz w:val="17"/>
          <w:szCs w:val="17"/>
          <w:color w:val="auto"/>
        </w:rPr>
      </w:pPr>
    </w:p>
    <w:p>
      <w:pPr>
        <w:ind w:left="1100" w:right="60" w:hanging="323"/>
        <w:spacing w:after="0" w:line="266" w:lineRule="auto"/>
        <w:tabs>
          <w:tab w:leader="none" w:pos="109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1" w:lineRule="exact"/>
        <w:rPr>
          <w:rFonts w:ascii="Arial" w:cs="Arial" w:eastAsia="Arial" w:hAnsi="Arial"/>
          <w:sz w:val="18"/>
          <w:szCs w:val="18"/>
          <w:color w:val="auto"/>
        </w:rPr>
      </w:pPr>
    </w:p>
    <w:p>
      <w:pPr>
        <w:ind w:left="1100" w:right="100" w:hanging="323"/>
        <w:spacing w:after="0" w:line="314" w:lineRule="auto"/>
        <w:tabs>
          <w:tab w:leader="none" w:pos="1095"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7" w:lineRule="exact"/>
        <w:rPr>
          <w:rFonts w:ascii="Arial" w:cs="Arial" w:eastAsia="Arial" w:hAnsi="Arial"/>
          <w:sz w:val="16"/>
          <w:szCs w:val="16"/>
          <w:color w:val="auto"/>
        </w:rPr>
      </w:pPr>
    </w:p>
    <w:p>
      <w:pPr>
        <w:ind w:left="1100" w:right="100" w:hanging="323"/>
        <w:spacing w:after="0" w:line="303" w:lineRule="auto"/>
        <w:tabs>
          <w:tab w:leader="none" w:pos="1095"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34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12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Income:</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1, 2021</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June 25,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1, 2021</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June 25, 2020</w:t>
            </w:r>
          </w:p>
        </w:tc>
      </w:tr>
      <w:tr>
        <w:trPr>
          <w:trHeight w:val="170"/>
        </w:trPr>
        <w:tc>
          <w:tcPr>
            <w:tcW w:w="220" w:type="dxa"/>
            <w:vAlign w:val="bottom"/>
            <w:tcBorders>
              <w:top w:val="single" w:sz="8" w:color="CCEEFF"/>
            </w:tcBorders>
            <w:shd w:val="clear" w:color="auto" w:fill="CCEEFF"/>
          </w:tcPr>
          <w:p>
            <w:pPr>
              <w:spacing w:after="0"/>
              <w:rPr>
                <w:sz w:val="14"/>
                <w:szCs w:val="14"/>
                <w:color w:val="auto"/>
              </w:rPr>
            </w:pPr>
          </w:p>
        </w:tc>
        <w:tc>
          <w:tcPr>
            <w:tcW w:w="590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20" w:type="dxa"/>
            <w:vAlign w:val="bottom"/>
          </w:tcPr>
          <w:p>
            <w:pPr>
              <w:spacing w:after="0"/>
              <w:rPr>
                <w:sz w:val="19"/>
                <w:szCs w:val="19"/>
                <w:color w:val="auto"/>
              </w:rPr>
            </w:pPr>
          </w:p>
        </w:tc>
        <w:tc>
          <w:tcPr>
            <w:tcW w:w="5900" w:type="dxa"/>
            <w:vAlign w:val="bottom"/>
            <w:gridSpan w:val="3"/>
          </w:tcPr>
          <w:p>
            <w:pPr>
              <w:ind w:left="22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4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5900" w:type="dxa"/>
            <w:vAlign w:val="bottom"/>
            <w:gridSpan w:val="3"/>
          </w:tcPr>
          <w:p>
            <w:pPr>
              <w:ind w:left="18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20" w:type="dxa"/>
            <w:vAlign w:val="bottom"/>
            <w:shd w:val="clear" w:color="auto" w:fill="CCEEFF"/>
          </w:tcPr>
          <w:p>
            <w:pPr>
              <w:spacing w:after="0"/>
              <w:rPr>
                <w:sz w:val="19"/>
                <w:szCs w:val="19"/>
                <w:color w:val="auto"/>
              </w:rPr>
            </w:pPr>
          </w:p>
        </w:tc>
        <w:tc>
          <w:tcPr>
            <w:tcW w:w="5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20" w:type="dxa"/>
            <w:vAlign w:val="bottom"/>
          </w:tcPr>
          <w:p>
            <w:pPr>
              <w:spacing w:after="0"/>
              <w:rPr>
                <w:sz w:val="20"/>
                <w:szCs w:val="20"/>
                <w:color w:val="auto"/>
              </w:rPr>
            </w:pPr>
          </w:p>
        </w:tc>
        <w:tc>
          <w:tcPr>
            <w:tcW w:w="5900" w:type="dxa"/>
            <w:vAlign w:val="bottom"/>
            <w:gridSpan w:val="3"/>
          </w:tcPr>
          <w:p>
            <w:pPr>
              <w:ind w:left="22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left="340" w:right="140" w:hanging="332"/>
        <w:spacing w:after="0" w:line="263" w:lineRule="auto"/>
        <w:tabs>
          <w:tab w:leader="none" w:pos="334"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For the three and six months ended July 1, 2021 and June 25, 2020, Cinemark and Regal purchased 60 seconds of on-screen advertising time from NCM LLC to satisfy their obligations under their beverage concessionaire agreements at a 30 seconds equivalent CPM rate specified by the ESA. No beverage revenue was generated for the period of time that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right="440"/>
        <w:spacing w:after="0" w:line="258" w:lineRule="auto"/>
        <w:rPr>
          <w:sz w:val="20"/>
          <w:szCs w:val="20"/>
          <w:color w:val="auto"/>
        </w:rPr>
      </w:pPr>
      <w:r>
        <w:rPr>
          <w:rFonts w:ascii="Arial" w:cs="Arial" w:eastAsia="Arial" w:hAnsi="Arial"/>
          <w:sz w:val="18"/>
          <w:szCs w:val="18"/>
          <w:color w:val="auto"/>
        </w:rPr>
        <w:t>theaters within NCM LLC's network were temporarily closed as there were no attendees upon which beverage revenue is generated and beverage revenue was limited for periods of reduced attendance due to the COVID-19 Pandemic.</w:t>
      </w:r>
    </w:p>
    <w:p>
      <w:pPr>
        <w:spacing w:after="0" w:line="1" w:lineRule="exact"/>
        <w:rPr>
          <w:sz w:val="20"/>
          <w:szCs w:val="20"/>
          <w:color w:val="auto"/>
        </w:rPr>
      </w:pPr>
    </w:p>
    <w:p>
      <w:pPr>
        <w:ind w:left="340" w:right="100" w:hanging="332"/>
        <w:spacing w:after="0" w:line="250"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“attached” trailers preceding the feature film (the “Platinum Spot”). There was no theater access fee or revenue share expense for the period of time that the theaters within NCM LLC's network were temporarily closed and reduced fees for periods of reduced attendance due to the COVID-19 Pandemic.</w:t>
      </w:r>
    </w:p>
    <w:p>
      <w:pPr>
        <w:spacing w:after="0" w:line="2" w:lineRule="exact"/>
        <w:rPr>
          <w:rFonts w:ascii="Arial" w:cs="Arial" w:eastAsia="Arial" w:hAnsi="Arial"/>
          <w:sz w:val="18"/>
          <w:szCs w:val="18"/>
          <w:i w:val="1"/>
          <w:iCs w:val="1"/>
          <w:color w:val="auto"/>
        </w:rPr>
      </w:pPr>
    </w:p>
    <w:p>
      <w:pPr>
        <w:ind w:left="340" w:right="240" w:hanging="332"/>
        <w:spacing w:after="0" w:line="245"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Includes purchase of movie tickets, concession products, rental of theater space primarily for marketing to NCM LLC’s advertising clients and other payments made to the founding members in the ordinary course of business.</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1, 2021</w:t>
            </w:r>
          </w:p>
        </w:tc>
        <w:tc>
          <w:tcPr>
            <w:tcW w:w="140" w:type="dxa"/>
            <w:vAlign w:val="bottom"/>
          </w:tcPr>
          <w:p>
            <w:pPr>
              <w:spacing w:after="0"/>
              <w:rPr>
                <w:sz w:val="16"/>
                <w:szCs w:val="16"/>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57"/>
        </w:trPr>
        <w:tc>
          <w:tcPr>
            <w:tcW w:w="8260" w:type="dxa"/>
            <w:vAlign w:val="bottom"/>
            <w:tcBorders>
              <w:top w:val="single" w:sz="8" w:color="CCEEFF"/>
            </w:tcBorders>
            <w:shd w:val="clear" w:color="auto" w:fill="CCEEFF"/>
          </w:tcPr>
          <w:p>
            <w:pPr>
              <w:ind w:left="260"/>
              <w:spacing w:after="0" w:line="157" w:lineRule="exact"/>
              <w:rPr>
                <w:sz w:val="20"/>
                <w:szCs w:val="20"/>
                <w:color w:val="auto"/>
              </w:rPr>
            </w:pPr>
            <w:r>
              <w:rPr>
                <w:rFonts w:ascii="Arial" w:cs="Arial" w:eastAsia="Arial" w:hAnsi="Arial"/>
                <w:sz w:val="18"/>
                <w:szCs w:val="18"/>
                <w:color w:val="auto"/>
                <w:w w:val="91"/>
              </w:rPr>
              <w:t>Common unit adjustments and ESA extension costs, net of amortization and integration payments (included in</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(1)</w:t>
            </w: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 xml:space="preserve">Other payables to founding members </w:t>
            </w:r>
            <w:r>
              <w:rPr>
                <w:rFonts w:ascii="Arial" w:cs="Arial" w:eastAsia="Arial" w:hAnsi="Arial"/>
                <w:sz w:val="18"/>
                <w:szCs w:val="18"/>
                <w:i w:val="1"/>
                <w:iCs w:val="1"/>
                <w:color w:val="auto"/>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980" w:right="380" w:hanging="324"/>
        <w:spacing w:after="0" w:line="255" w:lineRule="auto"/>
        <w:tabs>
          <w:tab w:leader="none" w:pos="97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2" w:lineRule="exact"/>
        <w:rPr>
          <w:rFonts w:ascii="Arial" w:cs="Arial" w:eastAsia="Arial" w:hAnsi="Arial"/>
          <w:sz w:val="18"/>
          <w:szCs w:val="18"/>
          <w:i w:val="1"/>
          <w:iCs w:val="1"/>
          <w:color w:val="auto"/>
        </w:rPr>
      </w:pPr>
    </w:p>
    <w:p>
      <w:pPr>
        <w:ind w:left="980" w:right="860" w:hanging="324"/>
        <w:spacing w:after="0" w:line="250" w:lineRule="auto"/>
        <w:tabs>
          <w:tab w:leader="none" w:pos="97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$0.2 million and $0.4 million during 2021 and $3.2 million and $5.8 million during 2020, respectively, in payments pursuant to the TRA which were for the 2019 tax year.</w:t>
      </w: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Includes other payments made to the founding members in the ordinary course of business.</w:t>
      </w:r>
    </w:p>
    <w:p>
      <w:pPr>
        <w:spacing w:after="0" w:line="238" w:lineRule="exact"/>
        <w:rPr>
          <w:sz w:val="20"/>
          <w:szCs w:val="20"/>
          <w:color w:val="auto"/>
        </w:rPr>
      </w:pPr>
    </w:p>
    <w:p>
      <w:pPr>
        <w:jc w:val="both"/>
        <w:ind w:right="160" w:firstLine="526"/>
        <w:spacing w:after="0" w:line="311" w:lineRule="auto"/>
        <w:rPr>
          <w:sz w:val="20"/>
          <w:szCs w:val="20"/>
          <w:color w:val="auto"/>
        </w:rPr>
      </w:pPr>
      <w:r>
        <w:rPr>
          <w:rFonts w:ascii="Arial" w:cs="Arial" w:eastAsia="Arial" w:hAnsi="Arial"/>
          <w:sz w:val="16"/>
          <w:szCs w:val="16"/>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and six months ended July 1, 2021 and June 25, 2020 were as follows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4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66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July 1, 2021</w:t>
            </w: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June 25,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1, 2021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25, 2020</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Cinemark</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Regal</w:t>
            </w:r>
          </w:p>
        </w:tc>
        <w:tc>
          <w:tcPr>
            <w:tcW w:w="10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distributions to related parties</w:t>
            </w:r>
          </w:p>
        </w:tc>
        <w:tc>
          <w:tcPr>
            <w:tcW w:w="10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NCM, Inc.</w:t>
            </w:r>
          </w:p>
        </w:tc>
        <w:tc>
          <w:tcPr>
            <w:tcW w:w="10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5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Due to the temporary closure of the theaters within NCM LLC's network during a portion of the three and six months ended July 1, 2021, the mandatory distributions of available cash by NCM LLC to its related party founding members and NCM, Inc. for the three months ended July 1, 2021 were calculated as negative $39.2 million (including negative $10.2 million for Cinemark, negative $10.1 million for Regal and negative $18.9 million for NCM, Inc.). Therefore, there will be no payment made for the second quarter of 2021. The mandatory distributions of available cash by NCM LLC for the six months ended July 1, 2021 were calculated as negative $70.1 million (including negative $18.2 million for Cinemark, negative $18.1 million for Regal and negative $33.8 million for NCM, Inc.). Under the terms of the NCM LLC Operating Agreement, these negative amounts will be netted against future positive available cash distributions after the extended covenant waiver holiday, contingent upon the Company's compliance with the covenants outlined within the Credit Agreement Second Amendment defined within Note 6—</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and in accordance with the NCM LLC Operating Agreement.</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July 1, 2021 were comprised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60" w:right="26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w w:val="97"/>
              </w:rPr>
              <w:t>Cinemark</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Regal</w:t>
            </w:r>
          </w:p>
        </w:tc>
        <w:tc>
          <w:tcPr>
            <w:tcW w:w="32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180" w:type="dxa"/>
            <w:vAlign w:val="bottom"/>
            <w:tcBorders>
              <w:top w:val="single" w:sz="8" w:color="CCEEFF"/>
            </w:tcBorders>
            <w:gridSpan w:val="3"/>
            <w:shd w:val="clear" w:color="auto" w:fill="CCEEFF"/>
          </w:tcPr>
          <w:p>
            <w:pPr>
              <w:ind w:left="20"/>
              <w:spacing w:after="0" w:line="162" w:lineRule="exact"/>
              <w:rPr>
                <w:sz w:val="20"/>
                <w:szCs w:val="20"/>
                <w:color w:val="auto"/>
              </w:rPr>
            </w:pPr>
            <w:r>
              <w:rPr>
                <w:rFonts w:ascii="Arial" w:cs="Arial" w:eastAsia="Arial" w:hAnsi="Arial"/>
                <w:sz w:val="18"/>
                <w:szCs w:val="18"/>
                <w:color w:val="auto"/>
                <w:w w:val="91"/>
              </w:rPr>
              <w:t>Theater access fees and revenue share, net of beverage revenues and other encumbered theater</w:t>
            </w: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center"/>
              <w:ind w:left="475"/>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7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0"/>
        </w:trPr>
        <w:tc>
          <w:tcPr>
            <w:tcW w:w="718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940" w:type="dxa"/>
            <w:vAlign w:val="bottom"/>
            <w:gridSpan w:val="13"/>
          </w:tcPr>
          <w:p>
            <w:pPr>
              <w:ind w:left="540"/>
              <w:spacing w:after="0"/>
              <w:rPr>
                <w:sz w:val="20"/>
                <w:szCs w:val="20"/>
                <w:color w:val="auto"/>
              </w:rPr>
            </w:pPr>
            <w:r>
              <w:rPr>
                <w:rFonts w:ascii="Arial" w:cs="Arial" w:eastAsia="Arial" w:hAnsi="Arial"/>
                <w:sz w:val="18"/>
                <w:szCs w:val="18"/>
                <w:color w:val="auto"/>
                <w:w w:val="95"/>
              </w:rPr>
              <w:t>Amounts due to related party founding members, net as of December 31, 2020 were comprised of the following (in millions):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89"/>
              </w:rPr>
              <w:t>Regal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820" w:type="dxa"/>
            <w:vAlign w:val="bottom"/>
            <w:tcBorders>
              <w:top w:val="single" w:sz="8" w:color="CCEEFF"/>
            </w:tcBorders>
            <w:shd w:val="clear" w:color="auto" w:fill="CCEEFF"/>
          </w:tcPr>
          <w:p>
            <w:pPr>
              <w:ind w:left="560"/>
              <w:spacing w:after="0" w:line="162" w:lineRule="exact"/>
              <w:rPr>
                <w:sz w:val="20"/>
                <w:szCs w:val="20"/>
                <w:color w:val="auto"/>
              </w:rPr>
            </w:pPr>
            <w:r>
              <w:rPr>
                <w:rFonts w:ascii="Arial" w:cs="Arial" w:eastAsia="Arial" w:hAnsi="Arial"/>
                <w:sz w:val="18"/>
                <w:szCs w:val="18"/>
                <w:color w:val="auto"/>
                <w:w w:val="92"/>
              </w:rPr>
              <w:t>Theater access fees and revenue share, net of beverage revenues and</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vMerge w:val="restart"/>
            <w:shd w:val="clear" w:color="auto" w:fill="CCEEFF"/>
          </w:tcPr>
          <w:p>
            <w:pPr>
              <w:jc w:val="center"/>
              <w:ind w:left="534"/>
              <w:spacing w:after="0"/>
              <w:rPr>
                <w:sz w:val="20"/>
                <w:szCs w:val="20"/>
                <w:color w:val="auto"/>
              </w:rPr>
            </w:pPr>
            <w:r>
              <w:rPr>
                <w:rFonts w:ascii="Arial" w:cs="Arial" w:eastAsia="Arial" w:hAnsi="Arial"/>
                <w:sz w:val="18"/>
                <w:szCs w:val="18"/>
                <w:color w:val="auto"/>
                <w:w w:val="87"/>
              </w:rPr>
              <w:t>0.6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0.9</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shd w:val="clear" w:color="auto" w:fill="CCEEFF"/>
          </w:tcPr>
          <w:p>
            <w:pPr>
              <w:jc w:val="center"/>
              <w:ind w:left="475"/>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encumbered theater payments</w:t>
            </w:r>
          </w:p>
        </w:tc>
        <w:tc>
          <w:tcPr>
            <w:tcW w:w="7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Integration payments due from founding members</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amounts due to founding members, net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center"/>
              <w:ind w:left="534"/>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26"/>
        <w:spacing w:after="0" w:line="288"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$0.6 million and $0.7 million as of July 1, 2021 and December 31, 2020, respectively. Equity in (losses) earnings from AC JV, LLC of $0.0 million, $(0.1) million, $(0.1) million and $0.0 million for the three months ended July 1, 2021 and June 25, 2020 and six months ended July 1, 2021 and June 25, 2020, respectively, is included in “Other non-operating income” in the unaudited Condensed Consolidated Statements of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460" w:firstLine="526"/>
        <w:spacing w:after="0" w:line="277" w:lineRule="auto"/>
        <w:rPr>
          <w:sz w:val="20"/>
          <w:szCs w:val="20"/>
          <w:color w:val="auto"/>
        </w:rPr>
      </w:pPr>
      <w:r>
        <w:rPr>
          <w:rFonts w:ascii="Arial" w:cs="Arial" w:eastAsia="Arial" w:hAnsi="Arial"/>
          <w:sz w:val="18"/>
          <w:szCs w:val="18"/>
          <w:color w:val="auto"/>
        </w:rPr>
        <w:t>The following table summarizes NCM LLC’s total outstanding debt as of July 1, 2021 and December 31, 2020 and the significant terms of its borrowing arrangements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Balance as of</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0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Borrowings</w:t>
            </w:r>
          </w:p>
        </w:tc>
        <w:tc>
          <w:tcPr>
            <w:tcW w:w="700" w:type="dxa"/>
            <w:vAlign w:val="bottom"/>
          </w:tcPr>
          <w:p>
            <w:pPr>
              <w:spacing w:after="0"/>
              <w:rPr>
                <w:sz w:val="10"/>
                <w:szCs w:val="10"/>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July 1, 2021</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0"/>
                <w:szCs w:val="10"/>
                <w:color w:val="auto"/>
              </w:rPr>
            </w:pPr>
          </w:p>
        </w:tc>
        <w:tc>
          <w:tcPr>
            <w:tcW w:w="1940" w:type="dxa"/>
            <w:vAlign w:val="bottom"/>
            <w:gridSpan w:val="2"/>
          </w:tcPr>
          <w:p>
            <w:pPr>
              <w:jc w:val="center"/>
              <w:ind w:left="335"/>
              <w:spacing w:after="0" w:line="122" w:lineRule="exact"/>
              <w:rPr>
                <w:sz w:val="20"/>
                <w:szCs w:val="20"/>
                <w:color w:val="auto"/>
              </w:rPr>
            </w:pPr>
            <w:r>
              <w:rPr>
                <w:rFonts w:ascii="Arial" w:cs="Arial" w:eastAsia="Arial" w:hAnsi="Arial"/>
                <w:sz w:val="14"/>
                <w:szCs w:val="14"/>
                <w:b w:val="1"/>
                <w:bCs w:val="1"/>
                <w:color w:val="auto"/>
              </w:rPr>
              <w:t>Maturity</w:t>
            </w:r>
          </w:p>
        </w:tc>
        <w:tc>
          <w:tcPr>
            <w:tcW w:w="1120" w:type="dxa"/>
            <w:vAlign w:val="bottom"/>
          </w:tcPr>
          <w:p>
            <w:pPr>
              <w:ind w:left="580"/>
              <w:spacing w:after="0" w:line="122"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89"/>
              </w:rPr>
              <w:t>June 20, 2023</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30"/>
        </w:trPr>
        <w:tc>
          <w:tcPr>
            <w:tcW w:w="4000" w:type="dxa"/>
            <w:vAlign w:val="bottom"/>
            <w:gridSpan w:val="2"/>
          </w:tcPr>
          <w:p>
            <w:pPr>
              <w:ind w:left="560"/>
              <w:spacing w:after="0"/>
              <w:rPr>
                <w:sz w:val="20"/>
                <w:szCs w:val="20"/>
                <w:color w:val="auto"/>
              </w:rPr>
            </w:pPr>
            <w:r>
              <w:rPr>
                <w:rFonts w:ascii="Arial" w:cs="Arial" w:eastAsia="Arial" w:hAnsi="Arial"/>
                <w:sz w:val="18"/>
                <w:szCs w:val="18"/>
                <w:color w:val="auto"/>
              </w:rPr>
              <w:t>Term loans - first tranche</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9"/>
                <w:szCs w:val="19"/>
                <w:color w:val="auto"/>
              </w:rPr>
            </w:pPr>
          </w:p>
        </w:tc>
        <w:tc>
          <w:tcPr>
            <w:tcW w:w="1940" w:type="dxa"/>
            <w:vAlign w:val="bottom"/>
            <w:gridSpan w:val="2"/>
          </w:tcPr>
          <w:p>
            <w:pPr>
              <w:jc w:val="center"/>
              <w:ind w:left="315"/>
              <w:spacing w:after="0"/>
              <w:rPr>
                <w:sz w:val="20"/>
                <w:szCs w:val="20"/>
                <w:color w:val="auto"/>
              </w:rPr>
            </w:pPr>
            <w:r>
              <w:rPr>
                <w:rFonts w:ascii="Arial" w:cs="Arial" w:eastAsia="Arial" w:hAnsi="Arial"/>
                <w:sz w:val="18"/>
                <w:szCs w:val="18"/>
                <w:color w:val="auto"/>
                <w:w w:val="89"/>
              </w:rPr>
              <w:t>June 20, 2025</w:t>
            </w:r>
          </w:p>
        </w:tc>
        <w:tc>
          <w:tcPr>
            <w:tcW w:w="1120" w:type="dxa"/>
            <w:vAlign w:val="bottom"/>
          </w:tcPr>
          <w:p>
            <w:pPr>
              <w:jc w:val="center"/>
              <w:ind w:left="435"/>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175"/>
        </w:trPr>
        <w:tc>
          <w:tcPr>
            <w:tcW w:w="40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Term loans - second tranche</w:t>
            </w:r>
          </w:p>
        </w:tc>
        <w:tc>
          <w:tcPr>
            <w:tcW w:w="7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center"/>
              <w:ind w:left="315"/>
              <w:spacing w:after="0" w:line="176" w:lineRule="exact"/>
              <w:rPr>
                <w:sz w:val="20"/>
                <w:szCs w:val="20"/>
                <w:color w:val="auto"/>
              </w:rPr>
            </w:pPr>
            <w:r>
              <w:rPr>
                <w:rFonts w:ascii="Arial" w:cs="Arial" w:eastAsia="Arial" w:hAnsi="Arial"/>
                <w:sz w:val="18"/>
                <w:szCs w:val="18"/>
                <w:color w:val="auto"/>
                <w:w w:val="90"/>
              </w:rPr>
              <w:t>December 20,</w:t>
            </w:r>
          </w:p>
        </w:tc>
        <w:tc>
          <w:tcPr>
            <w:tcW w:w="1120" w:type="dxa"/>
            <w:vAlign w:val="bottom"/>
            <w:vMerge w:val="restart"/>
            <w:shd w:val="clear" w:color="auto" w:fill="CCEEFF"/>
          </w:tcPr>
          <w:p>
            <w:pPr>
              <w:jc w:val="center"/>
              <w:ind w:left="435"/>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30"/>
        </w:trPr>
        <w:tc>
          <w:tcPr>
            <w:tcW w:w="4000" w:type="dxa"/>
            <w:vAlign w:val="bottom"/>
            <w:gridSpan w:val="2"/>
            <w:vMerge w:val="continue"/>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940" w:type="dxa"/>
            <w:vAlign w:val="bottom"/>
            <w:gridSpan w:val="2"/>
            <w:shd w:val="clear" w:color="auto" w:fill="CCEEFF"/>
          </w:tcPr>
          <w:p>
            <w:pPr>
              <w:jc w:val="right"/>
              <w:ind w:right="655"/>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560"/>
              <w:spacing w:after="0"/>
              <w:rPr>
                <w:sz w:val="20"/>
                <w:szCs w:val="20"/>
                <w:color w:val="auto"/>
              </w:rPr>
            </w:pPr>
            <w:r>
              <w:rPr>
                <w:rFonts w:ascii="Arial" w:cs="Arial" w:eastAsia="Arial" w:hAnsi="Arial"/>
                <w:sz w:val="18"/>
                <w:szCs w:val="18"/>
                <w:color w:val="auto"/>
              </w:rPr>
              <w:t>Senior unsecured notes due 2026</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1940" w:type="dxa"/>
            <w:vAlign w:val="bottom"/>
            <w:gridSpan w:val="2"/>
          </w:tcPr>
          <w:p>
            <w:pPr>
              <w:jc w:val="center"/>
              <w:ind w:left="315"/>
              <w:spacing w:after="0"/>
              <w:rPr>
                <w:sz w:val="20"/>
                <w:szCs w:val="20"/>
                <w:color w:val="auto"/>
              </w:rPr>
            </w:pPr>
            <w:r>
              <w:rPr>
                <w:rFonts w:ascii="Arial" w:cs="Arial" w:eastAsia="Arial" w:hAnsi="Arial"/>
                <w:sz w:val="18"/>
                <w:szCs w:val="18"/>
                <w:color w:val="auto"/>
                <w:w w:val="89"/>
              </w:rPr>
              <w:t>August 15, 2026</w:t>
            </w:r>
          </w:p>
        </w:tc>
        <w:tc>
          <w:tcPr>
            <w:tcW w:w="1120" w:type="dxa"/>
            <w:vAlign w:val="bottom"/>
          </w:tcPr>
          <w:p>
            <w:pPr>
              <w:jc w:val="center"/>
              <w:ind w:left="435"/>
              <w:spacing w:after="0"/>
              <w:rPr>
                <w:sz w:val="20"/>
                <w:szCs w:val="20"/>
                <w:color w:val="auto"/>
              </w:rPr>
            </w:pPr>
            <w:r>
              <w:rPr>
                <w:rFonts w:ascii="Arial" w:cs="Arial" w:eastAsia="Arial" w:hAnsi="Arial"/>
                <w:sz w:val="18"/>
                <w:szCs w:val="18"/>
                <w:color w:val="auto"/>
                <w:w w:val="91"/>
              </w:rPr>
              <w:t>5.750%</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Senior secured notes due 2028</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color w:val="auto"/>
                <w:w w:val="95"/>
              </w:rPr>
              <w:t>April 15, 2028</w:t>
            </w:r>
          </w:p>
        </w:tc>
        <w:tc>
          <w:tcPr>
            <w:tcW w:w="11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1"/>
              </w:rPr>
              <w:t>5.875%</w:t>
            </w:r>
          </w:p>
        </w:tc>
        <w:tc>
          <w:tcPr>
            <w:tcW w:w="0" w:type="dxa"/>
            <w:vAlign w:val="bottom"/>
          </w:tcPr>
          <w:p>
            <w:pPr>
              <w:spacing w:after="0"/>
              <w:rPr>
                <w:sz w:val="1"/>
                <w:szCs w:val="1"/>
                <w:color w:val="auto"/>
              </w:rPr>
            </w:pPr>
          </w:p>
        </w:tc>
      </w:tr>
      <w:tr>
        <w:trPr>
          <w:trHeight w:val="223"/>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Total borrowings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1,060.3</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color w:val="auto"/>
                <w:w w:val="94"/>
              </w:rPr>
              <w:t>Less: debt issuance costs and debt discounts</w:t>
            </w:r>
          </w:p>
        </w:tc>
        <w:tc>
          <w:tcPr>
            <w:tcW w:w="7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related to term loans and senior notes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Total borrowings, net</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1,052.3</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 of debt</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Carrying value of long-term debt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1,049.6</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171" w:lineRule="exact"/>
        <w:rPr>
          <w:sz w:val="20"/>
          <w:szCs w:val="20"/>
          <w:color w:val="auto"/>
        </w:rPr>
      </w:pPr>
    </w:p>
    <w:p>
      <w:pPr>
        <w:ind w:right="80" w:firstLine="526"/>
        <w:spacing w:after="0" w:line="259"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—NCM LLC’s credit agreement (the “Credit Agreement”) consists of a term loan facility and a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As of July 1, 2021, NCM LLC’s senior secured credit facility consisted of a $175.0 million revolving credit facility, a $261.9 million term loan (first tranche) and a $49.9 million term loan (second tranche). The obligations under the senior secured credit facility are secured by a lien on substantially all of the assets of NCM LLC.</w:t>
      </w:r>
    </w:p>
    <w:p>
      <w:pPr>
        <w:spacing w:after="0" w:line="133" w:lineRule="exact"/>
        <w:rPr>
          <w:sz w:val="20"/>
          <w:szCs w:val="20"/>
          <w:color w:val="auto"/>
        </w:rPr>
      </w:pPr>
    </w:p>
    <w:p>
      <w:pPr>
        <w:ind w:right="20" w:firstLine="526"/>
        <w:spacing w:after="0" w:line="277" w:lineRule="auto"/>
        <w:rPr>
          <w:sz w:val="20"/>
          <w:szCs w:val="20"/>
          <w:color w:val="auto"/>
        </w:rPr>
      </w:pPr>
      <w:r>
        <w:rPr>
          <w:rFonts w:ascii="Arial" w:cs="Arial" w:eastAsia="Arial" w:hAnsi="Arial"/>
          <w:sz w:val="18"/>
          <w:szCs w:val="18"/>
          <w:color w:val="auto"/>
        </w:rPr>
        <w:t>On March 8, 2021, NCM LLC entered into an amendment to its Credit Agreement (“Credit Agreement Second Amendment”). Among other things, the Credit Agreement Second Amendment provides for certain modifications to the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negative covenants, with respect to NCM LLC’s audited financial statements for the fiscal year ended December 31, 2020, a waiver of the requirement to deliver such financial statements without a “going concern” or like qualification or exception,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will be used for general corporate purposes. Upon execution of the Credit Agreement Second Amendment, the Company recorded $2.3 million as a discount, $3.9 million as debt issuance costs and $0.8 million within “Loss on modification and retirement of debt, net”.</w:t>
      </w:r>
    </w:p>
    <w:p>
      <w:pPr>
        <w:spacing w:after="0" w:line="110"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—The revolving credit facility portion of NCM LLC’s total borrowings is available, subject to certain conditions,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to address the COVID-19 Pandemic. As of July 1, 2021, NCM LLC’s total availability under the $175.0 million revolving credit facility was $5.6 million, net of $167.0 million outstanding and $2.4 million in letters of credit. The unused line fee is 0.50% per annum which is consistent with the previous facility. Following the Credit Agreement Second Amendment effective March 8, 2021, the applicable margin for the LIBOR index increased from a range of 1.75% to 2.25% to a range of 2.75% to 3.25% and the applicable margin for the base rate increased from a range of 0.75% to 1.25% to a range of 1.75% to 2.25%.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weighted-average interest rate on the revolving credit facility as of July 1, 2021 was 4.50%.</w:t>
      </w:r>
    </w:p>
    <w:p>
      <w:pPr>
        <w:spacing w:after="0" w:line="132" w:lineRule="exact"/>
        <w:rPr>
          <w:sz w:val="20"/>
          <w:szCs w:val="20"/>
          <w:color w:val="auto"/>
        </w:rPr>
      </w:pPr>
    </w:p>
    <w:p>
      <w:pPr>
        <w:ind w:right="180" w:firstLine="526"/>
        <w:spacing w:after="0" w:line="257"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w:t>
      </w:r>
      <w:r>
        <w:rPr>
          <w:rFonts w:ascii="Arial" w:cs="Arial" w:eastAsia="Arial" w:hAnsi="Arial"/>
          <w:sz w:val="18"/>
          <w:szCs w:val="18"/>
          <w:i w:val="1"/>
          <w:iCs w:val="1"/>
          <w:color w:val="auto"/>
        </w:rPr>
        <w:t>First Tranche</w:t>
      </w:r>
      <w:r>
        <w:rPr>
          <w:rFonts w:ascii="Arial" w:cs="Arial" w:eastAsia="Arial" w:hAnsi="Arial"/>
          <w:sz w:val="18"/>
          <w:szCs w:val="18"/>
          <w:color w:val="auto"/>
        </w:rPr>
        <w:t>—The interest rate on the initial tranche of term loans was originally a rate chosen at NCM LLC’s option of 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LIBOR index plus 3.00% or the base rate plus 2.00%. Following the Credit Agreement Second Amendment effective March 8, 2021, the rate is either the LIBOR index plus 4.00% or the base rate plus 3.00%. The interest rate on the term loans as of July 1, 2021 was 5.00%. The term loans amortize at a rate equal to 1.00% annually, to be paid in equal quarterly installments. As of July 1, 2021, NCM LLC has paid principal of $8.1 million, reducing the outstanding balance to $261.9 million.</w:t>
      </w:r>
    </w:p>
    <w:p>
      <w:pPr>
        <w:spacing w:after="0" w:line="134" w:lineRule="exact"/>
        <w:rPr>
          <w:sz w:val="20"/>
          <w:szCs w:val="20"/>
          <w:color w:val="auto"/>
        </w:rPr>
      </w:pPr>
    </w:p>
    <w:p>
      <w:pPr>
        <w:ind w:right="140" w:firstLine="526"/>
        <w:spacing w:after="0" w:line="308"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Second Tranche</w:t>
      </w:r>
      <w:r>
        <w:rPr>
          <w:rFonts w:ascii="Arial" w:cs="Arial" w:eastAsia="Arial" w:hAnsi="Arial"/>
          <w:sz w:val="17"/>
          <w:szCs w:val="17"/>
          <w:color w:val="auto"/>
        </w:rPr>
        <w:t>—The interest rate on the second tranche of term loans is the LIBOR index plus 8.00%. The interest rate on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as of July 1, 2021 was 9.00%. The term loans amortize at a rate equal to 1.00% annually, to be paid in equal quarterly installments.</w:t>
      </w:r>
    </w:p>
    <w:p>
      <w:pPr>
        <w:spacing w:after="0" w:line="38" w:lineRule="exact"/>
        <w:rPr>
          <w:sz w:val="20"/>
          <w:szCs w:val="20"/>
          <w:color w:val="auto"/>
        </w:rPr>
      </w:pPr>
    </w:p>
    <w:p>
      <w:pPr>
        <w:ind w:right="20" w:firstLine="526"/>
        <w:spacing w:after="0" w:line="285" w:lineRule="auto"/>
        <w:rPr>
          <w:sz w:val="20"/>
          <w:szCs w:val="20"/>
          <w:color w:val="auto"/>
        </w:rPr>
      </w:pPr>
      <w:r>
        <w:rPr>
          <w:rFonts w:ascii="Arial" w:cs="Arial" w:eastAsia="Arial" w:hAnsi="Arial"/>
          <w:sz w:val="16"/>
          <w:szCs w:val="16"/>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Following the Credit Agreement Second Amendment, the Company has a waiver of non-compliance with the consolidated Net Total Leverage and Consolidated Net Senior Secured Leverage financial covenants through the quarter ending June 30, 2022 (“Extended Covenant Waiver Holiday”) and the Consolidated Net Total Leverage Ratio and Consolidated Net Senior Secured Leverage Ratio financial covenants to be set to 6.75 to 1.00 and 5.50 to 1.00, respectively, for the quarter ending on or about September 29, 2022. Under the Credit Agreement, for the period beginning in the second quarter of 2020 through the date that NCM LLC delivers a compliance certificate for the third quarter of 2022, NCM LLC must maintain a minimum liquidity balance of $55.0 million consisting of a combination of unrestricted cash on hand and availability under NCM LLC's revolving credit facility.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 As of July 1, 2021, NCM LLC was in compliance with the requirements of the Credit Agreement Second Amendment described above and the noncompliance with the financial covenants was automatically waived.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ind w:firstLine="526"/>
        <w:spacing w:after="0" w:line="225" w:lineRule="auto"/>
        <w:rPr>
          <w:sz w:val="20"/>
          <w:szCs w:val="20"/>
          <w:color w:val="auto"/>
        </w:rPr>
      </w:pPr>
      <w:r>
        <w:rPr>
          <w:rFonts w:ascii="Arial" w:cs="Arial" w:eastAsia="Arial" w:hAnsi="Arial"/>
          <w:sz w:val="18"/>
          <w:szCs w:val="18"/>
          <w:color w:val="auto"/>
        </w:rPr>
        <w:t xml:space="preserve">Due to the future market uncertainties discussed within Note 1 -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and in order to provide additional liquidity while revenue levels build and accounts receivable balances are collected, the Board of Directors of NCM, Inc. and required NCM LLC founding members approved the material terms of a $20.0 million unsecured revolving loan agreement between NCM Inc. and NCM LLC. Borrowings by NCM LLC will be available from October 1, 2021 through March 31, 2022. The final definitive loan agreement will be approved by the Audit Committee of NCM, Inc. and is expected to be completed in the third quarter of 2021. Once entered into, this revolving loan facility will provide NCM LLC with short-term working capital loans as NCM LLC rebuilds its advertising revenue base and collects related accounts receivable and will provide additional cushion with respect to the NCM LLC debt covenants.</w:t>
      </w:r>
    </w:p>
    <w:p>
      <w:pPr>
        <w:spacing w:after="0" w:line="86"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$20.0 million of the Notes due 2026 during 2019 and 2018, respectively, reducing the principal amount to $230.0 million as of July 1, 2021.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40" w:firstLine="526"/>
        <w:spacing w:after="0" w:line="255" w:lineRule="auto"/>
        <w:rPr>
          <w:sz w:val="20"/>
          <w:szCs w:val="20"/>
          <w:color w:val="auto"/>
        </w:rPr>
      </w:pPr>
      <w:r>
        <w:rPr>
          <w:rFonts w:ascii="Arial" w:cs="Arial" w:eastAsia="Arial" w:hAnsi="Arial"/>
          <w:sz w:val="18"/>
          <w:szCs w:val="18"/>
          <w:b w:val="1"/>
          <w:bCs w:val="1"/>
          <w:i w:val="1"/>
          <w:iCs w:val="1"/>
          <w:color w:val="auto"/>
        </w:rPr>
        <w:t>Changes in the Company’s Effective Tax Rate</w:t>
      </w:r>
      <w:r>
        <w:rPr>
          <w:rFonts w:ascii="Arial" w:cs="Arial" w:eastAsia="Arial" w:hAnsi="Arial"/>
          <w:sz w:val="18"/>
          <w:szCs w:val="18"/>
          <w:color w:val="auto"/>
        </w:rPr>
        <w:t>—The Company recorded income tax expense of $0.0 million for the six months ended July 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an income tax benefit of $4.6 million for the six months ended June 25, 2020 resulting in an effective tax rate of 0.0% for the six months ended July 1, 2021 as compared to 20.8% for the six months ended June 25, 2020. The Company recorded a full valuation allowance on its net deferred tax assets as of December 31, 2020 following the determination it was more-likely-than-not that the Company will not be able to realize the benefit of those assets. The Company maintained a full valuation allowance as of July 1, 2021, reducing deferred tax expense to $0.0 million for the six months ended July 1, 2021 and the Company’s effective tax rate to 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60" w:firstLine="52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or in the aggregate on its financial position, results of operations or cash flows.</w:t>
      </w:r>
    </w:p>
    <w:p>
      <w:pPr>
        <w:spacing w:after="0" w:line="62" w:lineRule="exact"/>
        <w:rPr>
          <w:sz w:val="20"/>
          <w:szCs w:val="20"/>
          <w:color w:val="auto"/>
        </w:rPr>
      </w:pPr>
    </w:p>
    <w:p>
      <w:pPr>
        <w:ind w:firstLine="526"/>
        <w:spacing w:after="0" w:line="270"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$19.7 million and short-term and long-term lease liabilities of $2.0 million and $21.6 million, respectively, on the balance sheet as of July 1, 2021 for all material leases with terms longer than twelve months. These balances are included within “Other assets”, “Other current liabilities” and “Other liabilities”, respectively, on the unaudited Condensed Consolidated Balance Sheets. As of July 1, 2021, the Company had a weighted average remaining lease term of 8.6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July 1, 2021, the Company’s weighted average annual discount rate used to establish the ROU assets and lease liabilities was 7.35%.</w:t>
      </w:r>
    </w:p>
    <w:p>
      <w:pPr>
        <w:spacing w:after="0" w:line="73"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During the three and six months ended July 1, 2021 and June 25, 2020,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1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6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1, 2021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June 25, 2020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1, 2021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June 25, 2020</w:t>
            </w:r>
          </w:p>
        </w:tc>
      </w:tr>
      <w:tr>
        <w:trPr>
          <w:trHeight w:val="224"/>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00" w:firstLine="526"/>
        <w:spacing w:after="0" w:line="263" w:lineRule="auto"/>
        <w:rPr>
          <w:sz w:val="20"/>
          <w:szCs w:val="20"/>
          <w:color w:val="auto"/>
        </w:rPr>
      </w:pPr>
      <w:r>
        <w:rPr>
          <w:rFonts w:ascii="Arial" w:cs="Arial" w:eastAsia="Arial" w:hAnsi="Arial"/>
          <w:sz w:val="18"/>
          <w:szCs w:val="18"/>
          <w:color w:val="auto"/>
        </w:rPr>
        <w:t>The Company made total lease payments of $1.1 million, $0.9 million, $2.0 million and $1.8 million during the three months ended July 1, 2021 and June 25, 2020 and six months ended July 1, 2021 and June 25, 2020,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118" w:lineRule="exact"/>
        <w:rPr>
          <w:sz w:val="20"/>
          <w:szCs w:val="20"/>
          <w:color w:val="auto"/>
        </w:rPr>
      </w:pPr>
    </w:p>
    <w:p>
      <w:pPr>
        <w:ind w:right="20" w:firstLine="526"/>
        <w:spacing w:after="0" w:line="271"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July 1, 2021 and December 31, 2020, the Company had no liabilities recorded for the minimum payment, as the theater access fee was in excess of the minimum.</w:t>
      </w:r>
    </w:p>
    <w:p>
      <w:pPr>
        <w:spacing w:after="0" w:line="124" w:lineRule="exact"/>
        <w:rPr>
          <w:sz w:val="20"/>
          <w:szCs w:val="20"/>
          <w:color w:val="auto"/>
        </w:rPr>
      </w:pPr>
    </w:p>
    <w:p>
      <w:pPr>
        <w:ind w:right="100" w:firstLine="526"/>
        <w:spacing w:after="0" w:line="285"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did not owe the founding members any theater access fees or any Platinum Spot revenue share when the theaters were not displaying the Company's pre-show or when the Company did not have access to the theaters. As such, the Company did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incurred for the period of time the founding member's theaters were temporarily closed due to the COVID-19 Pandemic and future fees may be reduced for months where screens are in use for only part of the month.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20" w:firstLine="526"/>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July 1, 2021, the maximum potential amount of future payments the Company could be required to make pursuant to the minimum revenue guarantees is $107.6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$0.1 million and $0.0 million related to affiliate agreements with guaranteed minimums in excess of the revenue share agreement as of July 1, 2021 and December 31, 2020, respectively.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so long as an affiliate's minimum theater attendance or revenue levels are not met by the affiliate.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firstLine="526"/>
        <w:spacing w:after="0" w:line="311"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6" w:lineRule="exact"/>
        <w:rPr>
          <w:sz w:val="20"/>
          <w:szCs w:val="20"/>
          <w:color w:val="auto"/>
        </w:rPr>
      </w:pPr>
    </w:p>
    <w:p>
      <w:pPr>
        <w:ind w:right="180" w:firstLine="526"/>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80" w:firstLine="526"/>
        <w:spacing w:after="0" w:line="301" w:lineRule="auto"/>
        <w:rPr>
          <w:sz w:val="20"/>
          <w:szCs w:val="20"/>
          <w:color w:val="auto"/>
        </w:rPr>
      </w:pPr>
      <w:r>
        <w:rPr>
          <w:rFonts w:ascii="Arial" w:cs="Arial" w:eastAsia="Arial" w:hAnsi="Arial"/>
          <w:sz w:val="16"/>
          <w:szCs w:val="16"/>
          <w:i w:val="1"/>
          <w:iCs w:val="1"/>
          <w:color w:val="auto"/>
        </w:rPr>
        <w:t>Long-Lived Assets, Intangible Assets and Other Investments</w:t>
      </w:r>
      <w:r>
        <w:rPr>
          <w:rFonts w:ascii="Arial" w:cs="Arial" w:eastAsia="Arial" w:hAnsi="Arial"/>
          <w:sz w:val="16"/>
          <w:szCs w:val="16"/>
          <w:color w:val="auto"/>
        </w:rPr>
        <w:t>—The Company regularly reviews long-lived assets (primarily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1,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December 31, 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155"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As of July 1, 2021,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16" w:lineRule="exact"/>
        <w:rPr>
          <w:sz w:val="20"/>
          <w:szCs w:val="20"/>
          <w:color w:val="auto"/>
        </w:rPr>
      </w:pPr>
    </w:p>
    <w:p>
      <w:pPr>
        <w:ind w:firstLine="52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640"/>
              <w:spacing w:after="0"/>
              <w:rPr>
                <w:sz w:val="20"/>
                <w:szCs w:val="20"/>
                <w:color w:val="auto"/>
              </w:rPr>
            </w:pPr>
            <w:r>
              <w:rPr>
                <w:rFonts w:ascii="Arial" w:cs="Arial" w:eastAsia="Arial" w:hAnsi="Arial"/>
                <w:sz w:val="14"/>
                <w:szCs w:val="14"/>
                <w:b w:val="1"/>
                <w:bCs w:val="1"/>
                <w:color w:val="auto"/>
              </w:rPr>
              <w:t>As of July 1, 2021</w:t>
            </w:r>
          </w:p>
        </w:tc>
        <w:tc>
          <w:tcPr>
            <w:tcW w:w="1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As of December 31, 2020</w:t>
            </w:r>
          </w:p>
        </w:tc>
      </w:tr>
      <w:tr>
        <w:trPr>
          <w:trHeight w:val="187"/>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hanging="332"/>
        <w:spacing w:after="0" w:line="258" w:lineRule="auto"/>
        <w:tabs>
          <w:tab w:leader="none" w:pos="334"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3"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as of July 1,</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right="20" w:hanging="328"/>
        <w:spacing w:after="0" w:line="302" w:lineRule="auto"/>
        <w:tabs>
          <w:tab w:leader="none" w:pos="65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—The Company’s cash equivalents are carried at estimated fair value following the Company's election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47" w:lineRule="exact"/>
        <w:rPr>
          <w:rFonts w:ascii="Arial" w:cs="Arial" w:eastAsia="Arial" w:hAnsi="Arial"/>
          <w:sz w:val="16"/>
          <w:szCs w:val="16"/>
          <w:i w:val="1"/>
          <w:iCs w:val="1"/>
          <w:color w:val="auto"/>
        </w:rPr>
      </w:pPr>
    </w:p>
    <w:p>
      <w:pPr>
        <w:ind w:left="660" w:right="20" w:hanging="328"/>
        <w:spacing w:after="0" w:line="272" w:lineRule="auto"/>
        <w:tabs>
          <w:tab w:leader="none" w:pos="65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are generally classified as Level 2 in the fair value hierarchy. As of July 1, 2021 and December 31, 2020, there were $1.3 million and $1.3 million, respectively, of available-for-sale debt securities in unrealized loss positions without an allowance for credit losses. The Company has not recorded an allowance for credit losses for the marketable securities balance as of July 1, 2021 or December 31, 2020 given the immaterial difference between the amortized cost basis and the aggregate fair value of the Company's securities.</w:t>
      </w:r>
    </w:p>
    <w:p>
      <w:pPr>
        <w:spacing w:after="0" w:line="133" w:lineRule="exact"/>
        <w:rPr>
          <w:sz w:val="20"/>
          <w:szCs w:val="20"/>
          <w:color w:val="auto"/>
        </w:rPr>
      </w:pPr>
    </w:p>
    <w:p>
      <w:pPr>
        <w:ind w:right="260" w:firstLine="526"/>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July 1, 2021 and December 31, 2020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As of July 1, 2021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1"/>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1"/>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40" w:right="340" w:hanging="322"/>
        <w:spacing w:after="0" w:line="260" w:lineRule="auto"/>
        <w:tabs>
          <w:tab w:leader="none" w:pos="1134"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127"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On August 9, 2021, the Company declared a cash dividend of $0.05 per share (approximately $4.1 million) on each share of the Company’s common stock (not including outstanding restricted stock which will accrue dividends until the shares vest) to stockholders of record on August 23, 2021 to be paid on September 6, 2021.</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firstLine="52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in our annual report on Form 10-K for the Company’s fiscal year ended December 31, 2020.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31, 2020. In the following discussion and analysis, the term net income refers to net income attributable to NCM,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40" w:firstLine="526"/>
        <w:spacing w:after="0" w:line="263" w:lineRule="auto"/>
        <w:rPr>
          <w:sz w:val="20"/>
          <w:szCs w:val="20"/>
          <w:color w:val="auto"/>
        </w:rPr>
      </w:pPr>
      <w:r>
        <w:rPr>
          <w:rFonts w:ascii="Arial" w:cs="Arial" w:eastAsia="Arial" w:hAnsi="Arial"/>
          <w:sz w:val="18"/>
          <w:szCs w:val="18"/>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our cinema advertising and entertainment pre-show seen on movie screens across the U.S.</w:t>
      </w:r>
    </w:p>
    <w:p>
      <w:pPr>
        <w:spacing w:after="0" w:line="76" w:lineRule="exact"/>
        <w:rPr>
          <w:sz w:val="20"/>
          <w:szCs w:val="20"/>
          <w:color w:val="auto"/>
        </w:rPr>
      </w:pPr>
    </w:p>
    <w:p>
      <w:pPr>
        <w:ind w:right="220" w:firstLine="526"/>
        <w:spacing w:after="0" w:line="293" w:lineRule="auto"/>
        <w:rPr>
          <w:sz w:val="20"/>
          <w:szCs w:val="20"/>
          <w:color w:val="auto"/>
        </w:rPr>
      </w:pPr>
      <w:r>
        <w:rPr>
          <w:rFonts w:ascii="Arial" w:cs="Arial" w:eastAsia="Arial" w:hAnsi="Arial"/>
          <w:sz w:val="16"/>
          <w:szCs w:val="16"/>
          <w:color w:val="auto"/>
        </w:rPr>
        <w:t xml:space="preserve">We present two different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depending on the theater circuit in which it runs. In Regal and Cinemark and 18 of our network affiliates' theaters,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now includes advertising inventory after the advertised showtime consisting of (1) the lights down segment that runs for five minutes after the advertised showtime with trailer lighting and (2) the 30- or 60-second Platinum Spot (together, the “Post-Showtime Inventory”). As of July 1, 2021, theaters presenting the new </w:t>
      </w:r>
      <w:r>
        <w:rPr>
          <w:rFonts w:ascii="Arial" w:cs="Arial" w:eastAsia="Arial" w:hAnsi="Arial"/>
          <w:sz w:val="16"/>
          <w:szCs w:val="16"/>
          <w:i w:val="1"/>
          <w:iCs w:val="1"/>
          <w:color w:val="auto"/>
        </w:rPr>
        <w:t>Noovie</w:t>
      </w:r>
      <w:r>
        <w:rPr>
          <w:rFonts w:ascii="Arial" w:cs="Arial" w:eastAsia="Arial" w:hAnsi="Arial"/>
          <w:sz w:val="16"/>
          <w:szCs w:val="16"/>
          <w:color w:val="auto"/>
        </w:rPr>
        <w:t xml:space="preserve"> format with Post-Showtime Inventory made up approximately 56% of our network. All other NCM network theater circuits, which make up the remaining 44% of our network, present the Classic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ends approximately at the advertised movie showtime when the movie trailers begin. The movie trailers that run before the feature film are not part of </w:t>
      </w:r>
      <w:r>
        <w:rPr>
          <w:rFonts w:ascii="Arial" w:cs="Arial" w:eastAsia="Arial" w:hAnsi="Arial"/>
          <w:sz w:val="16"/>
          <w:szCs w:val="16"/>
          <w:i w:val="1"/>
          <w:iCs w:val="1"/>
          <w:color w:val="auto"/>
        </w:rPr>
        <w:t>Noovie</w:t>
      </w:r>
      <w:r>
        <w:rPr>
          <w:rFonts w:ascii="Arial" w:cs="Arial" w:eastAsia="Arial" w:hAnsi="Arial"/>
          <w:sz w:val="16"/>
          <w:szCs w:val="16"/>
          <w:color w:val="auto"/>
        </w:rPr>
        <w:t>.</w:t>
      </w:r>
    </w:p>
    <w:p>
      <w:pPr>
        <w:spacing w:after="0" w:line="56" w:lineRule="exact"/>
        <w:rPr>
          <w:sz w:val="20"/>
          <w:szCs w:val="20"/>
          <w:color w:val="auto"/>
        </w:rPr>
      </w:pPr>
    </w:p>
    <w:p>
      <w:pPr>
        <w:ind w:right="200" w:firstLine="526"/>
        <w:spacing w:after="0" w:line="291" w:lineRule="auto"/>
        <w:rPr>
          <w:sz w:val="20"/>
          <w:szCs w:val="20"/>
          <w:color w:val="auto"/>
        </w:rPr>
      </w:pPr>
      <w:r>
        <w:rPr>
          <w:rFonts w:ascii="Arial" w:cs="Arial" w:eastAsia="Arial" w:hAnsi="Arial"/>
          <w:sz w:val="16"/>
          <w:szCs w:val="16"/>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Noovie Audience Accelerator,</w:t>
      </w:r>
      <w:r>
        <w:rPr>
          <w:rFonts w:ascii="Arial" w:cs="Arial" w:eastAsia="Arial" w:hAnsi="Arial"/>
          <w:sz w:val="16"/>
          <w:szCs w:val="16"/>
          <w:color w:val="auto"/>
        </w:rPr>
        <w:t xml:space="preserve"> across our suite</w:t>
      </w:r>
    </w:p>
    <w:p>
      <w:pPr>
        <w:ind w:right="20"/>
        <w:spacing w:after="0" w:line="268" w:lineRule="auto"/>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properties, including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on third party partner’s internet sites, as well as a variety of complementary out of home venues, including restaurants, retail locations, convenience stores, college campuses and office and residential buildings, in order to reach entertainment audiences beyond the theater. As of July 1, 2021, over 5.6 million moviegoers have downloaded our mobile apps. These downloads and the acquisition of second party data have resulted in first- and second-party data sets of over 202.6 million as of July 1, 2021. We have long-term ESAs (approximately 18.2 weighted average years remaining based on pre-COVID-19 attendance levels) with the founding members and multi-year agreements with our network affiliates, which expire at various dates between August 2021 and December 2037. The weighted average remaining term of the ESAs and the network affiliate agreements is 15.9 years as of July 1, 2021.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digital content network “DCN”.</w:t>
      </w:r>
    </w:p>
    <w:p>
      <w:pPr>
        <w:spacing w:after="0" w:line="73" w:lineRule="exact"/>
        <w:rPr>
          <w:sz w:val="20"/>
          <w:szCs w:val="20"/>
          <w:color w:val="auto"/>
        </w:rPr>
      </w:pPr>
    </w:p>
    <w:p>
      <w:pPr>
        <w:ind w:right="120" w:firstLine="526"/>
        <w:spacing w:after="0" w:line="271"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right="600"/>
        <w:spacing w:after="0" w:line="277" w:lineRule="auto"/>
        <w:rPr>
          <w:sz w:val="20"/>
          <w:szCs w:val="20"/>
          <w:color w:val="auto"/>
        </w:rPr>
      </w:pPr>
      <w:r>
        <w:rPr>
          <w:rFonts w:ascii="Arial" w:cs="Arial" w:eastAsia="Arial" w:hAnsi="Arial"/>
          <w:sz w:val="18"/>
          <w:szCs w:val="18"/>
          <w:color w:val="auto"/>
        </w:rPr>
        <w:t>there is adequate cash availability to fund our working capital needs and debt obligations and current and future dividends declared by our Board of Directors.</w:t>
      </w:r>
    </w:p>
    <w:p>
      <w:pPr>
        <w:spacing w:after="0" w:line="62" w:lineRule="exact"/>
        <w:rPr>
          <w:sz w:val="20"/>
          <w:szCs w:val="20"/>
          <w:color w:val="auto"/>
        </w:rPr>
      </w:pPr>
    </w:p>
    <w:p>
      <w:pPr>
        <w:ind w:right="480" w:firstLine="526"/>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annual report on Form 10-K filed with the SEC on March 8, 2021 for our fiscal year ended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right="80" w:firstLine="526"/>
        <w:spacing w:after="0" w:line="293" w:lineRule="auto"/>
        <w:rPr>
          <w:sz w:val="20"/>
          <w:szCs w:val="20"/>
          <w:color w:val="auto"/>
        </w:rPr>
      </w:pPr>
      <w:r>
        <w:rPr>
          <w:rFonts w:ascii="Arial" w:cs="Arial" w:eastAsia="Arial" w:hAnsi="Arial"/>
          <w:sz w:val="16"/>
          <w:szCs w:val="16"/>
          <w:b w:val="1"/>
          <w:bCs w:val="1"/>
          <w:i w:val="1"/>
          <w:iCs w:val="1"/>
          <w:color w:val="auto"/>
        </w:rPr>
        <w:t>COVID-19 Impact and Outlook</w:t>
      </w:r>
      <w:r>
        <w:rPr>
          <w:rFonts w:ascii="Arial" w:cs="Arial" w:eastAsia="Arial" w:hAnsi="Arial"/>
          <w:sz w:val="16"/>
          <w:szCs w:val="16"/>
          <w:color w:val="auto"/>
        </w:rPr>
        <w:t>—As previously disclosed, the COVID-19 Pandemic has had a significant impact on the world and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in March 2020 as the United States’ government and other state and local governments issued precautionary restrictions on travel, public gatherings and other events and issued social distancing guidelines. These governmental restrictions resulted in the closure of most of our network theaters for approximately six months and thus the Company generated no in-theater advertising revenue during that time. When theaters began to reopen in late in the third quarter of 2020, in-theater advertising revenue continued to be adversely impacted as attendance at the reopened theaters was significantly less than normal given COVID-19 restrictions around patron capacity limitations and a continued lack of new major motion picture releases.</w:t>
      </w:r>
    </w:p>
    <w:p>
      <w:pPr>
        <w:spacing w:after="0" w:line="56"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Beginning in 2021, Multiple COVID-19 vaccines were approved and have been widely administered throughout the United States. As a result, during the second quarter of 2021, government restrictions lessened allowing theaters in key larger markets to fully reopen over the course of the second quarter of 2021. As of July 1, 2021, approximately 97.0% of the theaters within the Company’s network were open. Multiple, successful major motion pictures were released during the second quarter of 2021 resulting in the highest attendance numbers within our network since the start of the COVID-19 Pandemic. The movie slate for the remainder of 2021 and into 2022 remains packed due to the addition of the major motion pictures originally scheduled for 2020. Despite the increase in network attendance, second quarter of 2021 in-theater advertising revenue remained significantly below historical levels as we believe many advertisers continued to delay making commitments until they confirmed that industry attendance had achieved necessary critical mass. We were also not able to participate in the 2021 advertising upfront marketplace during the summer of 2020 while theaters were closed. There can be no assurance that the cases of the COVID-19 virus will continue to decline; new variants will not continue to spread; recently reinstated mask mandates will not negatively impact network attendance, advertiser sentiment, and our business in general; social distancing, capacity restrictions, and other public safety measures will not be reintroduced; when or if theaters within our network will return to historic attendance levels and that the theaters which have reopened will remain open.</w:t>
      </w:r>
    </w:p>
    <w:p>
      <w:pPr>
        <w:spacing w:after="0" w:line="71" w:lineRule="exact"/>
        <w:rPr>
          <w:sz w:val="20"/>
          <w:szCs w:val="20"/>
          <w:color w:val="auto"/>
        </w:rPr>
      </w:pPr>
    </w:p>
    <w:p>
      <w:pPr>
        <w:ind w:right="40" w:firstLine="526"/>
        <w:spacing w:after="0" w:line="289" w:lineRule="auto"/>
        <w:rPr>
          <w:sz w:val="20"/>
          <w:szCs w:val="20"/>
          <w:color w:val="auto"/>
        </w:rPr>
      </w:pPr>
      <w:r>
        <w:rPr>
          <w:rFonts w:ascii="Arial" w:cs="Arial" w:eastAsia="Arial" w:hAnsi="Arial"/>
          <w:sz w:val="16"/>
          <w:szCs w:val="16"/>
          <w:color w:val="auto"/>
        </w:rPr>
        <w:t>To ensure sufficient liquidity to endure the impacts of the COVID-19 Pandemic, even if prolonged, we continued to manage our liquidity position through various cost control methods discussed further within the “</w:t>
      </w:r>
      <w:r>
        <w:rPr>
          <w:rFonts w:ascii="Arial" w:cs="Arial" w:eastAsia="Arial" w:hAnsi="Arial"/>
          <w:sz w:val="16"/>
          <w:szCs w:val="16"/>
          <w:i w:val="1"/>
          <w:iCs w:val="1"/>
          <w:color w:val="auto"/>
        </w:rPr>
        <w:t>Financial Condition and Liquidity</w:t>
      </w:r>
      <w:r>
        <w:rPr>
          <w:rFonts w:ascii="Arial" w:cs="Arial" w:eastAsia="Arial" w:hAnsi="Arial"/>
          <w:sz w:val="16"/>
          <w:szCs w:val="16"/>
          <w:color w:val="auto"/>
        </w:rPr>
        <w:t>” section below. Since the beginning of the COVID-19 Pandemic, the Company has significantly reduced payroll related costs through a combination of temporary furloughs, permanent layoffs and salary reductions (“Payroll Related Cost Reductions”). In total, the Company’s headcount has been reduced by over 30%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were still required to pay these screen-based fees when theaters are open, which were reduced for months where screens are in use for only part of the month. As a result of these actions and lower attendance, total operating expenses were over 20% lower in the six months ended July 1, 2021, as compared to the six months ended June 25, 2020.</w:t>
      </w:r>
    </w:p>
    <w:p>
      <w:pPr>
        <w:spacing w:after="0" w:line="45" w:lineRule="exact"/>
        <w:rPr>
          <w:sz w:val="20"/>
          <w:szCs w:val="20"/>
          <w:color w:val="auto"/>
        </w:rPr>
      </w:pPr>
    </w:p>
    <w:p>
      <w:pPr>
        <w:ind w:right="80" w:firstLine="526"/>
        <w:spacing w:after="0" w:line="258" w:lineRule="auto"/>
        <w:rPr>
          <w:sz w:val="20"/>
          <w:szCs w:val="20"/>
          <w:color w:val="auto"/>
        </w:rPr>
      </w:pPr>
      <w:r>
        <w:rPr>
          <w:rFonts w:ascii="Arial" w:cs="Arial" w:eastAsia="Arial" w:hAnsi="Arial"/>
          <w:sz w:val="16"/>
          <w:szCs w:val="16"/>
          <w:color w:val="auto"/>
        </w:rPr>
        <w:t>Further, due to these future market uncertainties and in order to provide additional liquidity while revenue levels build and accounts receivable balances are collected, the Board of Directors of NCM, Inc. and required NCM LLC founding members approved the material terms of a $20.0 million unsecured revolving loan agreement between NCM Inc. and NCM LLC. Borrowings by NCM LLC will be available from October 1, 2021 through March 31, 2022. The final definitive loan agreement will be approved by the Audit Committee of NCM, Inc. and is expected to be completed in the third quarter of 2021. Once entered into, this revolving loan facility will provide NCM LLC with short-term working capital loans as NCM LLC rebuilds its advertising revenue base and collects related accounts receivable and will provide additional cushion with respect to the NCM LLC debt covenants.</w:t>
      </w:r>
    </w:p>
    <w:p>
      <w:pPr>
        <w:spacing w:after="0" w:line="69" w:lineRule="exact"/>
        <w:rPr>
          <w:sz w:val="20"/>
          <w:szCs w:val="20"/>
          <w:color w:val="auto"/>
        </w:rPr>
      </w:pPr>
    </w:p>
    <w:p>
      <w:pPr>
        <w:ind w:right="280" w:firstLine="526"/>
        <w:spacing w:after="0" w:line="291" w:lineRule="auto"/>
        <w:rPr>
          <w:sz w:val="20"/>
          <w:szCs w:val="20"/>
          <w:color w:val="auto"/>
        </w:rPr>
      </w:pPr>
      <w:r>
        <w:rPr>
          <w:rFonts w:ascii="Arial" w:cs="Arial" w:eastAsia="Arial" w:hAnsi="Arial"/>
          <w:sz w:val="16"/>
          <w:szCs w:val="16"/>
          <w:color w:val="auto"/>
        </w:rPr>
        <w:t>We believe that the exhibition industry has historically fared well during periods of economic stress, and we remain optimistic, though cannot guarantee, that our founding members and network affiliates will rebound and attendance figures will continue to benefit from pent-up social demand as people seek togetherness with a return to normalcy. However, the ultimate significance of the COVID-19 Pandemic, including the extent of the adverse impact on our financial and operational results, will be dictated by the currently unknowable duration of the pandemic, the effect of the pandemic on the overall economy and the advertising market, responsive governmental regulations, including mandated business closures which could recur causing subsequent closure periods, social distancing guidelines, theater capacity restrictions, government restrictions, shifting movie slates, voluntary theater closures and decreasing levels of theater attendance. Our business also could be significantly affected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ind w:right="60"/>
        <w:spacing w:after="0" w:line="257" w:lineRule="auto"/>
        <w:rPr>
          <w:sz w:val="20"/>
          <w:szCs w:val="20"/>
          <w:color w:val="auto"/>
        </w:rPr>
      </w:pPr>
      <w:r>
        <w:rPr>
          <w:rFonts w:ascii="Arial" w:cs="Arial" w:eastAsia="Arial" w:hAnsi="Arial"/>
          <w:sz w:val="18"/>
          <w:szCs w:val="18"/>
          <w:color w:val="auto"/>
        </w:rPr>
        <w:t>should the disruptions caused by the COVID-19 Pandemic lead to permanent changes in consumer behavior (such as the movie audience’s willingness to return to the movie theaters, which may be influenced by the adoption or continued use of streaming services),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75"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Q2 2021</w:t>
            </w:r>
          </w:p>
        </w:tc>
        <w:tc>
          <w:tcPr>
            <w:tcW w:w="20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Q2 2020</w:t>
            </w:r>
          </w:p>
        </w:tc>
        <w:tc>
          <w:tcPr>
            <w:tcW w:w="18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YTD 2021</w:t>
            </w:r>
          </w:p>
        </w:tc>
        <w:tc>
          <w:tcPr>
            <w:tcW w:w="200" w:type="dxa"/>
            <w:vAlign w:val="bottom"/>
          </w:tcPr>
          <w:p>
            <w:pPr>
              <w:spacing w:after="0"/>
              <w:rPr>
                <w:sz w:val="11"/>
                <w:szCs w:val="11"/>
                <w:color w:val="auto"/>
              </w:rPr>
            </w:pP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YTD 2020</w:t>
            </w:r>
          </w:p>
        </w:tc>
        <w:tc>
          <w:tcPr>
            <w:tcW w:w="120" w:type="dxa"/>
            <w:vAlign w:val="bottom"/>
          </w:tcPr>
          <w:p>
            <w:pPr>
              <w:spacing w:after="0"/>
              <w:rPr>
                <w:sz w:val="11"/>
                <w:szCs w:val="11"/>
                <w:color w:val="auto"/>
              </w:rPr>
            </w:pPr>
          </w:p>
        </w:tc>
        <w:tc>
          <w:tcPr>
            <w:tcW w:w="13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Q2 2021 to Q2</w:t>
            </w:r>
          </w:p>
        </w:tc>
        <w:tc>
          <w:tcPr>
            <w:tcW w:w="11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YTD 2021 to YTD</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3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75"/>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w w:val="96"/>
              </w:rPr>
              <w:t>Network, administrative and unallocated</w:t>
            </w:r>
          </w:p>
        </w:tc>
        <w:tc>
          <w:tcPr>
            <w:tcW w:w="200" w:type="dxa"/>
            <w:vAlign w:val="bottom"/>
          </w:tcPr>
          <w:p>
            <w:pPr>
              <w:spacing w:after="0"/>
              <w:rPr>
                <w:sz w:val="15"/>
                <w:szCs w:val="15"/>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1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131"/>
              <w:spacing w:after="0"/>
              <w:rPr>
                <w:sz w:val="20"/>
                <w:szCs w:val="20"/>
                <w:color w:val="auto"/>
              </w:rPr>
            </w:pPr>
            <w:r>
              <w:rPr>
                <w:rFonts w:ascii="Arial" w:cs="Arial" w:eastAsia="Arial" w:hAnsi="Arial"/>
                <w:sz w:val="18"/>
                <w:szCs w:val="18"/>
                <w:color w:val="auto"/>
              </w:rPr>
              <w:t>45.2</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noncontrolling</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(24.1)</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94.2 %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20"/>
              <w:spacing w:after="0"/>
              <w:rPr>
                <w:sz w:val="20"/>
                <w:szCs w:val="20"/>
                <w:color w:val="auto"/>
              </w:rPr>
            </w:pPr>
            <w:r>
              <w:rPr>
                <w:rFonts w:ascii="Arial" w:cs="Arial" w:eastAsia="Arial" w:hAnsi="Arial"/>
                <w:sz w:val="18"/>
                <w:szCs w:val="18"/>
                <w:color w:val="auto"/>
              </w:rPr>
              <w:t>Net loss attributable to NCM,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64.5 %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140.6 %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Net loss per NCM, Inc. basic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55.6 %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140.9 %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NCM, Inc. diluted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140.9 %</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Adjusted OIBDA margin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183.9 %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_________________________</w:t>
      </w:r>
    </w:p>
    <w:p>
      <w:pPr>
        <w:spacing w:after="0" w:line="171" w:lineRule="exact"/>
        <w:rPr>
          <w:sz w:val="20"/>
          <w:szCs w:val="20"/>
          <w:color w:val="auto"/>
        </w:rPr>
      </w:pPr>
    </w:p>
    <w:p>
      <w:pPr>
        <w:ind w:left="660" w:right="120" w:hanging="328"/>
        <w:spacing w:after="0" w:line="263"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 Refer to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firstLine="526"/>
        <w:spacing w:after="0" w:line="288" w:lineRule="auto"/>
        <w:rPr>
          <w:sz w:val="20"/>
          <w:szCs w:val="20"/>
          <w:color w:val="auto"/>
        </w:rPr>
      </w:pPr>
      <w:r>
        <w:rPr>
          <w:rFonts w:ascii="Arial" w:cs="Arial" w:eastAsia="Arial" w:hAnsi="Arial"/>
          <w:sz w:val="16"/>
          <w:szCs w:val="16"/>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and impairment of long-lived assets.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26" w:name="page27"/>
    <w:bookmarkEnd w:id="26"/>
    <w:p>
      <w:pPr>
        <w:ind w:right="20"/>
        <w:spacing w:after="0" w:line="271" w:lineRule="auto"/>
        <w:rPr>
          <w:sz w:val="20"/>
          <w:szCs w:val="20"/>
          <w:color w:val="auto"/>
        </w:rPr>
      </w:pPr>
      <w:r>
        <w:rPr>
          <w:rFonts w:ascii="Arial" w:cs="Arial" w:eastAsia="Arial" w:hAnsi="Arial"/>
          <w:sz w:val="17"/>
          <w:szCs w:val="17"/>
          <w:color w:val="auto"/>
        </w:rPr>
        <w:t>theater screen leases, non-cash share based compensation programs,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2021</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Q2 2020</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2021</w:t>
            </w:r>
          </w:p>
        </w:tc>
        <w:tc>
          <w:tcPr>
            <w:tcW w:w="240" w:type="dxa"/>
            <w:vAlign w:val="bottom"/>
          </w:tcPr>
          <w:p>
            <w:pPr>
              <w:spacing w:after="0"/>
              <w:rPr>
                <w:sz w:val="16"/>
                <w:szCs w:val="16"/>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YTD 2020</w:t>
            </w: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(18.9)</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6.4</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Amortization of intangibles recorded for network theater screen leases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(2)</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Adjusted OIBDA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1.7</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68.7</w:t>
            </w: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Adjusted OIBDA margin</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660" w:right="520" w:hanging="328"/>
        <w:spacing w:after="0" w:line="258"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 to the write off of certain internally developed software.</w:t>
      </w:r>
    </w:p>
    <w:p>
      <w:pPr>
        <w:spacing w:after="0" w:line="238" w:lineRule="exact"/>
        <w:rPr>
          <w:sz w:val="20"/>
          <w:szCs w:val="20"/>
          <w:color w:val="auto"/>
        </w:rPr>
      </w:pPr>
    </w:p>
    <w:p>
      <w:pPr>
        <w:ind w:right="220" w:firstLine="526"/>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1, 2021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 of screens</w:t>
            </w:r>
          </w:p>
        </w:tc>
        <w:tc>
          <w:tcPr>
            <w:tcW w:w="1500" w:type="dxa"/>
            <w:vAlign w:val="bottom"/>
            <w:tcBorders>
              <w:bottom w:val="single" w:sz="8" w:color="auto"/>
            </w:tcBorders>
          </w:tcPr>
          <w:p>
            <w:pPr>
              <w:spacing w:after="0"/>
              <w:rPr>
                <w:sz w:val="16"/>
                <w:szCs w:val="16"/>
                <w:color w:val="auto"/>
              </w:rPr>
            </w:pPr>
          </w:p>
        </w:tc>
      </w:tr>
      <w:tr>
        <w:trPr>
          <w:trHeight w:val="209"/>
        </w:trPr>
        <w:tc>
          <w:tcPr>
            <w:tcW w:w="58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Founding Members</w:t>
            </w: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Network Affiliates</w:t>
            </w:r>
          </w:p>
        </w:tc>
        <w:tc>
          <w:tcPr>
            <w:tcW w:w="150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 xml:space="preserve">New affiliates, net of lost affiliates </w:t>
            </w:r>
            <w:r>
              <w:rPr>
                <w:rFonts w:ascii="Arial" w:cs="Arial" w:eastAsia="Arial" w:hAnsi="Arial"/>
                <w:sz w:val="18"/>
                <w:szCs w:val="18"/>
                <w:i w:val="1"/>
                <w:iCs w:val="1"/>
                <w:color w:val="auto"/>
              </w:rPr>
              <w:t>(1)</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Closures, net of openings </w:t>
            </w:r>
            <w:r>
              <w:rPr>
                <w:rFonts w:ascii="Arial" w:cs="Arial" w:eastAsia="Arial" w:hAnsi="Arial"/>
                <w:sz w:val="18"/>
                <w:szCs w:val="18"/>
                <w:i w:val="1"/>
                <w:iCs w:val="1"/>
                <w:color w:val="auto"/>
              </w:rPr>
              <w:t>(2)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Balance as of July 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20,883</w:t>
            </w:r>
          </w:p>
        </w:tc>
      </w:tr>
      <w:tr>
        <w:trPr>
          <w:trHeight w:val="20"/>
        </w:trPr>
        <w:tc>
          <w:tcPr>
            <w:tcW w:w="5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right="280" w:hanging="328"/>
        <w:spacing w:after="0" w:line="289" w:lineRule="auto"/>
        <w:tabs>
          <w:tab w:leader="none" w:pos="654" w:val="left"/>
        </w:tabs>
        <w:numPr>
          <w:ilvl w:val="0"/>
          <w:numId w:val="14"/>
        </w:numPr>
        <w:rPr>
          <w:rFonts w:ascii="Arial" w:cs="Arial" w:eastAsia="Arial" w:hAnsi="Arial"/>
          <w:sz w:val="17"/>
          <w:szCs w:val="17"/>
          <w:i w:val="1"/>
          <w:iCs w:val="1"/>
          <w:color w:val="auto"/>
        </w:rPr>
      </w:pPr>
      <w:r>
        <w:rPr>
          <w:rFonts w:ascii="Arial" w:cs="Arial" w:eastAsia="Arial" w:hAnsi="Arial"/>
          <w:sz w:val="17"/>
          <w:szCs w:val="17"/>
          <w:color w:val="auto"/>
        </w:rPr>
        <w:t>Represents the addition of one new affiliate which added 501 new screens to our network, offset by the loss of three of our affiliates that closed during the first six months of 2021 resulting in a reduction of 37 affiliate screens to our network as of July 1, 2021.</w:t>
      </w:r>
    </w:p>
    <w:p>
      <w:pPr>
        <w:ind w:left="640" w:hanging="308"/>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Excludes the temporary theater closures in response to the COVID-19 Pandemic.</w:t>
      </w:r>
    </w:p>
    <w:p>
      <w:pPr>
        <w:spacing w:after="0" w:line="117" w:lineRule="exact"/>
        <w:rPr>
          <w:sz w:val="20"/>
          <w:szCs w:val="20"/>
          <w:color w:val="auto"/>
        </w:rPr>
      </w:pPr>
    </w:p>
    <w:p>
      <w:pPr>
        <w:ind w:right="80" w:firstLine="526"/>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out-of-home video advertising platforms by allowing advertisers the broad reach and national scale that they need to effectively reach their target audiences.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20" w:firstLine="526"/>
        <w:spacing w:after="0" w:line="263" w:lineRule="auto"/>
        <w:rPr>
          <w:sz w:val="20"/>
          <w:szCs w:val="20"/>
          <w:color w:val="auto"/>
        </w:rPr>
      </w:pPr>
      <w:r>
        <w:rPr>
          <w:rFonts w:ascii="Arial" w:cs="Arial" w:eastAsia="Arial" w:hAnsi="Arial"/>
          <w:sz w:val="18"/>
          <w:szCs w:val="18"/>
          <w:color w:val="auto"/>
        </w:rPr>
        <w:t>The results of operations data for the three months ended July 1, 2021 (second quarter of 2021) and June 25, 2020 (second quarter of 2020) and the six months ended July 1, 2021 and June 25, 2020 and was derived from the unaudited Condensed Consolidated Financial Statements and accounting records of NCM, Inc. and should be read in conjunction with the notes thereto.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2021 and Second Quarter of 2020</w:t>
      </w:r>
    </w:p>
    <w:p>
      <w:pPr>
        <w:spacing w:after="0" w:line="171"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250.0%, from $4.0 million for the second quarter of 2020 to $14.0 million for the second quarter of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Q2 2021 to Q2 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Q2 2021 to Q2 2020</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9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9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14.0</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shows data on theater attendance and revenue per attendee for the three months ended July 1, 2021 and June 25, 2020:</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Q2 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Q2 2020</w:t>
            </w:r>
          </w:p>
        </w:tc>
        <w:tc>
          <w:tcPr>
            <w:tcW w:w="2120" w:type="dxa"/>
            <w:vAlign w:val="bottom"/>
          </w:tcPr>
          <w:p>
            <w:pPr>
              <w:ind w:left="440"/>
              <w:spacing w:after="0"/>
              <w:rPr>
                <w:sz w:val="20"/>
                <w:szCs w:val="20"/>
                <w:color w:val="auto"/>
              </w:rPr>
            </w:pPr>
            <w:r>
              <w:rPr>
                <w:rFonts w:ascii="Arial" w:cs="Arial" w:eastAsia="Arial" w:hAnsi="Arial"/>
                <w:sz w:val="14"/>
                <w:szCs w:val="14"/>
                <w:b w:val="1"/>
                <w:bCs w:val="1"/>
                <w:color w:val="auto"/>
              </w:rPr>
              <w:t>Q2 2021 to Q2 2020</w:t>
            </w:r>
          </w:p>
        </w:tc>
        <w:tc>
          <w:tcPr>
            <w:tcW w:w="0" w:type="dxa"/>
            <w:vAlign w:val="bottom"/>
          </w:tcPr>
          <w:p>
            <w:pPr>
              <w:spacing w:after="0"/>
              <w:rPr>
                <w:sz w:val="1"/>
                <w:szCs w:val="1"/>
                <w:color w:val="auto"/>
              </w:rPr>
            </w:pPr>
          </w:p>
        </w:tc>
      </w:tr>
      <w:tr>
        <w:trPr>
          <w:trHeight w:val="224"/>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 per attendee</w:t>
            </w: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0.181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Local advertising revenue per attendee</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0.061</w:t>
            </w:r>
          </w:p>
        </w:tc>
        <w:tc>
          <w:tcPr>
            <w:tcW w:w="1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2120" w:type="dxa"/>
            <w:vAlign w:val="bottom"/>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5"/>
        </w:trPr>
        <w:tc>
          <w:tcPr>
            <w:tcW w:w="5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advertising revenue (excluding founding</w:t>
            </w:r>
          </w:p>
        </w:tc>
        <w:tc>
          <w:tcPr>
            <w:tcW w:w="1060" w:type="dxa"/>
            <w:vAlign w:val="bottom"/>
            <w:vMerge w:val="restart"/>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0.242</w:t>
            </w:r>
          </w:p>
        </w:tc>
        <w:tc>
          <w:tcPr>
            <w:tcW w:w="12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2120" w:type="dxa"/>
            <w:vAlign w:val="bottom"/>
            <w:vMerge w:val="restart"/>
            <w:shd w:val="clear" w:color="auto" w:fill="CCEEFF"/>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10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Total advertising revenue per attendee</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0.285</w:t>
            </w:r>
          </w:p>
        </w:tc>
        <w:tc>
          <w:tcPr>
            <w:tcW w:w="1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2120" w:type="dxa"/>
            <w:vAlign w:val="bottom"/>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52" w:lineRule="exact"/>
        <w:rPr>
          <w:sz w:val="20"/>
          <w:szCs w:val="20"/>
          <w:color w:val="auto"/>
        </w:rPr>
      </w:pPr>
    </w:p>
    <w:p>
      <w:pPr>
        <w:ind w:left="460" w:right="80" w:hanging="331"/>
        <w:spacing w:after="0" w:line="277" w:lineRule="auto"/>
        <w:tabs>
          <w:tab w:leader="none" w:pos="454"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w:t>
      </w:r>
    </w:p>
    <w:p>
      <w:pPr>
        <w:spacing w:after="0" w:line="116" w:lineRule="exact"/>
        <w:rPr>
          <w:sz w:val="20"/>
          <w:szCs w:val="20"/>
          <w:color w:val="auto"/>
        </w:rPr>
      </w:pPr>
    </w:p>
    <w:p>
      <w:pPr>
        <w:jc w:val="both"/>
        <w:ind w:left="580" w:right="120"/>
        <w:spacing w:after="0" w:line="279" w:lineRule="auto"/>
        <w:rPr>
          <w:sz w:val="20"/>
          <w:szCs w:val="20"/>
          <w:color w:val="auto"/>
        </w:rPr>
      </w:pPr>
      <w:r>
        <w:rPr>
          <w:rFonts w:ascii="Arial" w:cs="Arial" w:eastAsia="Arial" w:hAnsi="Arial"/>
          <w:sz w:val="17"/>
          <w:szCs w:val="17"/>
          <w:u w:val="single" w:color="auto"/>
          <w:color w:val="auto"/>
        </w:rPr>
        <w:t>National and regional advertising revenue.</w:t>
      </w:r>
      <w:r>
        <w:rPr>
          <w:rFonts w:ascii="Arial" w:cs="Arial" w:eastAsia="Arial" w:hAnsi="Arial"/>
          <w:sz w:val="17"/>
          <w:szCs w:val="17"/>
          <w:color w:val="auto"/>
        </w:rPr>
        <w:t xml:space="preserve"> The $7.2 million, or 423.5%, increase in national and regional advertising revenue (excluding beverage revenue from founding members) was due to a significant increase in impressions sold and attendance as 97.0% of the theaters within our network were open and multiple major motion pictures were released during the second quarter of 2021 compared to the temporary closure of almost all of the theaters in our network in response to the COVID-19 Pandemic in the second quarter of 2020.</w:t>
      </w:r>
    </w:p>
    <w:p>
      <w:pPr>
        <w:spacing w:after="0" w:line="117" w:lineRule="exact"/>
        <w:rPr>
          <w:sz w:val="20"/>
          <w:szCs w:val="20"/>
          <w:color w:val="auto"/>
        </w:rPr>
      </w:pPr>
    </w:p>
    <w:p>
      <w:pPr>
        <w:ind w:left="580" w:right="60"/>
        <w:spacing w:after="0" w:line="279" w:lineRule="auto"/>
        <w:rPr>
          <w:sz w:val="20"/>
          <w:szCs w:val="20"/>
          <w:color w:val="auto"/>
        </w:rPr>
      </w:pPr>
      <w:r>
        <w:rPr>
          <w:rFonts w:ascii="Arial" w:cs="Arial" w:eastAsia="Arial" w:hAnsi="Arial"/>
          <w:sz w:val="17"/>
          <w:szCs w:val="17"/>
          <w:u w:val="single" w:color="auto"/>
          <w:color w:val="auto"/>
        </w:rPr>
        <w:t>Local advertising revenue.</w:t>
      </w:r>
      <w:r>
        <w:rPr>
          <w:rFonts w:ascii="Arial" w:cs="Arial" w:eastAsia="Arial" w:hAnsi="Arial"/>
          <w:sz w:val="17"/>
          <w:szCs w:val="17"/>
          <w:color w:val="auto"/>
        </w:rPr>
        <w:t xml:space="preserve"> The $0.7 million, or 30.4%, increase in local advertising revenue was due primarily to the ability to generate onscreen advertising revenue in the second quarter of 2021, compared to the second quarter of 2020 as 97.0% of the theaters within our network were open and multiple major motion pictures were released during the second quarter of 2021 compared to the temporary closure of almost all of the theaters in our network in response to the COVID-19 Pandemic in the second quarter of 2020.</w:t>
      </w:r>
    </w:p>
    <w:p>
      <w:pPr>
        <w:spacing w:after="0" w:line="117"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$2.1 million, or 100.0%, increase in national advertising revenue from the founding members’ beverage concessionaire agreements was due to the reopening of 98.8% of founding member theaters within our network and the release of multiple major motion pictures during the second quarter of 2021 compared to the temporary closure of all of the founding member theaters in our network in response to the COVID-19 Pandemic during the second quarter of 2020.</w:t>
      </w:r>
    </w:p>
    <w:p>
      <w:pPr>
        <w:spacing w:after="0" w:line="133" w:lineRule="exact"/>
        <w:rPr>
          <w:sz w:val="20"/>
          <w:szCs w:val="20"/>
          <w:color w:val="auto"/>
        </w:rPr>
      </w:pPr>
    </w:p>
    <w:p>
      <w:pPr>
        <w:ind w:firstLine="567"/>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$15.8 million, or 56.8%, from $27.8 million for the second quarter of 2020 to $43.6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second quarter of 2021. The following table shows the changes in operating expense for the second quarter of 2021 (in millions):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line="200" w:lineRule="exact"/>
        <w:rPr>
          <w:sz w:val="20"/>
          <w:szCs w:val="20"/>
          <w:color w:val="auto"/>
        </w:rPr>
      </w:pPr>
    </w:p>
    <w:p>
      <w:pPr>
        <w:spacing w:after="0" w:line="348" w:lineRule="exact"/>
        <w:rPr>
          <w:sz w:val="20"/>
          <w:szCs w:val="20"/>
          <w:color w:val="auto"/>
        </w:rPr>
      </w:pPr>
    </w:p>
    <w:p>
      <w:pPr>
        <w:ind w:left="580" w:right="680"/>
        <w:spacing w:after="0" w:line="266" w:lineRule="auto"/>
        <w:rPr>
          <w:sz w:val="20"/>
          <w:szCs w:val="20"/>
          <w:color w:val="auto"/>
        </w:rPr>
      </w:pPr>
      <w:r>
        <w:rPr>
          <w:rFonts w:ascii="Arial" w:cs="Arial" w:eastAsia="Arial" w:hAnsi="Arial"/>
          <w:sz w:val="18"/>
          <w:szCs w:val="18"/>
          <w:color w:val="auto"/>
        </w:rPr>
        <w:t>Advertising operating costs Network costs</w:t>
      </w:r>
    </w:p>
    <w:p>
      <w:pPr>
        <w:spacing w:after="0" w:line="1" w:lineRule="exact"/>
        <w:rPr>
          <w:sz w:val="20"/>
          <w:szCs w:val="20"/>
          <w:color w:val="auto"/>
        </w:rPr>
      </w:pPr>
    </w:p>
    <w:p>
      <w:pPr>
        <w:ind w:left="20" w:right="360" w:firstLine="567"/>
        <w:spacing w:after="0" w:line="234" w:lineRule="auto"/>
        <w:rPr>
          <w:sz w:val="20"/>
          <w:szCs w:val="20"/>
          <w:color w:val="auto"/>
        </w:rPr>
      </w:pPr>
      <w:r>
        <w:rPr>
          <w:rFonts w:ascii="Arial" w:cs="Arial" w:eastAsia="Arial" w:hAnsi="Arial"/>
          <w:sz w:val="18"/>
          <w:szCs w:val="18"/>
          <w:color w:val="auto"/>
        </w:rPr>
        <w:t>Theater access fees and revenue share—founding members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Selling and marketing costs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Administrative and other costs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Impairment of long-lived assets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expense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Amortization of intangibles recorded</w:t>
      </w:r>
    </w:p>
    <w:p>
      <w:pPr>
        <w:ind w:left="20"/>
        <w:spacing w:after="0" w:line="203" w:lineRule="auto"/>
        <w:rPr>
          <w:sz w:val="20"/>
          <w:szCs w:val="20"/>
          <w:color w:val="auto"/>
        </w:rPr>
      </w:pPr>
      <w:r>
        <w:rPr>
          <w:rFonts w:ascii="Arial" w:cs="Arial" w:eastAsia="Arial" w:hAnsi="Arial"/>
          <w:sz w:val="18"/>
          <w:szCs w:val="18"/>
          <w:color w:val="auto"/>
        </w:rPr>
        <w:t>for</w:t>
      </w:r>
    </w:p>
    <w:p>
      <w:pPr>
        <w:ind w:left="140"/>
        <w:spacing w:after="0"/>
        <w:rPr>
          <w:sz w:val="20"/>
          <w:szCs w:val="20"/>
          <w:color w:val="auto"/>
        </w:rPr>
      </w:pPr>
      <w:r>
        <w:rPr>
          <w:rFonts w:ascii="Arial" w:cs="Arial" w:eastAsia="Arial" w:hAnsi="Arial"/>
          <w:sz w:val="18"/>
          <w:szCs w:val="18"/>
          <w:color w:val="auto"/>
        </w:rPr>
        <w:t>network theater screen leases</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Q2 2021</w:t>
            </w:r>
          </w:p>
        </w:tc>
        <w:tc>
          <w:tcPr>
            <w:tcW w:w="78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Q2 2020</w:t>
            </w:r>
          </w:p>
        </w:tc>
        <w:tc>
          <w:tcPr>
            <w:tcW w:w="6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4"/>
                <w:szCs w:val="14"/>
                <w:b w:val="1"/>
                <w:bCs w:val="1"/>
                <w:color w:val="auto"/>
              </w:rPr>
              <w:t>Q2 2021 to Q2</w:t>
            </w:r>
          </w:p>
        </w:tc>
        <w:tc>
          <w:tcPr>
            <w:tcW w:w="100" w:type="dxa"/>
            <w:vAlign w:val="bottom"/>
          </w:tcPr>
          <w:p>
            <w:pPr>
              <w:spacing w:after="0"/>
              <w:rPr>
                <w:sz w:val="11"/>
                <w:szCs w:val="11"/>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Q2 2021 to Q2 2020</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ind w:right="462"/>
              <w:spacing w:after="0"/>
              <w:rPr>
                <w:sz w:val="20"/>
                <w:szCs w:val="20"/>
                <w:color w:val="auto"/>
              </w:rPr>
            </w:pPr>
            <w:r>
              <w:rPr>
                <w:rFonts w:ascii="Arial" w:cs="Arial" w:eastAsia="Arial" w:hAnsi="Arial"/>
                <w:sz w:val="18"/>
                <w:szCs w:val="18"/>
                <w:color w:val="auto"/>
              </w:rPr>
              <w:t>190.9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700" w:type="dxa"/>
            <w:vAlign w:val="bottom"/>
            <w:gridSpan w:val="2"/>
          </w:tcPr>
          <w:p>
            <w:pPr>
              <w:jc w:val="right"/>
              <w:ind w:right="462"/>
              <w:spacing w:after="0"/>
              <w:rPr>
                <w:sz w:val="20"/>
                <w:szCs w:val="20"/>
                <w:color w:val="auto"/>
              </w:rPr>
            </w:pPr>
            <w:r>
              <w:rPr>
                <w:rFonts w:ascii="Arial" w:cs="Arial" w:eastAsia="Arial" w:hAnsi="Arial"/>
                <w:sz w:val="18"/>
                <w:szCs w:val="18"/>
                <w:color w:val="auto"/>
              </w:rPr>
              <w:t>18.8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7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700" w:type="dxa"/>
            <w:vAlign w:val="bottom"/>
            <w:gridSpan w:val="2"/>
          </w:tcPr>
          <w:p>
            <w:pPr>
              <w:jc w:val="right"/>
              <w:ind w:right="462"/>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700" w:type="dxa"/>
            <w:vAlign w:val="bottom"/>
            <w:gridSpan w:val="2"/>
          </w:tcPr>
          <w:p>
            <w:pPr>
              <w:jc w:val="right"/>
              <w:ind w:right="462"/>
              <w:spacing w:after="0"/>
              <w:rPr>
                <w:sz w:val="20"/>
                <w:szCs w:val="20"/>
                <w:color w:val="auto"/>
              </w:rPr>
            </w:pPr>
            <w:r>
              <w:rPr>
                <w:rFonts w:ascii="Arial" w:cs="Arial" w:eastAsia="Arial" w:hAnsi="Arial"/>
                <w:sz w:val="18"/>
                <w:szCs w:val="18"/>
                <w:color w:val="auto"/>
              </w:rPr>
              <w:t>32.8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700" w:type="dxa"/>
            <w:vAlign w:val="bottom"/>
            <w:gridSpan w:val="2"/>
          </w:tcPr>
          <w:p>
            <w:pPr>
              <w:jc w:val="right"/>
              <w:ind w:right="462"/>
              <w:spacing w:after="0"/>
              <w:rPr>
                <w:sz w:val="20"/>
                <w:szCs w:val="20"/>
                <w:color w:val="auto"/>
              </w:rPr>
            </w:pPr>
            <w:r>
              <w:rPr>
                <w:rFonts w:ascii="Arial" w:cs="Arial" w:eastAsia="Arial" w:hAnsi="Arial"/>
                <w:sz w:val="18"/>
                <w:szCs w:val="18"/>
                <w:color w:val="auto"/>
              </w:rPr>
              <w:t>29.7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700" w:type="dxa"/>
            <w:vAlign w:val="bottom"/>
            <w:gridSpan w:val="2"/>
          </w:tcPr>
          <w:p>
            <w:pPr>
              <w:jc w:val="right"/>
              <w:ind w:right="402"/>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700" w:type="dxa"/>
            <w:vAlign w:val="bottom"/>
            <w:gridSpan w:val="2"/>
          </w:tcPr>
          <w:p>
            <w:pPr>
              <w:jc w:val="right"/>
              <w:ind w:right="422"/>
              <w:spacing w:after="0"/>
              <w:rPr>
                <w:sz w:val="20"/>
                <w:szCs w:val="20"/>
                <w:color w:val="auto"/>
              </w:rPr>
            </w:pPr>
            <w:r>
              <w:rPr>
                <w:rFonts w:ascii="Arial" w:cs="Arial" w:eastAsia="Arial" w:hAnsi="Arial"/>
                <w:sz w:val="18"/>
                <w:szCs w:val="18"/>
                <w:color w:val="auto"/>
              </w:rPr>
              <w:t>(18.8)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700" w:type="dxa"/>
            <w:vAlign w:val="bottom"/>
            <w:gridSpan w:val="2"/>
          </w:tcPr>
          <w:p>
            <w:pPr>
              <w:jc w:val="right"/>
              <w:ind w:right="462"/>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700" w:type="dxa"/>
            <w:vAlign w:val="bottom"/>
            <w:gridSpan w:val="2"/>
          </w:tcPr>
          <w:p>
            <w:pPr>
              <w:jc w:val="right"/>
              <w:ind w:right="462"/>
              <w:spacing w:after="0"/>
              <w:rPr>
                <w:sz w:val="20"/>
                <w:szCs w:val="20"/>
                <w:color w:val="auto"/>
              </w:rPr>
            </w:pPr>
            <w:r>
              <w:rPr>
                <w:rFonts w:ascii="Arial" w:cs="Arial" w:eastAsia="Arial" w:hAnsi="Arial"/>
                <w:sz w:val="18"/>
                <w:szCs w:val="18"/>
                <w:color w:val="auto"/>
              </w:rPr>
              <w:t>56.8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-1739265</wp:posOffset>
            </wp:positionV>
            <wp:extent cx="665226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-1439545</wp:posOffset>
            </wp:positionV>
            <wp:extent cx="665226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2260" cy="25717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-1036320</wp:posOffset>
            </wp:positionV>
            <wp:extent cx="665226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-744855</wp:posOffset>
            </wp:positionV>
            <wp:extent cx="665226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-230505</wp:posOffset>
            </wp:positionV>
            <wp:extent cx="665226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226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80"/>
            <w:col w:w="7340"/>
          </w:cols>
          <w:pgMar w:left="900" w:top="1102" w:right="339" w:bottom="1440" w:gutter="0" w:footer="0" w:header="0"/>
        </w:sectPr>
      </w:pP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$2.1 million, or 190.9%, from $1.1 million for the second quarter of 2020 to $3.2 million for the second quarter of 2021. The increase was due primarily to a $2.0 million increase in advertising affiliate expense due to higher revenue in the second quarter of 2021 as compared to the second quarter of 2020 and the addition of a new affiliate representing 501 screens during 2021.</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$0.3 million, or 18.8%, from $1.6 million for the second quarter of 2020 to $1.9 million for the second quarter of 2021. The increase was primarily related to a $0.4 million increase in personnel expenses primarily related to the return of certain employees from furlough and restoration of hours and/or salaries of certain other employees from reductions that had been implemented at the beginning of the second quarter of 2020 in response to the COVID-19 Pandemic</w:t>
      </w:r>
      <w:r>
        <w:rPr>
          <w:rFonts w:ascii="Arial" w:cs="Arial" w:eastAsia="Arial" w:hAnsi="Arial"/>
          <w:sz w:val="18"/>
          <w:szCs w:val="18"/>
          <w:color w:val="EE2724"/>
        </w:rPr>
        <w:t>.</w:t>
      </w:r>
    </w:p>
    <w:p>
      <w:pPr>
        <w:spacing w:after="0" w:line="13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increased from $0.0 million in the second quarter of 2020 to $11.2 million in the second quarter of 2021. The increase was due to there being theater attendance and active founding member screens in the second quarter of 2021, compared to closures of all the founding member theaters in our network in the second quarter of 2020.</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$2.2 million, or 32.8%, from $6.7 million for the second quarter of 2020 to $8.9 million for the second quarter of 2021. This increase was primarily related to a $1.9 million increase in personnel expenses primarily related to the return of a portion of our sales and marketing departments from furlough and restoration of hours and/or salaries of certain other employees from reductions that had been implemented at the beginning of the second quarter of 2020 in response to the COVID-19 Pandemic, an increase in commission expense related to higher revenue during the second quarter of 2021, as compared to the second quarter of 2020, and the higher share-based compensation expense.</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$2.2 million, or 29.7%, from $7.4 million in the second quarter of 2020 to $9.6 million in the second quarter of 2021. This increase was primarily due to a $2.5 million increase in personnel expenses due to higher share-based compensation expense primarily from the issuance of equity grants in late 2020 and early 2021, higher projected performance against </w:t>
      </w:r>
      <w:r>
        <w:rPr>
          <w:rFonts w:ascii="Arial" w:cs="Arial" w:eastAsia="Arial" w:hAnsi="Arial"/>
          <w:sz w:val="17"/>
          <w:szCs w:val="17"/>
          <w:color w:val="242424"/>
        </w:rPr>
        <w:t>internal</w:t>
      </w:r>
      <w:r>
        <w:rPr>
          <w:rFonts w:ascii="Arial" w:cs="Arial" w:eastAsia="Arial" w:hAnsi="Arial"/>
          <w:sz w:val="17"/>
          <w:szCs w:val="17"/>
          <w:color w:val="auto"/>
        </w:rPr>
        <w:t xml:space="preserve"> </w:t>
      </w:r>
      <w:r>
        <w:rPr>
          <w:rFonts w:ascii="Arial" w:cs="Arial" w:eastAsia="Arial" w:hAnsi="Arial"/>
          <w:sz w:val="17"/>
          <w:szCs w:val="17"/>
          <w:color w:val="242424"/>
        </w:rPr>
        <w:t xml:space="preserve">bonus targets </w:t>
      </w:r>
      <w:r>
        <w:rPr>
          <w:rFonts w:ascii="Arial" w:cs="Arial" w:eastAsia="Arial" w:hAnsi="Arial"/>
          <w:sz w:val="17"/>
          <w:szCs w:val="17"/>
          <w:color w:val="000000"/>
        </w:rPr>
        <w:t>during the six months ended July 1, 2021 and due to a decrease in capitalized personnel costs resulting from the nature of the work</w:t>
      </w:r>
      <w:r>
        <w:rPr>
          <w:rFonts w:ascii="Arial" w:cs="Arial" w:eastAsia="Arial" w:hAnsi="Arial"/>
          <w:sz w:val="17"/>
          <w:szCs w:val="17"/>
          <w:color w:val="242424"/>
        </w:rPr>
        <w:t xml:space="preserve"> </w:t>
      </w:r>
      <w:r>
        <w:rPr>
          <w:rFonts w:ascii="Arial" w:cs="Arial" w:eastAsia="Arial" w:hAnsi="Arial"/>
          <w:sz w:val="17"/>
          <w:szCs w:val="17"/>
          <w:color w:val="000000"/>
        </w:rPr>
        <w:t>being performed by our technology department during the second quarter of 2021, as compared to the second quarter of 2020. Administrative and other costs also increased $0.5 million related to cloud computing expense incurred in the second quarter of 2021 related to the implementation of our new end-to-end order management and scheduling system in January 2021. These increases were partially offset by a $0.9 million decrease in legal and professional fees primarily related to legal services obtained in the second quarter of 2020 related to the various implications of the COVID-19 Pandemic.</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decreased $1.7 million, or 100.0%, from $1.7 million in the second quarter of 2020 to $0.0 million in the second quarter of 2021. This decrease in impairment expense was primarily related to the write-off of certain long-lived assets during the second quarter of 2020.</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$0.6 million, or 18.8%, from $3.2 million for the second quarter of 2020 to $2.6 million in the second quarter of 2021, as assets became fully depreciated.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02" w:right="339" w:bottom="1440" w:gutter="0" w:footer="0" w:header="0"/>
          <w:type w:val="continuous"/>
        </w:sectPr>
      </w:pPr>
    </w:p>
    <w:bookmarkStart w:id="29" w:name="page30"/>
    <w:bookmarkEnd w:id="29"/>
    <w:p>
      <w:pPr>
        <w:ind w:left="580" w:right="440"/>
        <w:spacing w:after="0" w:line="308" w:lineRule="auto"/>
        <w:rPr>
          <w:sz w:val="20"/>
          <w:szCs w:val="20"/>
          <w:color w:val="auto"/>
        </w:rPr>
      </w:pPr>
      <w:r>
        <w:rPr>
          <w:rFonts w:ascii="Arial" w:cs="Arial" w:eastAsia="Arial" w:hAnsi="Arial"/>
          <w:sz w:val="17"/>
          <w:szCs w:val="17"/>
          <w:u w:val="single" w:color="auto"/>
          <w:color w:val="auto"/>
        </w:rPr>
        <w:t>Amortization of intangibles recorded for network theater screen leases.</w:t>
      </w:r>
      <w:r>
        <w:rPr>
          <w:rFonts w:ascii="Arial" w:cs="Arial" w:eastAsia="Arial" w:hAnsi="Arial"/>
          <w:sz w:val="17"/>
          <w:szCs w:val="17"/>
          <w:color w:val="auto"/>
        </w:rPr>
        <w:t xml:space="preserve"> Amortization of intangibles recorded for network theater screen leases increased $0.1 million, or 1.6%, from $6.1 million for the second quarter of 2020 to $6.2 million for the second quarter of 2021.</w:t>
      </w:r>
    </w:p>
    <w:p>
      <w:pPr>
        <w:spacing w:after="0" w:line="92" w:lineRule="exact"/>
        <w:rPr>
          <w:sz w:val="20"/>
          <w:szCs w:val="20"/>
          <w:color w:val="auto"/>
        </w:rPr>
      </w:pPr>
    </w:p>
    <w:p>
      <w:pPr>
        <w:ind w:right="4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$3.5 million, or 25.4%, from $13.8 million for the second quarter of 2020 to $17.3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second quarter of 2021. The following table shows the changes in non-operating expense for the second quarter of 2021 and the second quarter of 2020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Q2 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Q2 2020</w:t>
            </w:r>
          </w:p>
        </w:tc>
        <w:tc>
          <w:tcPr>
            <w:tcW w:w="140" w:type="dxa"/>
            <w:vAlign w:val="bottom"/>
          </w:tcPr>
          <w:p>
            <w:pPr>
              <w:spacing w:after="0"/>
              <w:rPr>
                <w:sz w:val="16"/>
                <w:szCs w:val="16"/>
                <w:color w:val="auto"/>
              </w:rPr>
            </w:pP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Q2 2021 to Q2 2020</w:t>
            </w:r>
          </w:p>
        </w:tc>
        <w:tc>
          <w:tcPr>
            <w:tcW w:w="100" w:type="dxa"/>
            <w:vAlign w:val="bottom"/>
          </w:tcPr>
          <w:p>
            <w:pPr>
              <w:spacing w:after="0"/>
              <w:rPr>
                <w:sz w:val="16"/>
                <w:szCs w:val="16"/>
                <w:color w:val="auto"/>
              </w:rPr>
            </w:pPr>
          </w:p>
        </w:tc>
        <w:tc>
          <w:tcPr>
            <w:tcW w:w="1700" w:type="dxa"/>
            <w:vAlign w:val="bottom"/>
          </w:tcPr>
          <w:p>
            <w:pPr>
              <w:jc w:val="right"/>
              <w:ind w:right="159"/>
              <w:spacing w:after="0"/>
              <w:rPr>
                <w:sz w:val="20"/>
                <w:szCs w:val="20"/>
                <w:color w:val="auto"/>
              </w:rPr>
            </w:pPr>
            <w:r>
              <w:rPr>
                <w:rFonts w:ascii="Arial" w:cs="Arial" w:eastAsia="Arial" w:hAnsi="Arial"/>
                <w:sz w:val="14"/>
                <w:szCs w:val="14"/>
                <w:b w:val="1"/>
                <w:bCs w:val="1"/>
                <w:color w:val="auto"/>
              </w:rPr>
              <w:t>Q2 2021 to Q2 2020</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modification and retirement of debt, net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Loss on the re-measurement of the payable</w:t>
            </w: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60"/>
              <w:spacing w:after="0" w:line="176" w:lineRule="exact"/>
              <w:rPr>
                <w:sz w:val="20"/>
                <w:szCs w:val="20"/>
                <w:color w:val="auto"/>
              </w:rPr>
            </w:pPr>
            <w:r>
              <w:rPr>
                <w:rFonts w:ascii="Arial" w:cs="Arial" w:eastAsia="Arial" w:hAnsi="Arial"/>
                <w:sz w:val="18"/>
                <w:szCs w:val="18"/>
                <w:color w:val="auto"/>
              </w:rPr>
              <w:t>to founding members under the tax receivable</w:t>
            </w:r>
          </w:p>
        </w:tc>
        <w:tc>
          <w:tcPr>
            <w:tcW w:w="1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58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11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Total non-operating expenses</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200" w:firstLine="526"/>
        <w:spacing w:after="0" w:line="263" w:lineRule="auto"/>
        <w:rPr>
          <w:sz w:val="20"/>
          <w:szCs w:val="20"/>
          <w:color w:val="auto"/>
        </w:rPr>
      </w:pPr>
      <w:r>
        <w:rPr>
          <w:rFonts w:ascii="Arial" w:cs="Arial" w:eastAsia="Arial" w:hAnsi="Arial"/>
          <w:sz w:val="18"/>
          <w:szCs w:val="18"/>
          <w:color w:val="auto"/>
        </w:rPr>
        <w:t>The increase in non-operating expense was primarily due to a $3.3 million increase in interest on borrowings related to the issuance of the second tranche of the terms loans and the increase in the contracted interest rate on the initial tranche of the term loans and the revolving credit facility following the Credit Agreement Second Amendment entered into on March 8, 2021.</w:t>
      </w:r>
    </w:p>
    <w:p>
      <w:pPr>
        <w:spacing w:after="0" w:line="76" w:lineRule="exact"/>
        <w:rPr>
          <w:sz w:val="20"/>
          <w:szCs w:val="20"/>
          <w:color w:val="auto"/>
        </w:rPr>
      </w:pPr>
    </w:p>
    <w:p>
      <w:pPr>
        <w:ind w:right="140" w:firstLine="526"/>
        <w:spacing w:after="0" w:line="311"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decreased from income tax benefit of $4.2 million for the second quarter of 2020 to $0.0 million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 for the second quarter of 2021. The decrease in income tax benefit was primarily due to the full valuation allowance recorded against the Company’s deferred tax assets as of July 1, 2021 which reduced deferred tax expense to $0.0 million for the three months ended July 1, 2021.</w:t>
      </w:r>
    </w:p>
    <w:p>
      <w:pPr>
        <w:spacing w:after="0" w:line="95" w:lineRule="exact"/>
        <w:rPr>
          <w:sz w:val="20"/>
          <w:szCs w:val="20"/>
          <w:color w:val="auto"/>
        </w:rPr>
      </w:pPr>
    </w:p>
    <w:p>
      <w:pPr>
        <w:ind w:right="40" w:firstLine="526"/>
        <w:spacing w:after="0" w:line="286" w:lineRule="auto"/>
        <w:rPr>
          <w:sz w:val="20"/>
          <w:szCs w:val="20"/>
          <w:color w:val="auto"/>
        </w:rPr>
      </w:pPr>
      <w:r>
        <w:rPr>
          <w:rFonts w:ascii="Arial" w:cs="Arial" w:eastAsia="Arial" w:hAnsi="Arial"/>
          <w:sz w:val="17"/>
          <w:szCs w:val="17"/>
          <w:i w:val="1"/>
          <w:iCs w:val="1"/>
          <w:color w:val="auto"/>
        </w:rPr>
        <w:t>Net Loss</w:t>
      </w:r>
      <w:r>
        <w:rPr>
          <w:rFonts w:ascii="Arial" w:cs="Arial" w:eastAsia="Arial" w:hAnsi="Arial"/>
          <w:sz w:val="17"/>
          <w:szCs w:val="17"/>
          <w:color w:val="auto"/>
        </w:rPr>
        <w:t>. Net loss increased $8.9 million from net loss of $13.8 million for the second quarter of 2020 to $22.7 million for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increase in net loss was due to a $5.8 million increase in operating loss, a $4.2 million decrease in income tax benefit and a $3.5 million increase in non-operating expense, partially offset by a $4.6 million increase in net loss attributable to noncontrolling interests.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1, 2021 and June 25, 2020</w:t>
      </w:r>
    </w:p>
    <w:p>
      <w:pPr>
        <w:spacing w:after="0" w:line="171"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71.8%, from $68.7 million for the six months ended June 25, 2020 to $19.4 million for the six months ended July</w:t>
      </w:r>
      <w:r>
        <w:rPr>
          <w:rFonts w:ascii="Arial" w:cs="Arial" w:eastAsia="Arial" w:hAnsi="Arial"/>
          <w:sz w:val="18"/>
          <w:szCs w:val="18"/>
          <w:i w:val="1"/>
          <w:iCs w:val="1"/>
          <w:color w:val="auto"/>
        </w:rPr>
        <w:t xml:space="preserve"> </w:t>
      </w:r>
      <w:r>
        <w:rPr>
          <w:rFonts w:ascii="Arial" w:cs="Arial" w:eastAsia="Arial" w:hAnsi="Arial"/>
          <w:sz w:val="18"/>
          <w:szCs w:val="18"/>
          <w:color w:val="auto"/>
        </w:rPr>
        <w:t>1, 2021. The following is a summary of revenue by category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380" w:type="dxa"/>
            <w:vAlign w:val="bottom"/>
            <w:gridSpan w:val="6"/>
          </w:tcPr>
          <w:p>
            <w:pPr>
              <w:ind w:left="10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6"/>
                <w:szCs w:val="16"/>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4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44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1, 2021</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25, 2020</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2021 to YTD 2020</w:t>
            </w:r>
          </w:p>
        </w:tc>
        <w:tc>
          <w:tcPr>
            <w:tcW w:w="100" w:type="dxa"/>
            <w:vAlign w:val="bottom"/>
            <w:tcBorders>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11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data on theater attendance and revenue per attendee for six months ended July 1, 2021 and June 25, 2020: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ind w:left="820"/>
              <w:spacing w:after="0"/>
              <w:rPr>
                <w:sz w:val="20"/>
                <w:szCs w:val="20"/>
                <w:color w:val="auto"/>
              </w:rPr>
            </w:pPr>
            <w:r>
              <w:rPr>
                <w:rFonts w:ascii="Arial" w:cs="Arial" w:eastAsia="Arial" w:hAnsi="Arial"/>
                <w:sz w:val="14"/>
                <w:szCs w:val="14"/>
                <w:b w:val="1"/>
                <w:bCs w:val="1"/>
                <w:color w:val="auto"/>
              </w:rPr>
              <w:t>Six Months Ended</w:t>
            </w:r>
          </w:p>
        </w:tc>
        <w:tc>
          <w:tcPr>
            <w:tcW w:w="2000" w:type="dxa"/>
            <w:vAlign w:val="bottom"/>
          </w:tcPr>
          <w:p>
            <w:pPr>
              <w:jc w:val="right"/>
              <w:ind w:right="5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July 1, 2021</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25, 2020</w:t>
            </w:r>
          </w:p>
        </w:tc>
        <w:tc>
          <w:tcPr>
            <w:tcW w:w="100" w:type="dxa"/>
            <w:vAlign w:val="bottom"/>
          </w:tcPr>
          <w:p>
            <w:pPr>
              <w:spacing w:after="0"/>
              <w:rPr>
                <w:sz w:val="16"/>
                <w:szCs w:val="16"/>
                <w:color w:val="auto"/>
              </w:rPr>
            </w:pPr>
          </w:p>
        </w:tc>
        <w:tc>
          <w:tcPr>
            <w:tcW w:w="200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 per attendee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0.427</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Local advertising revenue per attendee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0.097</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advertising revenue (excluding founding</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0.267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0.524</w:t>
            </w:r>
          </w:p>
        </w:tc>
        <w:tc>
          <w:tcPr>
            <w:tcW w:w="1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2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Total advertising revenue per attendee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0.570</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theater attendance (in millions) (1)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52" w:lineRule="exact"/>
        <w:rPr>
          <w:sz w:val="20"/>
          <w:szCs w:val="20"/>
          <w:color w:val="auto"/>
        </w:rPr>
      </w:pPr>
    </w:p>
    <w:p>
      <w:pPr>
        <w:ind w:left="460" w:right="60" w:hanging="331"/>
        <w:spacing w:after="0" w:line="277" w:lineRule="auto"/>
        <w:tabs>
          <w:tab w:leader="none" w:pos="454"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w:t>
      </w:r>
    </w:p>
    <w:p>
      <w:pPr>
        <w:spacing w:after="0" w:line="116" w:lineRule="exact"/>
        <w:rPr>
          <w:sz w:val="20"/>
          <w:szCs w:val="20"/>
          <w:color w:val="auto"/>
        </w:rPr>
      </w:pPr>
    </w:p>
    <w:p>
      <w:pPr>
        <w:ind w:left="580" w:right="60"/>
        <w:spacing w:after="0" w:line="279" w:lineRule="auto"/>
        <w:rPr>
          <w:sz w:val="20"/>
          <w:szCs w:val="20"/>
          <w:color w:val="auto"/>
        </w:rPr>
      </w:pPr>
      <w:r>
        <w:rPr>
          <w:rFonts w:ascii="Arial" w:cs="Arial" w:eastAsia="Arial" w:hAnsi="Arial"/>
          <w:sz w:val="17"/>
          <w:szCs w:val="17"/>
          <w:u w:val="single" w:color="auto"/>
          <w:color w:val="auto"/>
        </w:rPr>
        <w:t>National and regional advertising revenue.</w:t>
      </w:r>
      <w:r>
        <w:rPr>
          <w:rFonts w:ascii="Arial" w:cs="Arial" w:eastAsia="Arial" w:hAnsi="Arial"/>
          <w:sz w:val="17"/>
          <w:szCs w:val="17"/>
          <w:color w:val="auto"/>
        </w:rPr>
        <w:t xml:space="preserve"> The $38.9 million, or 75.5%, decrease in national and regional advertising revenue (excluding beverage revenue from founding members) was due to an 81.8% decrease in impressions sold due to the significant decrease in attendance from historical levels as a result of fewer open theaters within our network, fewer motion picture releases and a longer period of government mandated capacity restrictions during the six months ended July 1, 2021, compared to the six months ended June 25, 2020.</w:t>
      </w:r>
    </w:p>
    <w:p>
      <w:pPr>
        <w:spacing w:after="0" w:line="117" w:lineRule="exact"/>
        <w:rPr>
          <w:sz w:val="20"/>
          <w:szCs w:val="20"/>
          <w:color w:val="auto"/>
        </w:rPr>
      </w:pPr>
    </w:p>
    <w:p>
      <w:pPr>
        <w:ind w:left="580" w:right="240"/>
        <w:spacing w:after="0" w:line="263"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$7.5 million, or 64.1%, decrease in local advertising revenue was due to fewer open theaters within our network, fewer motion picture releases and a longer period of government mandated capacity restrictions during the six months ended July 1, 2021, compared to the six months ended June 25, 2020.</w:t>
      </w:r>
    </w:p>
    <w:p>
      <w:pPr>
        <w:spacing w:after="0" w:line="130" w:lineRule="exact"/>
        <w:rPr>
          <w:sz w:val="20"/>
          <w:szCs w:val="20"/>
          <w:color w:val="auto"/>
        </w:rPr>
      </w:pPr>
    </w:p>
    <w:p>
      <w:pPr>
        <w:ind w:left="580" w:right="18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$2.9 million, or 52.7%, decrease in national advertising revenue from the founding members’ beverage concessionaire agreements was primarily due to a 51.2% decrease in founding member attendance for the six months ended July 1, 2021, as compared to the six months ended June 25, 2020, due to the temporary theater closures and lower attendance described above related to the COVID-19 Pandemic.</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decreased $10.3 million, or 11.8%, from $87.6 million for the six months ended June 25,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$77.3 million for the six months ended July 1, 2021. The following table shows the changes in operating expense for the six months ended July 1, 2021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25, 2020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1,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25,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2021 to YTD 2020</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operating costs</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Network costs</w:t>
            </w:r>
          </w:p>
        </w:tc>
        <w:tc>
          <w:tcPr>
            <w:tcW w:w="1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Theater access fees—founding members</w:t>
            </w: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Selling and marketing costs</w:t>
            </w:r>
          </w:p>
        </w:tc>
        <w:tc>
          <w:tcPr>
            <w:tcW w:w="1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16.6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other costs</w:t>
            </w: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11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intangibles recorded for</w:t>
            </w:r>
          </w:p>
        </w:tc>
        <w:tc>
          <w:tcPr>
            <w:tcW w:w="11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96"/>
              </w:rPr>
              <w:t>12.3</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5"/>
              </w:rPr>
              <w:t>12.2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network theater screen leases</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100"/>
        <w:spacing w:after="0" w:line="296"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$2.6 million, or 35.6%, from $7.3 million for the six months ended June 25, 2020 to $4.7 million for the six months ended July 1, 2021. The decrease was due primarily to a $2.0 million decrease in advertising affiliate expense due to lower revenue in the six months ended July 1, 2021 as compared to the six m</w:t>
      </w:r>
      <w:r>
        <w:rPr>
          <w:rFonts w:ascii="Arial" w:cs="Arial" w:eastAsia="Arial" w:hAnsi="Arial"/>
          <w:sz w:val="16"/>
          <w:szCs w:val="16"/>
          <w:color w:val="242424"/>
        </w:rPr>
        <w:t>onths ended June 25, 2020 due to the COVID-19</w:t>
      </w:r>
      <w:r>
        <w:rPr>
          <w:rFonts w:ascii="Arial" w:cs="Arial" w:eastAsia="Arial" w:hAnsi="Arial"/>
          <w:sz w:val="16"/>
          <w:szCs w:val="16"/>
          <w:color w:val="auto"/>
        </w:rPr>
        <w:t xml:space="preserve"> </w:t>
      </w:r>
      <w:r>
        <w:rPr>
          <w:rFonts w:ascii="Arial" w:cs="Arial" w:eastAsia="Arial" w:hAnsi="Arial"/>
          <w:sz w:val="16"/>
          <w:szCs w:val="16"/>
          <w:color w:val="242424"/>
        </w:rPr>
        <w:t>Pandemic and a $0.3 million decrease in personnel related expenses due to the Payroll Related Cost Reductions implemented in response to the COVID-19 Pandemic which were in place for the full six months ended July 1, 2021, as compared to three of the six months ended June 25, 2020.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31" w:name="page32"/>
    <w:bookmarkEnd w:id="31"/>
    <w:p>
      <w:pPr>
        <w:ind w:left="580" w:right="180"/>
        <w:spacing w:after="0" w:line="29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decreased $0.8 million, or 17.8%, from $4.5 million for the six months ended June 25, 2020 to $3.7 million for the six months ended July 1, 2021. The decrease was primarily related to a $0.5 million decrease in personnel related </w:t>
      </w:r>
      <w:r>
        <w:rPr>
          <w:rFonts w:ascii="Arial" w:cs="Arial" w:eastAsia="Arial" w:hAnsi="Arial"/>
          <w:sz w:val="16"/>
          <w:szCs w:val="16"/>
          <w:color w:val="242424"/>
        </w:rPr>
        <w:t>expenses related to the Payroll</w:t>
      </w:r>
      <w:r>
        <w:rPr>
          <w:rFonts w:ascii="Arial" w:cs="Arial" w:eastAsia="Arial" w:hAnsi="Arial"/>
          <w:sz w:val="16"/>
          <w:szCs w:val="16"/>
          <w:color w:val="auto"/>
        </w:rPr>
        <w:t xml:space="preserve"> </w:t>
      </w:r>
      <w:r>
        <w:rPr>
          <w:rFonts w:ascii="Arial" w:cs="Arial" w:eastAsia="Arial" w:hAnsi="Arial"/>
          <w:sz w:val="16"/>
          <w:szCs w:val="16"/>
          <w:color w:val="242424"/>
        </w:rPr>
        <w:t xml:space="preserve">Related Cost Reductions implemented in response to the COVID-19 Pandemic which were in place for the full six months ended July 1, 2021, as compared to three of the six months ended June 25, 2020, and a </w:t>
      </w:r>
      <w:r>
        <w:rPr>
          <w:rFonts w:ascii="Arial" w:cs="Arial" w:eastAsia="Arial" w:hAnsi="Arial"/>
          <w:sz w:val="16"/>
          <w:szCs w:val="16"/>
          <w:color w:val="000000"/>
        </w:rPr>
        <w:t>$0.1 million decrease related to non-essential operating expenditures, including</w:t>
      </w:r>
      <w:r>
        <w:rPr>
          <w:rFonts w:ascii="Arial" w:cs="Arial" w:eastAsia="Arial" w:hAnsi="Arial"/>
          <w:sz w:val="16"/>
          <w:szCs w:val="16"/>
          <w:color w:val="242424"/>
        </w:rPr>
        <w:t xml:space="preserve"> </w:t>
      </w:r>
      <w:r>
        <w:rPr>
          <w:rFonts w:ascii="Arial" w:cs="Arial" w:eastAsia="Arial" w:hAnsi="Arial"/>
          <w:sz w:val="16"/>
          <w:szCs w:val="16"/>
          <w:color w:val="000000"/>
        </w:rPr>
        <w:t>employee travel that was suspended as part of the measures taken to reduce expenses and preserve cash during the COVID-19 Pandemic.</w:t>
      </w:r>
    </w:p>
    <w:p>
      <w:pPr>
        <w:spacing w:after="0" w:line="107" w:lineRule="exact"/>
        <w:rPr>
          <w:sz w:val="20"/>
          <w:szCs w:val="20"/>
          <w:color w:val="auto"/>
        </w:rPr>
      </w:pPr>
    </w:p>
    <w:p>
      <w:pPr>
        <w:ind w:left="580" w:right="240"/>
        <w:spacing w:after="0" w:line="296"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decreased $3.4 million, or 19.2%, from $17.7 million in the six months ended June 25, 2020 to $14.3 million in the six months ended July 1, 2021. Theater access fees and revenue share decreased $5.6 million due to a 51.2% decrease in founding member attendance. The decrease due to attendance was partially offset by a $1.3 million increase due to the annual contractual rate increase related to the fee for post-showtime attendance and digital screens and a $0.9 million increase due to an increase in active screens for the six months ended July 1, 2021, as compared to the six months ended June 25, 2020.</w:t>
      </w:r>
    </w:p>
    <w:p>
      <w:pPr>
        <w:spacing w:after="0" w:line="107" w:lineRule="exact"/>
        <w:rPr>
          <w:sz w:val="20"/>
          <w:szCs w:val="20"/>
          <w:color w:val="auto"/>
        </w:rPr>
      </w:pPr>
    </w:p>
    <w:p>
      <w:pPr>
        <w:ind w:left="580" w:right="80"/>
        <w:spacing w:after="0" w:line="270"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$4.0 million, or 19.4%, from $20.6 million for the six months ended June 25, 2020 to $16.6 million for the six months ended July 1, 2021. This decrease was primarily related to a $2.3 million decrease related to non-essential operating expenditures, including marketing, training, research, consulting and employee travel that were suspended as part of the measures taken to reduce expenses and preserve cash during the COVID-19 Pandemic and a $1.0 million decrease in bad debt expense related to lower revenue </w:t>
      </w:r>
      <w:r>
        <w:rPr>
          <w:rFonts w:ascii="Arial" w:cs="Arial" w:eastAsia="Arial" w:hAnsi="Arial"/>
          <w:sz w:val="17"/>
          <w:szCs w:val="17"/>
          <w:color w:val="242424"/>
        </w:rPr>
        <w:t>in</w:t>
      </w:r>
      <w:r>
        <w:rPr>
          <w:rFonts w:ascii="Arial" w:cs="Arial" w:eastAsia="Arial" w:hAnsi="Arial"/>
          <w:sz w:val="17"/>
          <w:szCs w:val="17"/>
          <w:color w:val="auto"/>
        </w:rPr>
        <w:t xml:space="preserve"> </w:t>
      </w:r>
      <w:r>
        <w:rPr>
          <w:rFonts w:ascii="Arial" w:cs="Arial" w:eastAsia="Arial" w:hAnsi="Arial"/>
          <w:sz w:val="17"/>
          <w:szCs w:val="17"/>
          <w:color w:val="242424"/>
        </w:rPr>
        <w:t xml:space="preserve">the six months ended July 1, 2021, compared to the six months ended June 25, 2020. Personnel expense also decreased $1.0 million primarily related to the </w:t>
      </w:r>
      <w:r>
        <w:rPr>
          <w:rFonts w:ascii="Arial" w:cs="Arial" w:eastAsia="Arial" w:hAnsi="Arial"/>
          <w:sz w:val="17"/>
          <w:szCs w:val="17"/>
          <w:color w:val="000000"/>
        </w:rPr>
        <w:t>Payroll Related Cost Reductions</w:t>
      </w:r>
      <w:r>
        <w:rPr>
          <w:rFonts w:ascii="Arial" w:cs="Arial" w:eastAsia="Arial" w:hAnsi="Arial"/>
          <w:sz w:val="17"/>
          <w:szCs w:val="17"/>
          <w:color w:val="242424"/>
        </w:rPr>
        <w:t xml:space="preserve"> implemented in response to the COVID-19 Pandemic and a decrease in commission expense driven </w:t>
      </w:r>
      <w:r>
        <w:rPr>
          <w:rFonts w:ascii="Arial" w:cs="Arial" w:eastAsia="Arial" w:hAnsi="Arial"/>
          <w:sz w:val="17"/>
          <w:szCs w:val="17"/>
          <w:color w:val="000000"/>
        </w:rPr>
        <w:t>by the revenue declines during the six months ended July 1, 2021, as compared to the six months ended June 25, 2020. These decreases were partially offset by a $0.8 million increase in expense associated with our digital offerings due to an increase in digital revenue for the six months ended July 1, 2021, as compared to the six months ended June 25, 2020.</w:t>
      </w:r>
    </w:p>
    <w:p>
      <w:pPr>
        <w:spacing w:after="0" w:line="127" w:lineRule="exact"/>
        <w:rPr>
          <w:sz w:val="20"/>
          <w:szCs w:val="20"/>
          <w:color w:val="auto"/>
        </w:rPr>
      </w:pPr>
    </w:p>
    <w:p>
      <w:pPr>
        <w:ind w:left="580" w:right="40"/>
        <w:spacing w:after="0" w:line="289"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increased $2.6 million, or 15.1%, from $17.2 million for the six months ended June 25, 2020 to $19.8 million for the six months ended July 1, 2021. This increase was primarily due to a $5.4 million increase in performance-based compensation expense following the modification of certain of the Company’s performance-based equity grants, issuance of new equity grants and higher projected performance against </w:t>
      </w:r>
      <w:r>
        <w:rPr>
          <w:rFonts w:ascii="Arial" w:cs="Arial" w:eastAsia="Arial" w:hAnsi="Arial"/>
          <w:sz w:val="16"/>
          <w:szCs w:val="16"/>
          <w:color w:val="242424"/>
        </w:rPr>
        <w:t>internal bonus targets</w:t>
      </w:r>
      <w:r>
        <w:rPr>
          <w:rFonts w:ascii="Arial" w:cs="Arial" w:eastAsia="Arial" w:hAnsi="Arial"/>
          <w:sz w:val="16"/>
          <w:szCs w:val="16"/>
          <w:color w:val="auto"/>
        </w:rPr>
        <w:t xml:space="preserve"> during the six months ended July 1, 2021</w:t>
      </w:r>
      <w:r>
        <w:rPr>
          <w:rFonts w:ascii="Arial" w:cs="Arial" w:eastAsia="Arial" w:hAnsi="Arial"/>
          <w:sz w:val="16"/>
          <w:szCs w:val="16"/>
          <w:color w:val="242424"/>
        </w:rPr>
        <w:t>. This increase was partially offset by a $1.6</w:t>
      </w:r>
      <w:r>
        <w:rPr>
          <w:rFonts w:ascii="Arial" w:cs="Arial" w:eastAsia="Arial" w:hAnsi="Arial"/>
          <w:sz w:val="16"/>
          <w:szCs w:val="16"/>
          <w:color w:val="auto"/>
        </w:rPr>
        <w:t xml:space="preserve"> </w:t>
      </w:r>
      <w:r>
        <w:rPr>
          <w:rFonts w:ascii="Arial" w:cs="Arial" w:eastAsia="Arial" w:hAnsi="Arial"/>
          <w:sz w:val="16"/>
          <w:szCs w:val="16"/>
          <w:color w:val="242424"/>
        </w:rPr>
        <w:t xml:space="preserve">million decrease in salary and other personnel related expenses related to the </w:t>
      </w:r>
      <w:r>
        <w:rPr>
          <w:rFonts w:ascii="Arial" w:cs="Arial" w:eastAsia="Arial" w:hAnsi="Arial"/>
          <w:sz w:val="16"/>
          <w:szCs w:val="16"/>
          <w:color w:val="000000"/>
        </w:rPr>
        <w:t>Payroll Related Cost Reductions</w:t>
      </w:r>
      <w:r>
        <w:rPr>
          <w:rFonts w:ascii="Arial" w:cs="Arial" w:eastAsia="Arial" w:hAnsi="Arial"/>
          <w:sz w:val="16"/>
          <w:szCs w:val="16"/>
          <w:color w:val="242424"/>
        </w:rPr>
        <w:t xml:space="preserve"> in place during the six months ended July 1, 2021 in response to the COVID-19 Pandemic, a $1.5 million decrease in legal and professional fees for the six months ended July 1, 2021, as compared to the six months ended June 25, 2020 due in part to legal services obtained in the second quarter of 2020 related to the various implications of the COVID-19 Pandemic and a $0.3 million decrease related to </w:t>
      </w:r>
      <w:r>
        <w:rPr>
          <w:rFonts w:ascii="Arial" w:cs="Arial" w:eastAsia="Arial" w:hAnsi="Arial"/>
          <w:sz w:val="16"/>
          <w:szCs w:val="16"/>
          <w:color w:val="000000"/>
        </w:rPr>
        <w:t>reductions in non-essential operating expenditures, including</w:t>
      </w:r>
      <w:r>
        <w:rPr>
          <w:rFonts w:ascii="Arial" w:cs="Arial" w:eastAsia="Arial" w:hAnsi="Arial"/>
          <w:sz w:val="16"/>
          <w:szCs w:val="16"/>
          <w:color w:val="242424"/>
        </w:rPr>
        <w:t xml:space="preserve"> </w:t>
      </w:r>
      <w:r>
        <w:rPr>
          <w:rFonts w:ascii="Arial" w:cs="Arial" w:eastAsia="Arial" w:hAnsi="Arial"/>
          <w:sz w:val="16"/>
          <w:szCs w:val="16"/>
          <w:color w:val="000000"/>
        </w:rPr>
        <w:t>employee travel that was suspended as part of the measures taken to reduce expenses and preserve cash during the COVID-19 Pandemic.</w:t>
      </w:r>
    </w:p>
    <w:p>
      <w:pPr>
        <w:spacing w:after="0" w:line="112" w:lineRule="exact"/>
        <w:rPr>
          <w:sz w:val="20"/>
          <w:szCs w:val="20"/>
          <w:color w:val="auto"/>
        </w:rPr>
      </w:pPr>
    </w:p>
    <w:p>
      <w:pPr>
        <w:ind w:left="580" w:right="18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decreased $1.7 million, or 100.0%, from $1.7 million in the six months ended June 25, 2020 to $0.0 million in the six months ended July 1, 2021. This decrease in impairment expense was primarily related to the write-off of certain long-lived assets during the second quarter of 2020.</w:t>
      </w:r>
    </w:p>
    <w:p>
      <w:pPr>
        <w:spacing w:after="0" w:line="130" w:lineRule="exact"/>
        <w:rPr>
          <w:sz w:val="20"/>
          <w:szCs w:val="20"/>
          <w:color w:val="auto"/>
        </w:rPr>
      </w:pPr>
    </w:p>
    <w:p>
      <w:pPr>
        <w:ind w:left="580" w:right="32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$0.5 million, or 7.8%, from $6.4 million for the six months ended June 25, 2020 to $5.9 million in the six months ended July 1, 2021, as assets became fully depreciated.</w:t>
      </w:r>
    </w:p>
    <w:p>
      <w:pPr>
        <w:spacing w:after="0" w:line="116" w:lineRule="exact"/>
        <w:rPr>
          <w:sz w:val="20"/>
          <w:szCs w:val="20"/>
          <w:color w:val="auto"/>
        </w:rPr>
      </w:pPr>
    </w:p>
    <w:p>
      <w:pPr>
        <w:ind w:left="580" w:right="20"/>
        <w:spacing w:after="0" w:line="342" w:lineRule="auto"/>
        <w:rPr>
          <w:sz w:val="20"/>
          <w:szCs w:val="20"/>
          <w:color w:val="auto"/>
        </w:rPr>
      </w:pPr>
      <w:r>
        <w:rPr>
          <w:rFonts w:ascii="Arial" w:cs="Arial" w:eastAsia="Arial" w:hAnsi="Arial"/>
          <w:sz w:val="16"/>
          <w:szCs w:val="16"/>
          <w:u w:val="single" w:color="auto"/>
          <w:color w:val="auto"/>
        </w:rPr>
        <w:t>Amortization of intangibles recorded for network theater screen leases.</w:t>
      </w:r>
      <w:r>
        <w:rPr>
          <w:rFonts w:ascii="Arial" w:cs="Arial" w:eastAsia="Arial" w:hAnsi="Arial"/>
          <w:sz w:val="16"/>
          <w:szCs w:val="16"/>
          <w:color w:val="auto"/>
        </w:rPr>
        <w:t xml:space="preserve"> Amortization of intangibles recorded for network theater screen leases increased $0.1 million, or 0.8%, from $12.2 million for the six months ended June 25, 2020, to $12.3 million for the six months ended July 1, 2021.</w:t>
      </w:r>
    </w:p>
    <w:p>
      <w:pPr>
        <w:spacing w:after="0" w:line="70"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$3.7 million, or 13.6%, from $27.3 million for the six months ended June 25, 2020</w:t>
      </w:r>
      <w:r>
        <w:rPr>
          <w:rFonts w:ascii="Arial" w:cs="Arial" w:eastAsia="Arial" w:hAnsi="Arial"/>
          <w:sz w:val="18"/>
          <w:szCs w:val="18"/>
          <w:i w:val="1"/>
          <w:iCs w:val="1"/>
          <w:color w:val="auto"/>
        </w:rPr>
        <w:t xml:space="preserve"> </w:t>
      </w:r>
      <w:r>
        <w:rPr>
          <w:rFonts w:ascii="Arial" w:cs="Arial" w:eastAsia="Arial" w:hAnsi="Arial"/>
          <w:sz w:val="18"/>
          <w:szCs w:val="18"/>
          <w:color w:val="auto"/>
        </w:rPr>
        <w:t>to $31.0 million for the six months ended July 1, 2021. The following table shows the changes in non-operating expense for the six months ended July 1, 2021 and June 25, 2020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1,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25,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YTD 2021 to YTD 2020</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87"/>
              </w:rPr>
              <w:t>4.4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center"/>
              <w:ind w:left="833"/>
              <w:spacing w:after="0"/>
              <w:rPr>
                <w:sz w:val="20"/>
                <w:szCs w:val="20"/>
                <w:color w:val="auto"/>
              </w:rPr>
            </w:pPr>
            <w:r>
              <w:rPr>
                <w:rFonts w:ascii="Arial" w:cs="Arial" w:eastAsia="Arial" w:hAnsi="Arial"/>
                <w:sz w:val="18"/>
                <w:szCs w:val="18"/>
                <w:color w:val="auto"/>
                <w:w w:val="87"/>
              </w:rPr>
              <w:t>0.4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modification and retirement of debt, net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87"/>
              </w:rPr>
              <w:t>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166.7 %</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(Gain) loss on re-measurement of the</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tcPr>
          <w:p>
            <w:pPr>
              <w:ind w:left="160"/>
              <w:spacing w:after="0" w:line="176" w:lineRule="exact"/>
              <w:rPr>
                <w:sz w:val="20"/>
                <w:szCs w:val="20"/>
                <w:color w:val="auto"/>
              </w:rPr>
            </w:pPr>
            <w:r>
              <w:rPr>
                <w:rFonts w:ascii="Arial" w:cs="Arial" w:eastAsia="Arial" w:hAnsi="Arial"/>
                <w:sz w:val="18"/>
                <w:szCs w:val="18"/>
                <w:color w:val="auto"/>
              </w:rPr>
              <w:t>payable to founding members under the</w:t>
            </w:r>
          </w:p>
        </w:tc>
        <w:tc>
          <w:tcPr>
            <w:tcW w:w="12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restart"/>
          </w:tcPr>
          <w:p>
            <w:pPr>
              <w:jc w:val="center"/>
              <w:ind w:left="813"/>
              <w:spacing w:after="0"/>
              <w:rPr>
                <w:sz w:val="20"/>
                <w:szCs w:val="20"/>
                <w:color w:val="auto"/>
              </w:rPr>
            </w:pPr>
            <w:r>
              <w:rPr>
                <w:rFonts w:ascii="Arial" w:cs="Arial" w:eastAsia="Arial" w:hAnsi="Arial"/>
                <w:sz w:val="18"/>
                <w:szCs w:val="18"/>
                <w:color w:val="auto"/>
                <w:w w:val="97"/>
              </w:rPr>
              <w:t>(1.7)</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29"/>
        </w:trPr>
        <w:tc>
          <w:tcPr>
            <w:tcW w:w="4340" w:type="dxa"/>
            <w:vAlign w:val="bottom"/>
          </w:tcPr>
          <w:p>
            <w:pPr>
              <w:ind w:left="160"/>
              <w:spacing w:after="0"/>
              <w:rPr>
                <w:sz w:val="20"/>
                <w:szCs w:val="20"/>
                <w:color w:val="auto"/>
              </w:rPr>
            </w:pPr>
            <w:r>
              <w:rPr>
                <w:rFonts w:ascii="Arial" w:cs="Arial" w:eastAsia="Arial" w:hAnsi="Arial"/>
                <w:sz w:val="18"/>
                <w:szCs w:val="18"/>
                <w:color w:val="auto"/>
              </w:rPr>
              <w:t>tax receivable agreement</w:t>
            </w:r>
          </w:p>
        </w:tc>
        <w:tc>
          <w:tcPr>
            <w:tcW w:w="12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87"/>
              </w:rPr>
              <w:t>0.1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non-operating expenses</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31.0</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center"/>
              <w:ind w:left="833"/>
              <w:spacing w:after="0"/>
              <w:rPr>
                <w:sz w:val="20"/>
                <w:szCs w:val="20"/>
                <w:color w:val="auto"/>
              </w:rPr>
            </w:pPr>
            <w:r>
              <w:rPr>
                <w:rFonts w:ascii="Arial" w:cs="Arial" w:eastAsia="Arial" w:hAnsi="Arial"/>
                <w:sz w:val="18"/>
                <w:szCs w:val="18"/>
                <w:color w:val="auto"/>
                <w:w w:val="87"/>
              </w:rPr>
              <w:t>3.7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526"/>
        <w:spacing w:after="0" w:line="293" w:lineRule="auto"/>
        <w:rPr>
          <w:sz w:val="20"/>
          <w:szCs w:val="20"/>
          <w:color w:val="auto"/>
        </w:rPr>
      </w:pPr>
      <w:r>
        <w:rPr>
          <w:rFonts w:ascii="Arial" w:cs="Arial" w:eastAsia="Arial" w:hAnsi="Arial"/>
          <w:sz w:val="16"/>
          <w:szCs w:val="16"/>
          <w:color w:val="auto"/>
        </w:rPr>
        <w:t>The increase in non-operating expense was primarily due to a $4.4 million increase in interest on borrowings related to the issuance of the second tranche of the terms loans and the increase in the contracted interest rate on the initial tranche of the term loans and the revolving credit facility and a $0.5 million increase in the loss on modifications and retirements of debt, net resulting from the Credit Agreement Second Amendment entered into on March 8, 2021. These increases were partially offset by a $1.7 million increase in the gain on re-measurement of the payable to founding members under the Tax Receivable Agreement (“TRA”) due to a reduction in the payable to the founding members under the TRA following the recognition of certain deferred tax assets related to cancellation of debt income recognized for tax purposes in the first quarter of 2021 related to the Credit Agreement Second Amendment.</w:t>
      </w:r>
    </w:p>
    <w:p>
      <w:pPr>
        <w:spacing w:after="0" w:line="110" w:lineRule="exact"/>
        <w:rPr>
          <w:sz w:val="20"/>
          <w:szCs w:val="20"/>
          <w:color w:val="auto"/>
        </w:rPr>
      </w:pPr>
    </w:p>
    <w:p>
      <w:pPr>
        <w:ind w:right="60" w:firstLine="526"/>
        <w:spacing w:after="0" w:line="311"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decreased from income tax benefit of $4.6 million for the six months ended June 25, 2020 to $0.0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benefit for the six months ended July 1, 2021. The decrease in income tax benefit was primarily due to the full valuation allowance recorded against the Company’s deferred tax assets as of July 1, 2021 which reduced deferred tax expense to $0.0 million for the six months ended July 1, 2021.</w:t>
      </w:r>
    </w:p>
    <w:p>
      <w:pPr>
        <w:spacing w:after="0" w:line="95" w:lineRule="exact"/>
        <w:rPr>
          <w:sz w:val="20"/>
          <w:szCs w:val="20"/>
          <w:color w:val="auto"/>
        </w:rPr>
      </w:pPr>
    </w:p>
    <w:p>
      <w:pPr>
        <w:ind w:right="60" w:firstLine="526"/>
        <w:spacing w:after="0" w:line="311" w:lineRule="auto"/>
        <w:rPr>
          <w:sz w:val="20"/>
          <w:szCs w:val="20"/>
          <w:color w:val="auto"/>
        </w:rPr>
      </w:pPr>
      <w:r>
        <w:rPr>
          <w:rFonts w:ascii="Arial" w:cs="Arial" w:eastAsia="Arial" w:hAnsi="Arial"/>
          <w:sz w:val="16"/>
          <w:szCs w:val="16"/>
          <w:i w:val="1"/>
          <w:iCs w:val="1"/>
          <w:color w:val="auto"/>
        </w:rPr>
        <w:t>Net Loss</w:t>
      </w:r>
      <w:r>
        <w:rPr>
          <w:rFonts w:ascii="Arial" w:cs="Arial" w:eastAsia="Arial" w:hAnsi="Arial"/>
          <w:sz w:val="16"/>
          <w:szCs w:val="16"/>
          <w:color w:val="auto"/>
        </w:rPr>
        <w:t>. Net loss increased $24.6 million from net loss of $17.5 million for the six months ended June 25, 2020 to $42.1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1, 2021. The increase in net loss was due to a $39.0 million increase in operating loss, a $4.6 million decrease in income tax benefit and a $3.7 million increase in non-operating expense, partially offset by a $22.7 million increase in net loss attributable to noncontrolling interests.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100" w:firstLine="526"/>
        <w:spacing w:after="0" w:line="257" w:lineRule="auto"/>
        <w:rPr>
          <w:sz w:val="20"/>
          <w:szCs w:val="20"/>
          <w:color w:val="auto"/>
        </w:rPr>
      </w:pPr>
      <w:r>
        <w:rPr>
          <w:rFonts w:ascii="Arial" w:cs="Arial" w:eastAsia="Arial" w:hAnsi="Arial"/>
          <w:sz w:val="17"/>
          <w:szCs w:val="17"/>
          <w:b w:val="1"/>
          <w:bCs w:val="1"/>
          <w:i w:val="1"/>
          <w:iCs w:val="1"/>
          <w:color w:val="auto"/>
        </w:rPr>
        <w:t>COVID-19</w:t>
      </w:r>
      <w:r>
        <w:rPr>
          <w:rFonts w:ascii="Arial" w:cs="Arial" w:eastAsia="Arial" w:hAnsi="Arial"/>
          <w:sz w:val="17"/>
          <w:szCs w:val="17"/>
          <w:color w:val="auto"/>
        </w:rPr>
        <w:t>—As discussed within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section, due to the COVID-19 Pandemic certain theaters within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remained temporarily closed during the six months ended July 1, 2021 and the Company's ability to advertise within the opened theaters has been and will continue to be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are not incurred when theaters are closed and attendance-based fees will be reduced for the period of time that attendance is lower than historical levels.</w:t>
      </w:r>
    </w:p>
    <w:p>
      <w:pPr>
        <w:spacing w:after="0" w:line="67" w:lineRule="exact"/>
        <w:rPr>
          <w:sz w:val="20"/>
          <w:szCs w:val="20"/>
          <w:color w:val="auto"/>
        </w:rPr>
      </w:pPr>
    </w:p>
    <w:p>
      <w:pPr>
        <w:ind w:right="220" w:firstLine="526"/>
        <w:spacing w:after="0" w:line="286"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57" w:lineRule="exact"/>
        <w:rPr>
          <w:sz w:val="20"/>
          <w:szCs w:val="20"/>
          <w:color w:val="auto"/>
        </w:rPr>
      </w:pPr>
    </w:p>
    <w:p>
      <w:pPr>
        <w:ind w:right="60" w:firstLine="526"/>
        <w:spacing w:after="0" w:line="287" w:lineRule="auto"/>
        <w:rPr>
          <w:sz w:val="20"/>
          <w:szCs w:val="20"/>
          <w:color w:val="auto"/>
        </w:rPr>
      </w:pPr>
      <w:r>
        <w:rPr>
          <w:rFonts w:ascii="Arial" w:cs="Arial" w:eastAsia="Arial" w:hAnsi="Arial"/>
          <w:sz w:val="16"/>
          <w:szCs w:val="16"/>
          <w:b w:val="1"/>
          <w:bCs w:val="1"/>
          <w:i w:val="1"/>
          <w:iCs w:val="1"/>
          <w:color w:val="auto"/>
        </w:rPr>
        <w:t>Beverage Revenue</w:t>
      </w:r>
      <w:r>
        <w:rPr>
          <w:rFonts w:ascii="Arial" w:cs="Arial" w:eastAsia="Arial" w:hAnsi="Arial"/>
          <w:sz w:val="16"/>
          <w:szCs w:val="16"/>
          <w:color w:val="auto"/>
        </w:rPr>
        <w:t>—Under the ESAs, up to 90 seconds of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pre-show program can be sold to the founding members to satisfy their on-screen advertising commitments under their beverage concessionaire agreements. For the first three and six months of 2021 and 2020,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founding member’s theaters, limited to the highest advertising CPM being then-charged by NCM LLC. The CPM on our beverage concessionaire revenue related to AMC in 2021 did not change compared to 2020. Beginning in 2020 and in accordance with the 2019 ESA Amendments, the price for the time sold to Cinemark and Regal's beverage suppliers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3" w:name="page34"/>
    <w:bookmarkEnd w:id="33"/>
    <w:p>
      <w:pPr>
        <w:ind w:right="480"/>
        <w:spacing w:after="0" w:line="277" w:lineRule="auto"/>
        <w:rPr>
          <w:sz w:val="20"/>
          <w:szCs w:val="20"/>
          <w:color w:val="auto"/>
        </w:rPr>
      </w:pPr>
      <w:r>
        <w:rPr>
          <w:rFonts w:ascii="Arial" w:cs="Arial" w:eastAsia="Arial" w:hAnsi="Arial"/>
          <w:sz w:val="18"/>
          <w:szCs w:val="18"/>
          <w:color w:val="auto"/>
        </w:rPr>
        <w:t>instead increased at a fixed rate of 2.0%. Founding member attendance has been and may continue to be lower than historical levels following the re-opening of theaters due to the COVID-19 Pandemic, which could reduce the Company’s beverage revenue.</w:t>
      </w:r>
    </w:p>
    <w:p>
      <w:pPr>
        <w:spacing w:after="0" w:line="116" w:lineRule="exact"/>
        <w:rPr>
          <w:sz w:val="20"/>
          <w:szCs w:val="20"/>
          <w:color w:val="auto"/>
        </w:rPr>
      </w:pPr>
    </w:p>
    <w:p>
      <w:pPr>
        <w:ind w:right="40" w:firstLine="526"/>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NCM LLC’s access to the founding members’ theater attendees for on-screen advertising and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increasing 8% every five years beginning November 1, 2027. The Company does not owe the founding members any theater access fees when the theaters are closed. The digital screen fee is calculated based upon screens in use during each month. No digital screen fees will be incurred for the months where a screen is not in use and fees may be reduced for months where screens are in use for only part of the month. Further, founding member attendance has been and may continue to be lower than historical levels following the re-opening of theaters, which could reduce the Company’s theater access fees.</w:t>
      </w:r>
    </w:p>
    <w:p>
      <w:pPr>
        <w:spacing w:after="0" w:line="114" w:lineRule="exact"/>
        <w:rPr>
          <w:sz w:val="20"/>
          <w:szCs w:val="20"/>
          <w:color w:val="auto"/>
        </w:rPr>
      </w:pPr>
    </w:p>
    <w:p>
      <w:pPr>
        <w:ind w:right="300" w:firstLine="526"/>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25%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360" w:firstLine="526"/>
        <w:spacing w:after="0" w:line="279"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loans and the Notes due 2026 and Notes due 2028, income tax payments, TRA payments to NCM LLC’s founding members and amount of quarterly dividends to NCM, Inc.’s common stockholders.</w:t>
      </w:r>
    </w:p>
    <w:p>
      <w:pPr>
        <w:spacing w:after="0" w:line="117"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color w:val="242424"/>
        </w:rPr>
        <w:t>As discussed within the ‘</w:t>
      </w:r>
      <w:r>
        <w:rPr>
          <w:rFonts w:ascii="Arial" w:cs="Arial" w:eastAsia="Arial" w:hAnsi="Arial"/>
          <w:sz w:val="16"/>
          <w:szCs w:val="16"/>
          <w:i w:val="1"/>
          <w:iCs w:val="1"/>
          <w:color w:val="242424"/>
        </w:rPr>
        <w:t>Recent Developments</w:t>
      </w:r>
      <w:r>
        <w:rPr>
          <w:rFonts w:ascii="Arial" w:cs="Arial" w:eastAsia="Arial" w:hAnsi="Arial"/>
          <w:sz w:val="16"/>
          <w:szCs w:val="16"/>
          <w:color w:val="242424"/>
        </w:rPr>
        <w:t>’ section, due to the COVID-19 Pandemic, certain theaters within the Company’s network remained temporarily closed during the six months ended July 1, 2021 and the Company's ability to advertise within the reopened theaters has been and may continue to be limited due to lower than historical levels of attendance due in part to reduced movie schedules and patron capacities at many network theaters and the timing and frequency of major motion picture releases as compared to prior years due to the COVID-19 Pandemic. The Company will have limited cash receipts until attendance levels normalize and advertising revenue increases. Further, once the above conditions are met there will be a lag between when revenue is generated and when the Company ultimately collects the associated accounts receivable balance. The Company also had reduced cash payments during the period when theaters within the Company's network were closed or attendance levels were low as expenses related to theater attendance were either not incurred or incurred at lower levels (i.e. theater access fees, Platinum Spot revenue share and network affiliate revenue share payments). As 97.0% of the theaters within our network were open as of July 1, 2021, the screen-based portion of these expenses is expected to return to historical levels during the third quarter of 2021 and the attendance-based portion of these e</w:t>
      </w:r>
      <w:r>
        <w:rPr>
          <w:rFonts w:ascii="Arial" w:cs="Arial" w:eastAsia="Arial" w:hAnsi="Arial"/>
          <w:sz w:val="16"/>
          <w:szCs w:val="16"/>
          <w:color w:val="000000"/>
        </w:rPr>
        <w:t>xpenses is expected to increase as attendance increases</w:t>
      </w:r>
      <w:r>
        <w:rPr>
          <w:rFonts w:ascii="Arial" w:cs="Arial" w:eastAsia="Arial" w:hAnsi="Arial"/>
          <w:sz w:val="16"/>
          <w:szCs w:val="16"/>
          <w:color w:val="242424"/>
        </w:rPr>
        <w:t xml:space="preserve"> </w:t>
      </w:r>
      <w:r>
        <w:rPr>
          <w:rFonts w:ascii="Arial" w:cs="Arial" w:eastAsia="Arial" w:hAnsi="Arial"/>
          <w:sz w:val="16"/>
          <w:szCs w:val="16"/>
          <w:color w:val="000000"/>
        </w:rPr>
        <w:t>following the upcoming releases of many major motion pictures. The Company also implemented the following cost-saving measures in order to preserve cash at the start of the COVID-19 Pandemic, and those measures remain in place as of the filing date:</w:t>
      </w:r>
    </w:p>
    <w:p>
      <w:pPr>
        <w:spacing w:after="0" w:line="114" w:lineRule="exact"/>
        <w:rPr>
          <w:sz w:val="20"/>
          <w:szCs w:val="20"/>
          <w:color w:val="auto"/>
        </w:rPr>
      </w:pPr>
    </w:p>
    <w:p>
      <w:pPr>
        <w:ind w:left="660" w:right="2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six months ended July 1, 2021, 45%-75% of our current employee base continued to be furloughed or had salary reductions of up to 50%. Further, since the start of the COVID-19 Pandemic our total headcount has been reduced by over 30% from pre-COVID-19 Pandemic headcount levels.</w:t>
      </w:r>
    </w:p>
    <w:p>
      <w:pPr>
        <w:spacing w:after="0" w:line="21" w:lineRule="exact"/>
        <w:rPr>
          <w:rFonts w:ascii="Arial" w:cs="Arial" w:eastAsia="Arial" w:hAnsi="Arial"/>
          <w:sz w:val="18"/>
          <w:szCs w:val="18"/>
          <w:color w:val="auto"/>
        </w:rPr>
      </w:pPr>
    </w:p>
    <w:p>
      <w:pPr>
        <w:ind w:left="660" w:right="360" w:hanging="328"/>
        <w:spacing w:after="0" w:line="29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Temporarily reduced cash compensation of the Company's Board of Directors by 20% and offered the option for the Board to receive the cash retainers for the first, second and third quarter in equivalent value of the Company’s common stock in lieu of cash;</w:t>
      </w: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Suspended or curtailed certain non-essential operating expenditures, including marketing, research, employee travel and consulting services;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Strategically worked with our vendors, and other business partners to manage, defer, and/or abate certain costs during the disruptions caused by the COVID-19 Pandemic;</w:t>
      </w:r>
    </w:p>
    <w:p>
      <w:pPr>
        <w:spacing w:after="0" w:line="8" w:lineRule="exact"/>
        <w:rPr>
          <w:rFonts w:ascii="Arial" w:cs="Arial" w:eastAsia="Arial" w:hAnsi="Arial"/>
          <w:sz w:val="18"/>
          <w:szCs w:val="18"/>
          <w:color w:val="auto"/>
        </w:rPr>
      </w:pPr>
    </w:p>
    <w:p>
      <w:pPr>
        <w:ind w:left="660" w:right="140" w:hanging="328"/>
        <w:spacing w:after="0" w:line="305"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Decreased our quarterly dividend to $0.07 per share for the first three quarters of 2020 and to $0.05 for the fourth quarter of 2020 and first and second quarters of 2021 from $0.19 per share in the fourth quarter of 2019. When compared to the first quarter of 2020 this results in a cash savings of $10.8 million in the second quarter of 2021 and cash savings of $52.4 million for NCM, Inc. since the beginning of the pandemic;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Introduced an active cash management process, which, among other things, requires CEO approval of all outgoing payments.</w:t>
      </w:r>
    </w:p>
    <w:p>
      <w:pPr>
        <w:spacing w:after="0" w:line="104" w:lineRule="exact"/>
        <w:rPr>
          <w:sz w:val="20"/>
          <w:szCs w:val="20"/>
          <w:color w:val="auto"/>
        </w:rPr>
      </w:pPr>
    </w:p>
    <w:p>
      <w:pPr>
        <w:ind w:right="120" w:firstLine="526"/>
        <w:spacing w:after="0" w:line="258" w:lineRule="auto"/>
        <w:rPr>
          <w:sz w:val="20"/>
          <w:szCs w:val="20"/>
          <w:color w:val="auto"/>
        </w:rPr>
      </w:pPr>
      <w:r>
        <w:rPr>
          <w:rFonts w:ascii="Arial" w:cs="Arial" w:eastAsia="Arial" w:hAnsi="Arial"/>
          <w:sz w:val="16"/>
          <w:szCs w:val="16"/>
          <w:color w:val="auto"/>
        </w:rPr>
        <w:t>Due to the future market uncertainties and in order to provide additional liquidity while revenue levels build and accounts receivable balances are collected, the Board of Directors of NCM, Inc. and required NCM LLC founding members approved the material terms of a $20 million unsecured revolving loan agreement between NCM Inc. and NCM LLC. Borrowings by NCM LLC will be available from October 1, 2021 through March 31, 2022. The final definitive loan agreement will be approved by the Audit Committee of NCM, Inc. and is expected to be completed in the third quarter of 2021. Once entered into, this revolving loan facility will provide NCM LLC with short-term working capital loans as NCM LLC rebuilds its advertising revenue base and collects related accounts receivable and will provide additional cushion with respect to the NCM LLC debt covenants.</w:t>
      </w:r>
    </w:p>
    <w:p>
      <w:pPr>
        <w:spacing w:after="0" w:line="69"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color w:val="auto"/>
        </w:rPr>
        <w:t>In March 2020, we drew down an additional $110.0 million on our revolving credit facility and in March 2021 we received $43.0 million in proceeds under incremental term loans that mature on December 20, 2024. The $98.2 million of cash at NCM LLC as of July 1, 2021 will be used to fund operations during the period of expected reduced cash flows. Cash at NCM, Inc. is held for future payment of dividends to NCM, Inc. shareholders, income tax payments, income tax receivable payments to NCM LLC’s founding members and other obligations.</w:t>
      </w:r>
    </w:p>
    <w:p>
      <w:pPr>
        <w:spacing w:after="0" w:line="65" w:lineRule="exact"/>
        <w:rPr>
          <w:sz w:val="20"/>
          <w:szCs w:val="20"/>
          <w:color w:val="auto"/>
        </w:rPr>
      </w:pPr>
    </w:p>
    <w:p>
      <w:pPr>
        <w:ind w:right="200" w:firstLine="526"/>
        <w:spacing w:after="0" w:line="228" w:lineRule="auto"/>
        <w:rPr>
          <w:sz w:val="20"/>
          <w:szCs w:val="20"/>
          <w:color w:val="auto"/>
        </w:rPr>
      </w:pPr>
      <w:r>
        <w:rPr>
          <w:rFonts w:ascii="Arial" w:cs="Arial" w:eastAsia="Arial" w:hAnsi="Arial"/>
          <w:sz w:val="18"/>
          <w:szCs w:val="18"/>
          <w:color w:val="auto"/>
        </w:rPr>
        <w:t>In accordance with the Credit Agreement amendment entered into on April 30, 2020 (“the Credit Agreement First Amendment”) and the Credit Agreement Second Amendment, for the period beginning in the second quarter of 2020 through the date that NCM LLC delivers a compliance certificate for the third quarter of 2022, NCM LLC must maintain a minimum liquidity balance of $55.0 million consisting of a combination of unrestricted cash on hand and availability under NCM LLC's revolving credit facility. As of July 1, 2021, NCM LLC was in compliance with the requirements of the Credit Agreement, as amended.</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July 1, 2021</w:t>
            </w:r>
          </w:p>
        </w:tc>
        <w:tc>
          <w:tcPr>
            <w:tcW w:w="12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25, 2020</w:t>
            </w:r>
          </w:p>
        </w:tc>
        <w:tc>
          <w:tcPr>
            <w:tcW w:w="120" w:type="dxa"/>
            <w:vAlign w:val="bottom"/>
          </w:tcPr>
          <w:p>
            <w:pPr>
              <w:spacing w:after="0"/>
              <w:rPr>
                <w:sz w:val="11"/>
                <w:szCs w:val="11"/>
                <w:color w:val="auto"/>
              </w:rPr>
            </w:pPr>
          </w:p>
        </w:tc>
        <w:tc>
          <w:tcPr>
            <w:tcW w:w="10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Q2 2021 to YE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4"/>
              </w:rPr>
              <w:t>Q2 2021 to Q2</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NCM LLC revolver availability </w:t>
            </w:r>
            <w:r>
              <w:rPr>
                <w:rFonts w:ascii="Arial" w:cs="Arial" w:eastAsia="Arial" w:hAnsi="Arial"/>
                <w:sz w:val="18"/>
                <w:szCs w:val="18"/>
                <w:i w:val="1"/>
                <w:iCs w:val="1"/>
                <w:color w:val="auto"/>
              </w:rPr>
              <w:t>(2)</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340" w:right="220" w:hanging="332"/>
        <w:spacing w:after="0" w:line="255" w:lineRule="auto"/>
        <w:tabs>
          <w:tab w:leader="none" w:pos="334"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July 1, 2021, December 31, 2020 and June 25, 2020, was $98.2 million, $123.9 million and $168.1 million, respectively, of cash held by NCM LLC that is not available to satisfy dividends declared by NCM, Inc., income tax, tax receivable payments to NCM LLC’s founding members and other obligations.</w:t>
      </w:r>
    </w:p>
    <w:p>
      <w:pPr>
        <w:spacing w:after="0" w:line="2" w:lineRule="exact"/>
        <w:rPr>
          <w:rFonts w:ascii="Arial" w:cs="Arial" w:eastAsia="Arial" w:hAnsi="Arial"/>
          <w:sz w:val="18"/>
          <w:szCs w:val="18"/>
          <w:i w:val="1"/>
          <w:iCs w:val="1"/>
          <w:color w:val="auto"/>
        </w:rPr>
      </w:pPr>
    </w:p>
    <w:p>
      <w:pPr>
        <w:jc w:val="both"/>
        <w:ind w:left="340" w:right="40" w:hanging="332"/>
        <w:spacing w:after="0" w:line="281" w:lineRule="auto"/>
        <w:tabs>
          <w:tab w:leader="none" w:pos="334"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July 1, 2021, December 31, 2020 and June 25, 2020.</w:t>
      </w:r>
    </w:p>
    <w:p>
      <w:pPr>
        <w:spacing w:after="0" w:line="1" w:lineRule="exact"/>
        <w:rPr>
          <w:rFonts w:ascii="Arial" w:cs="Arial" w:eastAsia="Arial" w:hAnsi="Arial"/>
          <w:sz w:val="16"/>
          <w:szCs w:val="16"/>
          <w:i w:val="1"/>
          <w:iCs w:val="1"/>
          <w:color w:val="auto"/>
        </w:rPr>
      </w:pPr>
    </w:p>
    <w:p>
      <w:pPr>
        <w:jc w:val="both"/>
        <w:ind w:left="340" w:right="18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As of July 1, 2021, December 31, 2020 and June 25, 2020, the amount available under the NCM LLC revolving credit facility in the table above was net of the amount outstanding under the revolving credit facility of $167.0 million, $167.0 million and $167.0 million, respectively, and net letters of credit of $2.4 million, $3.6 million and $3.6 million, respectively.</w:t>
      </w:r>
    </w:p>
    <w:p>
      <w:pPr>
        <w:spacing w:after="0" w:line="136"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As of July 1, 2021, the weighted average remaining maturity of our debt was 4.9 years. As of July 1, 2021, approximately 57% of our total borrowings bear interest at fixed rates. The remaining 43% of our borrowings bear interest at variable rates and our net income and earnings per share could fluctuate with market interest rate fluctuations that could increase or decrease the interest paid on our borrowings.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and generated cash as follows (in millions):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tbl>
      <w:tblPr>
        <w:tblLayout w:type="fixed"/>
        <w:tblInd w:w="66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2021</w:t>
            </w:r>
          </w:p>
        </w:tc>
        <w:tc>
          <w:tcPr>
            <w:tcW w:w="18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June 25, 2020</w:t>
            </w:r>
          </w:p>
        </w:tc>
      </w:tr>
      <w:tr>
        <w:trPr>
          <w:trHeight w:val="224"/>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bl>
    <w:p>
      <w:pPr>
        <w:spacing w:after="0" w:line="229" w:lineRule="exact"/>
        <w:rPr>
          <w:sz w:val="20"/>
          <w:szCs w:val="20"/>
          <w:color w:val="auto"/>
        </w:rPr>
      </w:pPr>
    </w:p>
    <w:p>
      <w:pPr>
        <w:ind w:left="1060" w:hanging="404"/>
        <w:spacing w:after="0" w:line="289" w:lineRule="auto"/>
        <w:tabs>
          <w:tab w:leader="none" w:pos="1055"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$169.0 million increase in cash used in operating activities for the six months ended July 1, 2021,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25, 2020 was primarily due to a $142.9 million decrease in accounts receivable collections during the six months ended July 1, 2021, as compared to the six months ended June 25, 2020, a $47.3 million increase in consolidated net loss and a $9.6 million decrease in founding member integration and other encumbered theater payments. These decreases were due to the temporary closure of the theaters within our network in response to the COVID-19 Pandemic resulting in significantly decreased revenue and negative Adjusted OIBDA, from which integration payments are calculated. These decreased cash inflows were partially offset by a $18.9 million decrease in accounts payable and accrued expenses payments due in part to the cash preservation actions taken by the Company to mitigate the impact of the COVID-19 Pandemic and an $8.5 million increase in amounts due to founding members for the six months ended July 1, 2021, as compared to the six months ended June 25, 2020 due to the increase in theater access fees, net of beverage discussed above.</w:t>
      </w:r>
    </w:p>
    <w:p>
      <w:pPr>
        <w:spacing w:after="0" w:line="112" w:lineRule="exact"/>
        <w:rPr>
          <w:rFonts w:ascii="Arial" w:cs="Arial" w:eastAsia="Arial" w:hAnsi="Arial"/>
          <w:sz w:val="16"/>
          <w:szCs w:val="16"/>
          <w:color w:val="auto"/>
        </w:rPr>
      </w:pPr>
    </w:p>
    <w:p>
      <w:pPr>
        <w:ind w:left="1100" w:right="120" w:hanging="404"/>
        <w:spacing w:after="0" w:line="301" w:lineRule="auto"/>
        <w:tabs>
          <w:tab w:leader="none" w:pos="1095" w:val="left"/>
        </w:tabs>
        <w:numPr>
          <w:ilvl w:val="1"/>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$18.4 million increase in cash used in investing activities for the six months ended July 1, 2021,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25, 2020 was primarily due to a $20.7 million decrease in proceeds from the sale of marketable securities, net of purchases. This decrease was partially offset by a $2.3 million decrease in purchases of property and equipment in 2021, compared to 2020 due to the cash preservation actions taken by the Company to mitigate the impact of the COVID-19 Pandemic.</w:t>
      </w:r>
    </w:p>
    <w:p>
      <w:pPr>
        <w:spacing w:after="0" w:line="103" w:lineRule="exact"/>
        <w:rPr>
          <w:rFonts w:ascii="Arial" w:cs="Arial" w:eastAsia="Arial" w:hAnsi="Arial"/>
          <w:sz w:val="16"/>
          <w:szCs w:val="16"/>
          <w:color w:val="auto"/>
        </w:rPr>
      </w:pPr>
    </w:p>
    <w:p>
      <w:pPr>
        <w:ind w:left="1100" w:right="40" w:hanging="404"/>
        <w:spacing w:after="0" w:line="291" w:lineRule="auto"/>
        <w:tabs>
          <w:tab w:leader="none" w:pos="1095" w:val="left"/>
        </w:tabs>
        <w:numPr>
          <w:ilvl w:val="1"/>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$35.0 million decrease in cash provided by financing activities for the six months ended July 1, 2021,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six months ended June 25, 2020 was primarily due to a $128.0 million decrease in proceeds from the revolving credit facility, net of repayments, and a $5.5 million increase in the payment of debt issuance costs related to Credit Agreement Second Amendment executed in the first quarter of 2021. These decreases were partially offset by a $50.0 million increase in the issuance of term loans, a $36.8 million decrease in distributions to founding members in the six months ended July 1, 2021, compared to the six months ended June 25, 2020, and a $12.2 million decrease in dividends paid related to the decrease in the dividend amounts declared from $0.26 per share during the six months ended June 25, 2020 to $0.10 per share during the six months ended July 1, 2021.</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right="240" w:firstLine="526"/>
        <w:spacing w:after="0" w:line="254"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its existing cash balances and marketable securities, which as of July 1, 2021 were $50.8 million (excluding $98.2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and received net proceeds of $43.0 million from incremental terms loans in March 2021 in order to supplement the decrease in cash provided by operating activities during the period during which a portion or all of our network theaters are closed. The $98.2 million of cash at NCM LLC will be used to fund operations during the period of expected reduced cash flows. Cash at NCM, Inc. is used to fund income taxes, payments associated with the TRA with the founding members and for future payment of dividends to NCM, Inc. shareholders.</w:t>
      </w:r>
    </w:p>
    <w:p>
      <w:pPr>
        <w:spacing w:after="0" w:line="84" w:lineRule="exact"/>
        <w:rPr>
          <w:sz w:val="20"/>
          <w:szCs w:val="20"/>
          <w:color w:val="auto"/>
        </w:rPr>
      </w:pPr>
    </w:p>
    <w:p>
      <w:pPr>
        <w:ind w:right="40" w:firstLine="526"/>
        <w:spacing w:after="0" w:line="269" w:lineRule="auto"/>
        <w:rPr>
          <w:sz w:val="20"/>
          <w:szCs w:val="20"/>
          <w:color w:val="auto"/>
        </w:rPr>
      </w:pPr>
      <w:r>
        <w:rPr>
          <w:rFonts w:ascii="Arial" w:cs="Arial" w:eastAsia="Arial" w:hAnsi="Arial"/>
          <w:sz w:val="17"/>
          <w:szCs w:val="17"/>
          <w:color w:val="auto"/>
        </w:rPr>
        <w:t>Cash flows generated by NCM LLC’s distributions to NCM, Inc. and the founding members will be impacted by the temporary closure of our network theaters and may be deferred through the quarter ending September 29, 2022 or longer if NCM LLC is not in compliance with the following limitations: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 NCM LLC is required pursuant to the terms of the NCM LLC Operating Agreement to distribute its available cash, as defined in the operating agreement, unless prohibited by NCM LLC's Credit Agreement, quarterly to its members (Regal, Cinemark and NCM, Inc.). The available cash distribution to the members of NCM LLC for the three months ended July 1, 2021 was calculated as approximately negative $39.2 million, of which NCM, Inc.'s share is approximately negative $18.9 million. The available cash distribution to the members of NCM LLC for the six months ended July 1, 2021 was calculated as approximately negative $70.1 million, of which NCM, Inc.'s share is approximately negative $33.8 million. Further there was $85.9 million of negative available cash generated during 2020. Pursuant to the NCM LLC Operating Agreement and the Credit Agreement amendments, there will be no available cash distributions made for the third quarter of 2021. Negative available cash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p>
      <w:pPr>
        <w:ind w:right="40"/>
        <w:spacing w:after="0" w:line="259" w:lineRule="auto"/>
        <w:rPr>
          <w:sz w:val="20"/>
          <w:szCs w:val="20"/>
          <w:color w:val="auto"/>
        </w:rPr>
      </w:pPr>
      <w:r>
        <w:rPr>
          <w:rFonts w:ascii="Arial" w:cs="Arial" w:eastAsia="Arial" w:hAnsi="Arial"/>
          <w:sz w:val="18"/>
          <w:szCs w:val="18"/>
          <w:color w:val="auto"/>
        </w:rPr>
        <w:t>distributions for the first and second quarter of 2021 and the negative available cash from 2020 are expected to be netted in accordance with the NCM LLC Operating Agreement against future positive available cash distributions after the Extended Covenant Waiver Holiday, contingent upon the Company's compliance with the covenants outlined within the Credit Agreement Second Amendment defined within Note 6—</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in accordance with the NCM LLC Operating Agreement.</w:t>
      </w:r>
    </w:p>
    <w:p>
      <w:pPr>
        <w:spacing w:after="0" w:line="79"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NCM, Inc. expects to use its cash balances and cash received from future available cash distributions (as allowed for under the Amended Credit Agreement) to fund income taxes, pay associated with the TRA with the founding members, fund the unsecured revolving loan to NCM LLC, and pay current and future dividends as declared by the Board of Directors, including a dividend declared on August 9, 2021 of $0.05 per share (approximately $4.1 million) on each share of the Company’s common stock (not including outstanding restricted stock) to stockholders of record on August 23, 2021 to be paid on September 6, 2021. These items should be sufficient to fund payments associated with the TRA with the founding members, income taxes and its quarterly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consider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restrictions under the NCM LLC Credit Agreement and the current availability and funding of the unsecured revolving loan agreement between NCM Inc. and NCM LLC.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80" w:firstLine="52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31, 2020 and incorporated by reference herein. As of July 1, 2021, there were no significant changes in those critical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0" w:firstLine="52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140" w:firstLine="52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Part I, Item 1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60" w:firstLine="526"/>
        <w:spacing w:after="0" w:line="277" w:lineRule="auto"/>
        <w:rPr>
          <w:sz w:val="20"/>
          <w:szCs w:val="20"/>
          <w:color w:val="auto"/>
        </w:rPr>
      </w:pPr>
      <w:r>
        <w:rPr>
          <w:rFonts w:ascii="Arial" w:cs="Arial" w:eastAsia="Arial" w:hAnsi="Arial"/>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75" w:lineRule="exact"/>
        <w:rPr>
          <w:sz w:val="20"/>
          <w:szCs w:val="20"/>
          <w:color w:val="auto"/>
        </w:rPr>
      </w:pPr>
    </w:p>
    <w:p>
      <w:pPr>
        <w:ind w:right="300" w:firstLine="526"/>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Contractual and Other Obligations” contained in our annual report on Form 10-K for the fiscal year ended December 31, 2020 and incorporated by reference herein. There were no material changes to our contractual obligations during the six months ended July 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140" w:firstLine="526"/>
        <w:spacing w:after="0" w:line="259" w:lineRule="auto"/>
        <w:rPr>
          <w:sz w:val="20"/>
          <w:szCs w:val="20"/>
          <w:color w:val="auto"/>
        </w:rPr>
      </w:pPr>
      <w:r>
        <w:rPr>
          <w:rFonts w:ascii="Arial" w:cs="Arial" w:eastAsia="Arial" w:hAnsi="Arial"/>
          <w:sz w:val="18"/>
          <w:szCs w:val="18"/>
          <w:color w:val="auto"/>
        </w:rPr>
        <w:t>The primary market risk to which we are exposed is interest rate risk. The Notes due 2026 and the Notes due 2028 are at fixed rates, and therefore are not subject to market risk. As of July 1, 2021, the only interest rate risk that we are exposed to is related to our $175.0 million revolving credit facility and our term loans. A 100-basis point fluctuation in market interest rates underlying our term loans and revolving credit facility would have the effect of increasing or decreasing our cash interest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7" w:name="page38"/>
    <w:bookmarkEnd w:id="37"/>
    <w:p>
      <w:pPr>
        <w:ind w:right="340"/>
        <w:spacing w:after="0" w:line="277" w:lineRule="auto"/>
        <w:rPr>
          <w:sz w:val="20"/>
          <w:szCs w:val="20"/>
          <w:color w:val="auto"/>
        </w:rPr>
      </w:pPr>
      <w:r>
        <w:rPr>
          <w:rFonts w:ascii="Arial" w:cs="Arial" w:eastAsia="Arial" w:hAnsi="Arial"/>
          <w:sz w:val="18"/>
          <w:szCs w:val="18"/>
          <w:color w:val="auto"/>
        </w:rPr>
        <w:t>expense by approximately $4.8 million for an annual period on the $167.0 million revolving credit balance, $261.9 million term loan and $49.9 million incremental term loan outstanding as of July 1, 2021.</w:t>
      </w:r>
    </w:p>
    <w:p>
      <w:pPr>
        <w:spacing w:after="0" w:line="116" w:lineRule="exact"/>
        <w:rPr>
          <w:sz w:val="20"/>
          <w:szCs w:val="20"/>
          <w:color w:val="auto"/>
        </w:rPr>
      </w:pPr>
    </w:p>
    <w:p>
      <w:pPr>
        <w:ind w:right="60" w:firstLine="526"/>
        <w:spacing w:after="0" w:line="342" w:lineRule="auto"/>
        <w:rPr>
          <w:sz w:val="20"/>
          <w:szCs w:val="20"/>
          <w:color w:val="auto"/>
        </w:rPr>
      </w:pPr>
      <w:r>
        <w:rPr>
          <w:rFonts w:ascii="Arial" w:cs="Arial" w:eastAsia="Arial" w:hAnsi="Arial"/>
          <w:sz w:val="16"/>
          <w:szCs w:val="16"/>
          <w:color w:val="auto"/>
        </w:rPr>
        <w:t>In response to the COVID-19 Pandemic, the government lowered the Federal Reserve interest rate leading to historically low interest rates as of July 1, 2021 that has had the effect of reducing the Company's interest rate risk. If interest rates increase, this will increase the Company’s interest rate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60" w:firstLine="526"/>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and financial officer), as appropriate, to allow timely decisions regarding required disclosure.</w:t>
      </w:r>
    </w:p>
    <w:p>
      <w:pPr>
        <w:spacing w:after="0" w:line="66" w:lineRule="exact"/>
        <w:rPr>
          <w:sz w:val="20"/>
          <w:szCs w:val="20"/>
          <w:color w:val="auto"/>
        </w:rPr>
      </w:pPr>
    </w:p>
    <w:p>
      <w:pPr>
        <w:ind w:right="40" w:firstLine="526"/>
        <w:spacing w:after="0" w:line="259" w:lineRule="auto"/>
        <w:rPr>
          <w:sz w:val="20"/>
          <w:szCs w:val="20"/>
          <w:color w:val="auto"/>
        </w:rPr>
      </w:pPr>
      <w:r>
        <w:rPr>
          <w:rFonts w:ascii="Arial" w:cs="Arial" w:eastAsia="Arial" w:hAnsi="Arial"/>
          <w:sz w:val="18"/>
          <w:szCs w:val="18"/>
          <w:color w:val="auto"/>
        </w:rPr>
        <w:t>Management, with the participation of the Chief Executive Officer, performed an evaluation of the effectiveness of the Company’s disclosure controls and procedures pursuant to Rules 13a-15(e) and 15d-15(e) of the Exchange Act as of July 1, 2021, the end of the period covered by this Quarterly Report on Form 10-Q. Based on such evaluation, the Company’s Chief Executive Officer concluded that the Company’s disclosure controls and procedures as of July 1, 2021 were effective.</w:t>
      </w:r>
    </w:p>
    <w:p>
      <w:pPr>
        <w:spacing w:after="0" w:line="52" w:lineRule="exact"/>
        <w:rPr>
          <w:sz w:val="20"/>
          <w:szCs w:val="20"/>
          <w:color w:val="auto"/>
        </w:rPr>
      </w:pPr>
    </w:p>
    <w:p>
      <w:pPr>
        <w:ind w:right="400" w:firstLine="52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80" w:firstLine="526"/>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July 1, 2021 that have materially affected, or are reasonably likely to materially affect, our internal control over financial reporting.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580" w:firstLine="52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8, 2021 for the fiscal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4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500" w:type="dxa"/>
            <w:vAlign w:val="bottom"/>
            <w:gridSpan w:val="2"/>
            <w:vMerge w:val="restart"/>
          </w:tcPr>
          <w:p>
            <w:pPr>
              <w:jc w:val="center"/>
              <w:ind w:left="776"/>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Average Price Paid</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4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3560" w:type="dxa"/>
            <w:vAlign w:val="bottom"/>
            <w:gridSpan w:val="3"/>
            <w:vMerge w:val="restart"/>
          </w:tcPr>
          <w:p>
            <w:pPr>
              <w:ind w:left="1740"/>
              <w:spacing w:after="0"/>
              <w:rPr>
                <w:sz w:val="20"/>
                <w:szCs w:val="20"/>
                <w:color w:val="auto"/>
              </w:rPr>
            </w:pPr>
            <w:r>
              <w:rPr>
                <w:rFonts w:ascii="Arial" w:cs="Arial" w:eastAsia="Arial" w:hAnsi="Arial"/>
                <w:sz w:val="14"/>
                <w:szCs w:val="14"/>
                <w:b w:val="1"/>
                <w:bCs w:val="1"/>
                <w:color w:val="auto"/>
              </w:rPr>
              <w:t>Period</w:t>
            </w:r>
          </w:p>
        </w:tc>
        <w:tc>
          <w:tcPr>
            <w:tcW w:w="2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4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3560" w:type="dxa"/>
            <w:vAlign w:val="bottom"/>
            <w:gridSpan w:val="3"/>
            <w:vMerge w:val="continue"/>
          </w:tcPr>
          <w:p>
            <w:pPr>
              <w:spacing w:after="0"/>
              <w:rPr>
                <w:sz w:val="16"/>
                <w:szCs w:val="16"/>
                <w:color w:val="auto"/>
              </w:rPr>
            </w:pPr>
          </w:p>
        </w:tc>
        <w:tc>
          <w:tcPr>
            <w:tcW w:w="2500" w:type="dxa"/>
            <w:vAlign w:val="bottom"/>
            <w:gridSpan w:val="2"/>
          </w:tcPr>
          <w:p>
            <w:pPr>
              <w:jc w:val="center"/>
              <w:ind w:left="776"/>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24"/>
        </w:trPr>
        <w:tc>
          <w:tcPr>
            <w:tcW w:w="4200" w:type="dxa"/>
            <w:vAlign w:val="bottom"/>
            <w:tcBorders>
              <w:top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April 2, 2021 through April 29,2021</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April 30, 2021 through May 27, 2021</w:t>
            </w:r>
          </w:p>
        </w:tc>
        <w:tc>
          <w:tcPr>
            <w:tcW w:w="2400" w:type="dxa"/>
            <w:vAlign w:val="bottom"/>
          </w:tcPr>
          <w:p>
            <w:pPr>
              <w:jc w:val="right"/>
              <w:spacing w:after="0"/>
              <w:rPr>
                <w:sz w:val="20"/>
                <w:szCs w:val="20"/>
                <w:color w:val="auto"/>
              </w:rPr>
            </w:pPr>
            <w:r>
              <w:rPr>
                <w:rFonts w:ascii="Arial" w:cs="Arial" w:eastAsia="Arial" w:hAnsi="Arial"/>
                <w:sz w:val="18"/>
                <w:szCs w:val="18"/>
                <w:color w:val="auto"/>
              </w:rPr>
              <w:t>60,540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ind w:left="11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May 28, 2021 through July 1, 2021</w:t>
            </w: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00" w:type="dxa"/>
            <w:vAlign w:val="bottom"/>
            <w:gridSpan w:val="4"/>
          </w:tcPr>
          <w:p>
            <w:pPr>
              <w:ind w:left="540"/>
              <w:spacing w:after="0"/>
              <w:rPr>
                <w:sz w:val="20"/>
                <w:szCs w:val="20"/>
                <w:color w:val="auto"/>
              </w:rPr>
            </w:pPr>
            <w:r>
              <w:rPr>
                <w:rFonts w:ascii="Arial" w:cs="Arial" w:eastAsia="Arial" w:hAnsi="Arial"/>
                <w:sz w:val="18"/>
                <w:szCs w:val="18"/>
                <w:color w:val="auto"/>
              </w:rPr>
              <w:t>None.</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Item 4. Mine Safety Disclosures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6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tcPr>
          <w:p>
            <w:pPr>
              <w:jc w:val="right"/>
              <w:ind w:right="79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ind w:left="5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Reference</w:t>
            </w:r>
          </w:p>
        </w:tc>
        <w:tc>
          <w:tcPr>
            <w:tcW w:w="834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(1)</w:t>
            </w:r>
          </w:p>
        </w:tc>
        <w:tc>
          <w:tcPr>
            <w:tcW w:w="300" w:type="dxa"/>
            <w:vAlign w:val="bottom"/>
          </w:tcPr>
          <w:p>
            <w:pPr>
              <w:spacing w:after="0"/>
              <w:rPr>
                <w:sz w:val="24"/>
                <w:szCs w:val="24"/>
                <w:color w:val="auto"/>
              </w:rPr>
            </w:pPr>
          </w:p>
        </w:tc>
        <w:tc>
          <w:tcPr>
            <w:tcW w:w="8340" w:type="dxa"/>
            <w:vAlign w:val="bottom"/>
            <w:gridSpan w:val="10"/>
          </w:tcPr>
          <w:p>
            <w:pPr>
              <w:spacing w:after="0"/>
              <w:rPr>
                <w:rFonts w:ascii="Arial" w:cs="Arial" w:eastAsia="Arial" w:hAnsi="Arial"/>
                <w:sz w:val="18"/>
                <w:szCs w:val="18"/>
                <w:color w:val="0000FF"/>
              </w:rPr>
            </w:pPr>
            <w:hyperlink r:id="rId61">
              <w:r>
                <w:rPr>
                  <w:rFonts w:ascii="Arial" w:cs="Arial" w:eastAsia="Arial" w:hAnsi="Arial"/>
                  <w:sz w:val="18"/>
                  <w:szCs w:val="18"/>
                  <w:color w:val="0000FF"/>
                </w:rPr>
                <w:t>Amendment No. 2 to the Employment Agreement with Scott Felenstein</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(2)</w:t>
            </w:r>
          </w:p>
        </w:tc>
        <w:tc>
          <w:tcPr>
            <w:tcW w:w="300" w:type="dxa"/>
            <w:vAlign w:val="bottom"/>
          </w:tcPr>
          <w:p>
            <w:pPr>
              <w:spacing w:after="0"/>
              <w:rPr>
                <w:sz w:val="18"/>
                <w:szCs w:val="18"/>
                <w:color w:val="auto"/>
              </w:rPr>
            </w:pPr>
          </w:p>
        </w:tc>
        <w:tc>
          <w:tcPr>
            <w:tcW w:w="8340" w:type="dxa"/>
            <w:vAlign w:val="bottom"/>
            <w:gridSpan w:val="1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Transition, Separation and Release of Claims Agreement dated June 9, 2021, by and between National CineMedia,</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Inc. and Clifford E. Marks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(3)</w:t>
            </w:r>
          </w:p>
        </w:tc>
        <w:tc>
          <w:tcPr>
            <w:tcW w:w="300" w:type="dxa"/>
            <w:vAlign w:val="bottom"/>
          </w:tcPr>
          <w:p>
            <w:pPr>
              <w:spacing w:after="0"/>
              <w:rPr>
                <w:sz w:val="18"/>
                <w:szCs w:val="18"/>
                <w:color w:val="auto"/>
              </w:rPr>
            </w:pPr>
          </w:p>
        </w:tc>
        <w:tc>
          <w:tcPr>
            <w:tcW w:w="7740" w:type="dxa"/>
            <w:vAlign w:val="bottom"/>
            <w:tcBorders>
              <w:bottom w:val="single" w:sz="8" w:color="0000FF"/>
            </w:tcBorders>
            <w:gridSpan w:val="7"/>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Consulting Agreement, dated June 9, 2021, by and between National CineMedia, Inc. and CMarksCo, LLC</w:t>
              </w:r>
            </w:hyperlink>
          </w:p>
        </w:tc>
        <w:tc>
          <w:tcPr>
            <w:tcW w:w="600" w:type="dxa"/>
            <w:vAlign w:val="bottom"/>
            <w:gridSpan w:val="3"/>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(4)</w:t>
            </w:r>
          </w:p>
        </w:tc>
        <w:tc>
          <w:tcPr>
            <w:tcW w:w="300" w:type="dxa"/>
            <w:vAlign w:val="bottom"/>
          </w:tcPr>
          <w:p>
            <w:pPr>
              <w:spacing w:after="0"/>
              <w:rPr>
                <w:sz w:val="18"/>
                <w:szCs w:val="18"/>
                <w:color w:val="auto"/>
              </w:rPr>
            </w:pPr>
          </w:p>
        </w:tc>
        <w:tc>
          <w:tcPr>
            <w:tcW w:w="8340" w:type="dxa"/>
            <w:vAlign w:val="bottom"/>
            <w:gridSpan w:val="10"/>
          </w:tcPr>
          <w:p>
            <w:pPr>
              <w:spacing w:after="0"/>
              <w:rPr>
                <w:rFonts w:ascii="Arial" w:cs="Arial" w:eastAsia="Arial" w:hAnsi="Arial"/>
                <w:sz w:val="18"/>
                <w:szCs w:val="18"/>
                <w:color w:val="0000FF"/>
                <w:w w:val="89"/>
              </w:rPr>
            </w:pPr>
            <w:hyperlink r:id="rId63">
              <w:r>
                <w:rPr>
                  <w:rFonts w:ascii="Arial" w:cs="Arial" w:eastAsia="Arial" w:hAnsi="Arial"/>
                  <w:sz w:val="18"/>
                  <w:szCs w:val="18"/>
                  <w:color w:val="0000FF"/>
                  <w:w w:val="89"/>
                </w:rPr>
                <w:t>Amended and Restated Employment Agreement, dated June 9, 2021, by and between National CineMedia, Inc. and</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Scott Felenstein</w:t>
              </w:r>
            </w:hyperlink>
          </w:p>
        </w:tc>
        <w:tc>
          <w:tcPr>
            <w:tcW w:w="71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30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Rule 13a-14(a) Certification of Chief Executive Officer and Interim PFO.</w:t>
              </w:r>
            </w:hyperlink>
          </w:p>
        </w:tc>
        <w:tc>
          <w:tcPr>
            <w:tcW w:w="3040" w:type="dxa"/>
            <w:vAlign w:val="bottom"/>
            <w:gridSpan w:val="5"/>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and Interim PFO Pursuant to 18 U.S.C. Section 1350.</w:t>
              </w:r>
            </w:hyperlink>
          </w:p>
        </w:tc>
        <w:tc>
          <w:tcPr>
            <w:tcW w:w="1560" w:type="dxa"/>
            <w:vAlign w:val="bottom"/>
            <w:gridSpan w:val="4"/>
          </w:tcPr>
          <w:p>
            <w:pPr>
              <w:spacing w:after="0"/>
              <w:rPr>
                <w:sz w:val="18"/>
                <w:szCs w:val="18"/>
                <w:color w:val="auto"/>
              </w:rPr>
            </w:pPr>
          </w:p>
        </w:tc>
      </w:tr>
      <w:tr>
        <w:trPr>
          <w:trHeight w:val="249"/>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3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3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34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400" w:hanging="374"/>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74"/>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00" w:hanging="374"/>
        <w:spacing w:after="0"/>
        <w:tabs>
          <w:tab w:leader="none" w:pos="400" w:val="left"/>
        </w:tabs>
        <w:numPr>
          <w:ilvl w:val="0"/>
          <w:numId w:val="23"/>
        </w:numPr>
        <w:rPr>
          <w:rFonts w:ascii="Arial" w:cs="Arial" w:eastAsia="Arial" w:hAnsi="Arial"/>
          <w:sz w:val="17"/>
          <w:szCs w:val="17"/>
          <w:i w:val="1"/>
          <w:iCs w:val="1"/>
          <w:color w:val="auto"/>
        </w:rPr>
      </w:pPr>
      <w:r>
        <w:rPr>
          <w:rFonts w:ascii="Arial" w:cs="Arial" w:eastAsia="Arial" w:hAnsi="Arial"/>
          <w:sz w:val="17"/>
          <w:szCs w:val="17"/>
          <w:color w:val="auto"/>
        </w:rPr>
        <w:t>Incorporated by reference to Exhibits 10.1 to the Company’s current report on Form 8-K (File No. 001-33296) filed on May 6, 2021.</w:t>
      </w:r>
    </w:p>
    <w:p>
      <w:pPr>
        <w:spacing w:after="0" w:line="34" w:lineRule="exact"/>
        <w:rPr>
          <w:rFonts w:ascii="Arial" w:cs="Arial" w:eastAsia="Arial" w:hAnsi="Arial"/>
          <w:sz w:val="17"/>
          <w:szCs w:val="17"/>
          <w:i w:val="1"/>
          <w:iCs w:val="1"/>
          <w:color w:val="auto"/>
        </w:rPr>
      </w:pPr>
    </w:p>
    <w:p>
      <w:pPr>
        <w:ind w:left="400" w:hanging="374"/>
        <w:spacing w:after="0"/>
        <w:tabs>
          <w:tab w:leader="none" w:pos="400" w:val="left"/>
        </w:tabs>
        <w:numPr>
          <w:ilvl w:val="0"/>
          <w:numId w:val="23"/>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Exhibits 10.1 to the Company’s current report on Form 8-K (File No. 001-33296) filed on June 10, 2021.</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3"/>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Exhibits 10.2 to the Company’s current report on Form 8-K (File No. 001-33296) filed on June 10, 2021.</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3"/>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Exhibits 10.3 to the Company’s current report on Form 8-K (File No. 001-33296) filed on 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935" w:right="1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Date:    August 9, 2021</w:t>
            </w:r>
          </w:p>
        </w:tc>
        <w:tc>
          <w:tcPr>
            <w:tcW w:w="492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5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176"/>
        </w:trPr>
        <w:tc>
          <w:tcPr>
            <w:tcW w:w="5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(Principal Executive Officer and Interim Principal Financial</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93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580" w:type="dxa"/>
            <w:vAlign w:val="bottom"/>
          </w:tcPr>
          <w:p>
            <w:pPr>
              <w:spacing w:after="0"/>
              <w:rPr>
                <w:sz w:val="20"/>
                <w:szCs w:val="20"/>
                <w:color w:val="auto"/>
              </w:rPr>
            </w:pPr>
            <w:r>
              <w:rPr>
                <w:rFonts w:ascii="Arial" w:cs="Arial" w:eastAsia="Arial" w:hAnsi="Arial"/>
                <w:sz w:val="18"/>
                <w:szCs w:val="18"/>
                <w:color w:val="auto"/>
              </w:rPr>
              <w:t>Date: August 9, 2021</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458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458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45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July 1, 2021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Date: August 9, 2021</w:t>
            </w: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9"/>
        </w:trPr>
        <w:tc>
          <w:tcPr>
            <w:tcW w:w="430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430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43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tc>
      </w:tr>
    </w:tbl>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lvl w:ilvl="1">
      <w:lvlJc w:val="left"/>
      <w:lvlText w:val="(%2)"/>
      <w:numFmt w:val="decimal"/>
      <w:start w:val="1"/>
    </w:lvl>
  </w:abstractNum>
  <w:abstractNum w:abstractNumId="10">
    <w:nsid w:val="431BD7B7"/>
    <w:multiLevelType w:val="hybridMultilevel"/>
    <w:lvl w:ilvl="0">
      <w:lvlJc w:val="left"/>
      <w:lvlText w:val="%1."/>
      <w:numFmt w:val="decimal"/>
      <w:start w:val="10"/>
    </w:lvl>
    <w:lvl w:ilvl="1">
      <w:lvlJc w:val="left"/>
      <w:lvlText w:val="%2"/>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lvl w:ilvl="1">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1" Type="http://schemas.openxmlformats.org/officeDocument/2006/relationships/hyperlink" Target="http://www.sec.gov/Archives/edgar/data/1377630/000137763021000126/scottfelensteinsagreement.htm" TargetMode="External"/><Relationship Id="rId62" Type="http://schemas.openxmlformats.org/officeDocument/2006/relationships/hyperlink" Target="http://www.sec.gov/Archives/edgar/data/1377630/000137763021000145/cmretirementagreement.htm" TargetMode="External"/><Relationship Id="rId63" Type="http://schemas.openxmlformats.org/officeDocument/2006/relationships/hyperlink" Target="http://www.sec.gov/Archives/edgar/data/1377630/000137763021000145/scottfelenstein2021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2021-08-09T16:17:58Z</dcterms:created>
  <dcterms:modified xsi:type="dcterms:W3CDTF">2021-08-09T16:17:58Z</dcterms:modified>
</cp:coreProperties>
</file>