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March 27, 2008</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100" w:type="dxa"/>
            <w:vAlign w:val="bottom"/>
          </w:tcPr>
          <w:p>
            <w:pPr>
              <w:jc w:val="center"/>
              <w:ind w:right="140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20-5665602</w:t>
            </w:r>
          </w:p>
        </w:tc>
      </w:tr>
      <w:tr>
        <w:trPr>
          <w:trHeight w:val="174"/>
        </w:trPr>
        <w:tc>
          <w:tcPr>
            <w:tcW w:w="5100" w:type="dxa"/>
            <w:vAlign w:val="bottom"/>
          </w:tcPr>
          <w:p>
            <w:pPr>
              <w:jc w:val="center"/>
              <w:ind w:right="14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5"/>
              </w:rPr>
              <w:t>9110 East Nichols Avenue, Suite 200</w:t>
            </w:r>
          </w:p>
        </w:tc>
        <w:tc>
          <w:tcPr>
            <w:tcW w:w="3560" w:type="dxa"/>
            <w:vAlign w:val="bottom"/>
          </w:tcPr>
          <w:p>
            <w:pPr>
              <w:spacing w:after="0"/>
              <w:rPr>
                <w:sz w:val="24"/>
                <w:szCs w:val="24"/>
                <w:color w:val="auto"/>
              </w:rPr>
            </w:pPr>
          </w:p>
        </w:tc>
      </w:tr>
      <w:tr>
        <w:trPr>
          <w:trHeight w:val="23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8"/>
              </w:rPr>
              <w:t>Centennial, Colorado</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5100" w:type="dxa"/>
            <w:vAlign w:val="bottom"/>
          </w:tcPr>
          <w:p>
            <w:pPr>
              <w:jc w:val="center"/>
              <w:ind w:right="14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20"/>
          </w:cols>
          <w:pgMar w:left="240" w:top="230" w:right="439" w:bottom="1440" w:gutter="0" w:footer="0" w:header="0"/>
        </w:sectPr>
      </w:pPr>
    </w:p>
    <w:p>
      <w:pPr>
        <w:spacing w:after="0" w:line="126" w:lineRule="exact"/>
        <w:rPr>
          <w:sz w:val="24"/>
          <w:szCs w:val="24"/>
          <w:color w:val="auto"/>
        </w:rPr>
      </w:pPr>
    </w:p>
    <w:p>
      <w:pPr>
        <w:ind w:left="21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3700" w:space="100"/>
            <w:col w:w="3220" w:space="720"/>
            <w:col w:w="1180" w:space="80"/>
            <w:col w:w="2220"/>
          </w:cols>
          <w:pgMar w:left="240" w:top="230" w:right="439" w:bottom="1440" w:gutter="0" w:footer="0" w:header="0"/>
          <w:type w:val="continuous"/>
        </w:sectPr>
      </w:pPr>
    </w:p>
    <w:p>
      <w:pPr>
        <w:ind w:left="21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ectPr>
          <w:pgSz w:w="11900" w:h="16838" w:orient="portrait"/>
          <w:cols w:equalWidth="0" w:num="3">
            <w:col w:w="6640" w:space="720"/>
            <w:col w:w="1920" w:space="100"/>
            <w:col w:w="1840"/>
          </w:cols>
          <w:pgMar w:left="240" w:top="230" w:right="4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(Do not check if a smaller reporting company)</w:t>
      </w:r>
    </w:p>
    <w:p>
      <w:pPr>
        <w:spacing w:after="0" w:line="123" w:lineRule="exact"/>
        <w:rPr>
          <w:sz w:val="24"/>
          <w:szCs w:val="24"/>
          <w:color w:val="auto"/>
        </w:rPr>
      </w:pPr>
    </w:p>
    <w:p>
      <w:pPr>
        <w:spacing w:after="0" w:line="207" w:lineRule="exact"/>
        <w:tabs>
          <w:tab w:leader="none" w:pos="8120" w:val="left"/>
          <w:tab w:leader="none" w:pos="8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May 6, 2008, 42,066,927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6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6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3200" w:type="dxa"/>
            <w:vAlign w:val="bottom"/>
            <w:gridSpan w:val="11"/>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54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Unaudited Pro Forma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9"/>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64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48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8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59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64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86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18"/>
          </w:tcPr>
          <w:p>
            <w:pPr>
              <w:ind w:left="46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80" w:type="dxa"/>
            <w:vAlign w:val="bottom"/>
          </w:tcPr>
          <w:p>
            <w:pPr>
              <w:jc w:val="center"/>
              <w:ind w:left="2212"/>
              <w:spacing w:after="0"/>
              <w:rPr>
                <w:sz w:val="20"/>
                <w:szCs w:val="20"/>
                <w:color w:val="auto"/>
              </w:rPr>
            </w:pPr>
            <w:r>
              <w:rPr>
                <w:rFonts w:ascii="Arial" w:cs="Arial" w:eastAsia="Arial" w:hAnsi="Arial"/>
                <w:sz w:val="18"/>
                <w:szCs w:val="18"/>
                <w:b w:val="1"/>
                <w:bCs w:val="1"/>
                <w:color w:val="auto"/>
                <w:w w:val="98"/>
              </w:rPr>
              <w:t>PART I</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80" w:type="dxa"/>
            <w:vAlign w:val="bottom"/>
          </w:tcPr>
          <w:p>
            <w:pPr>
              <w:jc w:val="center"/>
              <w:ind w:left="221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80" w:type="dxa"/>
            <w:vAlign w:val="bottom"/>
          </w:tcPr>
          <w:p>
            <w:pPr>
              <w:jc w:val="center"/>
              <w:ind w:left="22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80" w:type="dxa"/>
            <w:vAlign w:val="bottom"/>
          </w:tcPr>
          <w:p>
            <w:pPr>
              <w:jc w:val="center"/>
              <w:ind w:left="2212"/>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80" w:type="dxa"/>
            <w:vAlign w:val="bottom"/>
          </w:tcPr>
          <w:p>
            <w:pPr>
              <w:jc w:val="center"/>
              <w:ind w:left="2232"/>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March 27, 2008</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27, 2007</w:t>
            </w:r>
          </w:p>
        </w:tc>
      </w:tr>
      <w:tr>
        <w:trPr>
          <w:trHeight w:val="210"/>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$2.0 million in 2008 and $1.5 million in 2007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$19.2 million in 2008 and $17.3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million in 2007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Debt issuance costs, net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affiliate</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60" w:type="dxa"/>
            <w:vAlign w:val="bottom"/>
            <w:shd w:val="clear" w:color="auto" w:fill="CCEEFF"/>
          </w:tcPr>
          <w:p>
            <w:pPr>
              <w:spacing w:after="0"/>
              <w:rPr>
                <w:sz w:val="18"/>
                <w:szCs w:val="18"/>
                <w:color w:val="auto"/>
              </w:rPr>
            </w:pPr>
          </w:p>
        </w:tc>
      </w:tr>
      <w:tr>
        <w:trPr>
          <w:trHeight w:val="222"/>
        </w:trPr>
        <w:tc>
          <w:tcPr>
            <w:tcW w:w="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Amounts due to founding members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payable to founding members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Taxes payable to founding members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Borrowings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at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27, 2008 and December 27, 2007</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w w:val="97"/>
              </w:rPr>
              <w:t>Common stock, $0.01 par value; 120,000,000 shares authorized, 42,064,166 issued and outstanding at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March 27, 2008 and 42,000,000 issued and outstanding at December 27, 2007</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Distributions in excess of additional paid in capital</w:t>
            </w:r>
          </w:p>
        </w:tc>
        <w:tc>
          <w:tcPr>
            <w:tcW w:w="24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(541.3)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(581.1)</w:t>
            </w: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deficit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(546.5)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(572.4)</w:t>
            </w:r>
          </w:p>
        </w:tc>
      </w:tr>
      <w:tr>
        <w:trPr>
          <w:trHeight w:val="222"/>
        </w:trPr>
        <w:tc>
          <w:tcPr>
            <w:tcW w:w="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8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Period</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13,</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March 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March 29,</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w w:val="98"/>
              </w:rPr>
              <w:t>Advertising (including revenue from founding members of $10.2, $5.4 and $0.0,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520" w:type="dxa"/>
            <w:vAlign w:val="bottom"/>
            <w:tcBorders>
              <w:right w:val="single" w:sz="8" w:color="auto"/>
            </w:tcBorders>
          </w:tcPr>
          <w:p>
            <w:pPr>
              <w:spacing w:after="0"/>
              <w:rPr>
                <w:sz w:val="19"/>
                <w:szCs w:val="19"/>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w:t>
            </w:r>
          </w:p>
        </w:tc>
        <w:tc>
          <w:tcPr>
            <w:tcW w:w="5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fees/circuit share costs—founding members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5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5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auto"/>
            </w:tcBorders>
          </w:tcPr>
          <w:p>
            <w:pPr>
              <w:spacing w:after="0"/>
              <w:rPr>
                <w:sz w:val="19"/>
                <w:szCs w:val="19"/>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42,031,587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5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42,031,587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42,188,731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6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4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r>
      <w:tr>
        <w:trPr>
          <w:trHeight w:val="149"/>
        </w:trPr>
        <w:tc>
          <w:tcPr>
            <w:tcW w:w="6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4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r>
      <w:tr>
        <w:trPr>
          <w:trHeight w:val="149"/>
        </w:trPr>
        <w:tc>
          <w:tcPr>
            <w:tcW w:w="6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March 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March 29,</w:t>
            </w:r>
          </w:p>
        </w:tc>
        <w:tc>
          <w:tcPr>
            <w:tcW w:w="4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r>
      <w:tr>
        <w:trPr>
          <w:trHeight w:val="161"/>
        </w:trPr>
        <w:tc>
          <w:tcPr>
            <w:tcW w:w="6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right w:val="single" w:sz="8" w:color="auto"/>
            </w:tcBorders>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8"/>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Adjustments to reconcile net income (loss) to net cash provided by (used in)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6900" w:type="dxa"/>
            <w:vAlign w:val="bottom"/>
          </w:tcPr>
          <w:p>
            <w:pPr>
              <w:ind w:left="13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Minority Interest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1300"/>
              <w:spacing w:after="0"/>
              <w:rPr>
                <w:sz w:val="20"/>
                <w:szCs w:val="20"/>
                <w:color w:val="auto"/>
              </w:rPr>
            </w:pPr>
            <w:r>
              <w:rPr>
                <w:rFonts w:ascii="Arial" w:cs="Arial" w:eastAsia="Arial" w:hAnsi="Arial"/>
                <w:sz w:val="18"/>
                <w:szCs w:val="18"/>
                <w:color w:val="auto"/>
              </w:rPr>
              <w:t>Non-cash severance plan and share-based compensation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08"/>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6"/>
              </w:rPr>
              <w:t>Accretion of interest on the discounted income taxes payable to founding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members</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1300"/>
              <w:spacing w:after="0"/>
              <w:rPr>
                <w:sz w:val="20"/>
                <w:szCs w:val="20"/>
                <w:color w:val="auto"/>
              </w:rPr>
            </w:pPr>
            <w:r>
              <w:rPr>
                <w:rFonts w:ascii="Arial" w:cs="Arial" w:eastAsia="Arial" w:hAnsi="Arial"/>
                <w:sz w:val="18"/>
                <w:szCs w:val="18"/>
                <w:color w:val="auto"/>
              </w:rPr>
              <w:t>Deferred income tax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Amortization of debt issuance costs and loss on repayment of debt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13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Decrease (increase) in receivables—net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1520"/>
              <w:spacing w:after="0"/>
              <w:rPr>
                <w:sz w:val="20"/>
                <w:szCs w:val="20"/>
                <w:color w:val="auto"/>
              </w:rPr>
            </w:pPr>
            <w:r>
              <w:rPr>
                <w:rFonts w:ascii="Arial" w:cs="Arial" w:eastAsia="Arial" w:hAnsi="Arial"/>
                <w:sz w:val="18"/>
                <w:szCs w:val="18"/>
                <w:color w:val="auto"/>
              </w:rPr>
              <w:t>(Decrease) increase in accounts payable and accrued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Increase (decrease) in amounts due to founding members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900" w:type="dxa"/>
            <w:vAlign w:val="bottom"/>
          </w:tcPr>
          <w:p>
            <w:pPr>
              <w:ind w:left="1520"/>
              <w:spacing w:after="0"/>
              <w:rPr>
                <w:sz w:val="20"/>
                <w:szCs w:val="20"/>
                <w:color w:val="auto"/>
              </w:rPr>
            </w:pPr>
            <w:r>
              <w:rPr>
                <w:rFonts w:ascii="Arial" w:cs="Arial" w:eastAsia="Arial" w:hAnsi="Arial"/>
                <w:sz w:val="18"/>
                <w:szCs w:val="18"/>
                <w:color w:val="auto"/>
              </w:rPr>
              <w:t>Increase in income taxes and other</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Net cash (used in ) provided by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property and equipment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900" w:type="dxa"/>
            <w:vAlign w:val="bottom"/>
          </w:tcPr>
          <w:p>
            <w:pPr>
              <w:ind w:left="440"/>
              <w:spacing w:after="0"/>
              <w:rPr>
                <w:sz w:val="20"/>
                <w:szCs w:val="20"/>
                <w:color w:val="auto"/>
              </w:rPr>
            </w:pPr>
            <w:r>
              <w:rPr>
                <w:rFonts w:ascii="Arial" w:cs="Arial" w:eastAsia="Arial" w:hAnsi="Arial"/>
                <w:sz w:val="18"/>
                <w:szCs w:val="18"/>
                <w:color w:val="auto"/>
              </w:rPr>
              <w:t>Investment in other investments and restricted cash</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of common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Payment of offering costs and fees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(52.7)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of dividends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790.0</w:t>
            </w:r>
          </w:p>
        </w:tc>
        <w:tc>
          <w:tcPr>
            <w:tcW w:w="5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 of borrowings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Payment of debt issuance costs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founding member contributions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Distribution to founding members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9"/>
              </w:rPr>
              <w:t>(1,535.3)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stock option exercises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ind w:left="440"/>
              <w:spacing w:after="0"/>
              <w:rPr>
                <w:sz w:val="20"/>
                <w:szCs w:val="20"/>
                <w:color w:val="auto"/>
              </w:rPr>
            </w:pPr>
            <w:r>
              <w:rPr>
                <w:rFonts w:ascii="Arial" w:cs="Arial" w:eastAsia="Arial" w:hAnsi="Arial"/>
                <w:sz w:val="18"/>
                <w:szCs w:val="18"/>
                <w:color w:val="auto"/>
              </w:rPr>
              <w:t>Excess tax benefits from share-based compensation</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Net cash (used in ) provided by financing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1"/>
        </w:trPr>
        <w:tc>
          <w:tcPr>
            <w:tcW w:w="69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ind w:left="1520"/>
              <w:spacing w:after="0"/>
              <w:rPr>
                <w:sz w:val="20"/>
                <w:szCs w:val="20"/>
                <w:color w:val="auto"/>
              </w:rPr>
            </w:pPr>
            <w:r>
              <w:rPr>
                <w:rFonts w:ascii="Arial" w:cs="Arial" w:eastAsia="Arial" w:hAnsi="Arial"/>
                <w:sz w:val="18"/>
                <w:szCs w:val="18"/>
                <w:color w:val="auto"/>
              </w:rPr>
              <w:t>Beginning of period</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End of period</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Period</w:t>
            </w:r>
          </w:p>
        </w:tc>
      </w:tr>
      <w:tr>
        <w:trPr>
          <w:trHeight w:val="149"/>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49"/>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1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2006 through</w:t>
            </w:r>
          </w:p>
        </w:tc>
      </w:tr>
      <w:tr>
        <w:trPr>
          <w:trHeight w:val="149"/>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March 27,</w:t>
            </w:r>
          </w:p>
        </w:tc>
        <w:tc>
          <w:tcPr>
            <w:tcW w:w="100" w:type="dxa"/>
            <w:vAlign w:val="bottom"/>
          </w:tcPr>
          <w:p>
            <w:pPr>
              <w:spacing w:after="0"/>
              <w:rPr>
                <w:sz w:val="12"/>
                <w:szCs w:val="12"/>
                <w:color w:val="auto"/>
              </w:rPr>
            </w:pPr>
          </w:p>
        </w:tc>
        <w:tc>
          <w:tcPr>
            <w:tcW w:w="170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w w:val="86"/>
              </w:rPr>
              <w:t>March 29,</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February 12,</w:t>
            </w:r>
          </w:p>
        </w:tc>
      </w:t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0.4</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7200" w:type="dxa"/>
            <w:vAlign w:val="bottom"/>
          </w:tcPr>
          <w:p>
            <w:pPr>
              <w:ind w:left="440"/>
              <w:spacing w:after="0"/>
              <w:rPr>
                <w:sz w:val="20"/>
                <w:szCs w:val="20"/>
                <w:color w:val="auto"/>
              </w:rPr>
            </w:pPr>
            <w:r>
              <w:rPr>
                <w:rFonts w:ascii="Arial" w:cs="Arial" w:eastAsia="Arial" w:hAnsi="Arial"/>
                <w:sz w:val="18"/>
                <w:szCs w:val="18"/>
                <w:color w:val="auto"/>
                <w:w w:val="92"/>
              </w:rPr>
              <w:t>Liability and equity recorded upon recognition of deferred tax assets and liabilities related to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7200" w:type="dxa"/>
            <w:vAlign w:val="bottom"/>
          </w:tcPr>
          <w:p>
            <w:pPr>
              <w:ind w:left="660"/>
              <w:spacing w:after="0"/>
              <w:rPr>
                <w:sz w:val="20"/>
                <w:szCs w:val="20"/>
                <w:color w:val="auto"/>
              </w:rPr>
            </w:pPr>
            <w:r>
              <w:rPr>
                <w:rFonts w:ascii="Arial" w:cs="Arial" w:eastAsia="Arial" w:hAnsi="Arial"/>
                <w:sz w:val="18"/>
                <w:szCs w:val="18"/>
                <w:color w:val="auto"/>
              </w:rPr>
              <w:t>IPO-date transactions: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8"/>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 to founding members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119.3</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an intangible asset with equity</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0.1</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ind w:right="4600" w:firstLine="8"/>
        <w:spacing w:after="0" w:line="347"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National CineMedia, Inc. (“NCM, Inc.”) was incorporated in the state of Delaware as a holding company with the sole purpose of becoming a member and sole manager of National CineMedia, LLC (“NCM LLC”). The terms “NCM”, “the Company” or “we” shall, unless the context otherwise requires, be deemed to include the consolidated entity when used in discussions included herein regarding the current operations or assets of the entities. NCM LLC operates the largest digital in-theatre network in North America that allows NCM to distribute advertising, business meetings, and Fathom event services under long-term exhibitor services agreements (“ESAs”) with American Multi-Cinema, Inc. (“AMC”), a wholly owned subsidiary of AMC Entertainment Inc. (“AMCE”), and Regal Cinemas, Inc., a wholly owned subsidiary of Regal Entertainment Group (“Regal”), and Cinemark USA, Inc., a wholly owned subsidiary of Cinemark Holdings, Inc. (“Cinemark”). AMC, Regal and Cinemark and their affiliates are referred to in this document as “founding members”. NCM LLC also provides such services to certain third-party theater circuits under Network Affiliate Agreements which expire at various dates.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as of March 26, 2008, the Company, as sole manager of NCM LLC, issued common membership units to the members of NCM LLC pursuant to net new theatres and attendees added to NCM LLC’s network in accordance with the annual common unit adjustment provisions of the Common Unit Adjustment Agreement dated as of February 13, 2007, by and among NCM Inc., NCM LLC, and the founding members. As a result, at March 27, 2008, NCM LLC had 96,460,066 member units outstanding, of which 42,064,166 (43.6%) were owned by NCM, Inc., 21,989,505 (22.8%) were owned by Regal, 18,414,743 (19.1%) were owned by AMC, and 13,991,652 (14.5%) were owned by Cinemark.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and NCM LLC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contained herein should be read in conjunction with the audited consolidated financial statements and notes thereto included in the Company’s annual report on Form 10-K for the fiscal year ended December 27, 2007 filed with the SEC on March 7, 2008.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future performance nor will such data reflect what its financial position and results of operations would have been had it operated as an independent publicly traded company during the entirety of all periods presented. In addition, as a result of the various related-party agreements discussed in Note 2, the operating results as presented are not necessarily indicative of the results that would have occurred if all agreements were with non-related third parties.</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results of operations for the quarter ended March 29, 2007 are presented in two periods, reflecting operations prior to and subsequent to the IPO. The period from December 29, 2006 through February 12, 2007 is referred to as the “2007 pre-IPO period”. The period from February 13, 2007 through March 29, 2007 is referred to as the “2007 post-IPO period”. Separate periods have been presented because there were significant changes at the time of the IPO due to the ESA modifications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 Basic and Diluted</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Basic earnings (loss) per share is computed on the basis of the weighted average number of common shares outstanding. Diluted earnings (loss) per share is computed on the basis of the weighted average number of common shares outstanding plus the effect of potentially dilutive common stock options, and restricted stock using the treasury stock method. The components of basic and diluted earnings (loss) per share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February 13,</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March 27,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42,031,587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42,031,587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42,188,731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effect of the 51,878,917 and 51,850,951 convertible NCM LLC common units held by the founding members at March 27, 2008 and March 29, 2007, respectively, has been excluded from the calculation of diluted weighted average shares and earnings per share as they are antidilutive due to interest expense arising from accretion of the discount on the taxes payable to founding members which is not allocable to the minority interest. In addition, there were 194,965 stock options and restricted stock shares at March 27, 2008 excluded from the calculation as they are antidilutive due to the net loss and 10,176 stock options and restricted stock shares at March 29, 2007 excluded from the calculation as they are antidilutive due to their higher exercise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for the fiscal year ended December 27, 2007 contain a complete discussion of the Company’s significant accounting policies.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color w:val="auto"/>
        </w:rPr>
        <w:t>—The components of comprehensive income (loss)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Quarter</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4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4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March 27,</w:t>
            </w:r>
          </w:p>
        </w:tc>
        <w:tc>
          <w:tcPr>
            <w:tcW w:w="8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March 29,</w:t>
            </w:r>
          </w:p>
        </w:tc>
        <w:tc>
          <w:tcPr>
            <w:tcW w:w="4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jc w:val="center"/>
              <w:ind w:right="4692"/>
              <w:spacing w:after="0"/>
              <w:rPr>
                <w:sz w:val="20"/>
                <w:szCs w:val="20"/>
                <w:color w:val="auto"/>
              </w:rPr>
            </w:pPr>
            <w:r>
              <w:rPr>
                <w:rFonts w:ascii="Arial" w:cs="Arial" w:eastAsia="Arial" w:hAnsi="Arial"/>
                <w:sz w:val="18"/>
                <w:szCs w:val="18"/>
                <w:color w:val="auto"/>
                <w:w w:val="93"/>
              </w:rPr>
              <w:t>COMPREHENSIVE INCOME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40" w:type="dxa"/>
            <w:vAlign w:val="bottom"/>
          </w:tcPr>
          <w:p>
            <w:pPr>
              <w:ind w:left="440"/>
              <w:spacing w:after="0"/>
              <w:rPr>
                <w:sz w:val="20"/>
                <w:szCs w:val="20"/>
                <w:color w:val="auto"/>
              </w:rPr>
            </w:pPr>
            <w:r>
              <w:rPr>
                <w:rFonts w:ascii="Arial" w:cs="Arial" w:eastAsia="Arial" w:hAnsi="Arial"/>
                <w:sz w:val="18"/>
                <w:szCs w:val="18"/>
                <w:color w:val="auto"/>
                <w:w w:val="95"/>
              </w:rPr>
              <w:t>Net Income (Loss) (as reported on Condensed Consolidated Statements of Operations), net of</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660"/>
              <w:spacing w:after="0"/>
              <w:rPr>
                <w:sz w:val="20"/>
                <w:szCs w:val="20"/>
                <w:color w:val="auto"/>
              </w:rPr>
            </w:pPr>
            <w:r>
              <w:rPr>
                <w:rFonts w:ascii="Arial" w:cs="Arial" w:eastAsia="Arial" w:hAnsi="Arial"/>
                <w:sz w:val="18"/>
                <w:szCs w:val="18"/>
                <w:color w:val="auto"/>
              </w:rPr>
              <w:t>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 on cash flow hedge,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vMerge w:val="restart"/>
          </w:tcPr>
          <w:p>
            <w:pPr>
              <w:jc w:val="center"/>
              <w:ind w:right="4692"/>
              <w:spacing w:after="0"/>
              <w:rPr>
                <w:sz w:val="20"/>
                <w:szCs w:val="20"/>
                <w:color w:val="auto"/>
              </w:rPr>
            </w:pPr>
            <w:r>
              <w:rPr>
                <w:rFonts w:ascii="Arial" w:cs="Arial" w:eastAsia="Arial" w:hAnsi="Arial"/>
                <w:sz w:val="18"/>
                <w:szCs w:val="18"/>
                <w:color w:val="auto"/>
                <w:w w:val="88"/>
              </w:rPr>
              <w:t>Total, net of tax</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r>
        <w:rPr>
          <w:rFonts w:ascii="Arial" w:cs="Arial" w:eastAsia="Arial" w:hAnsi="Arial"/>
          <w:sz w:val="16"/>
          <w:szCs w:val="16"/>
          <w:color w:val="auto"/>
        </w:rPr>
        <w:t>—The fair values of the Company’s assets and liabilities measured on a 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pursuant to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are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9"/>
          </w:tcPr>
          <w:p>
            <w:pPr>
              <w:jc w:val="right"/>
              <w:ind w:right="596"/>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11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At</w:t>
            </w:r>
          </w:p>
        </w:tc>
        <w:tc>
          <w:tcPr>
            <w:tcW w:w="66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4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9"/>
              </w:rPr>
              <w:t>Significant</w:t>
            </w:r>
          </w:p>
        </w:tc>
      </w:tr>
      <w:tr>
        <w:trPr>
          <w:trHeight w:val="149"/>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March 27,</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2008</w:t>
            </w:r>
          </w:p>
        </w:tc>
        <w:tc>
          <w:tcPr>
            <w:tcW w:w="66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Assets (Level 1)</w:t>
            </w:r>
          </w:p>
        </w:tc>
        <w:tc>
          <w:tcPr>
            <w:tcW w:w="3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Inputs (Level 2)</w:t>
            </w:r>
          </w:p>
        </w:tc>
        <w:tc>
          <w:tcPr>
            <w:tcW w:w="3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Inputs (Level 3)</w:t>
            </w: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900" w:type="dxa"/>
            <w:vAlign w:val="bottom"/>
            <w:gridSpan w:val="2"/>
          </w:tcPr>
          <w:p>
            <w:pPr>
              <w:ind w:left="440"/>
              <w:spacing w:after="0"/>
              <w:rPr>
                <w:sz w:val="20"/>
                <w:szCs w:val="20"/>
                <w:color w:val="auto"/>
              </w:rPr>
            </w:pPr>
            <w:r>
              <w:rPr>
                <w:rFonts w:ascii="Arial" w:cs="Arial" w:eastAsia="Arial" w:hAnsi="Arial"/>
                <w:sz w:val="18"/>
                <w:szCs w:val="18"/>
                <w:color w:val="auto"/>
              </w:rPr>
              <w:t>Short-Term Investments (1)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Affiliate (3)</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5900" w:type="dxa"/>
            <w:vAlign w:val="bottom"/>
            <w:gridSpan w:val="2"/>
          </w:tcPr>
          <w:p>
            <w:pPr>
              <w:ind w:left="8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222"/>
        </w:trPr>
        <w:tc>
          <w:tcPr>
            <w:tcW w:w="5900" w:type="dxa"/>
            <w:vAlign w:val="bottom"/>
            <w:gridSpan w:val="2"/>
          </w:tcPr>
          <w:p>
            <w:pPr>
              <w:ind w:left="440"/>
              <w:spacing w:after="0"/>
              <w:rPr>
                <w:sz w:val="20"/>
                <w:szCs w:val="20"/>
                <w:color w:val="auto"/>
              </w:rPr>
            </w:pPr>
            <w:r>
              <w:rPr>
                <w:rFonts w:ascii="Arial" w:cs="Arial" w:eastAsia="Arial" w:hAnsi="Arial"/>
                <w:sz w:val="18"/>
                <w:szCs w:val="18"/>
                <w:color w:val="auto"/>
              </w:rPr>
              <w:t>Interest Rate Swap Agreements (2)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156"/>
              <w:spacing w:after="0"/>
              <w:rPr>
                <w:sz w:val="20"/>
                <w:szCs w:val="20"/>
                <w:color w:val="auto"/>
              </w:rPr>
            </w:pPr>
            <w:r>
              <w:rPr>
                <w:rFonts w:ascii="Arial" w:cs="Arial" w:eastAsia="Arial" w:hAnsi="Arial"/>
                <w:sz w:val="18"/>
                <w:szCs w:val="18"/>
                <w:color w:val="auto"/>
                <w:w w:val="85"/>
              </w:rPr>
              <w:t>42.3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line="29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short-term investments are classified as available-for-sale and are carried at estimated fair value with any unrealized gains, as well as losses that the Company considers to be temporary, reported net of tax in other comprehensive income within stockholders’ equity. For the quarter ended March 27, 2008 and the 2007 post-IPO period, there was an immaterial amount of net realized gains (losses) recognized in interest income and no net unrealized holding gains (losses) included in other comprehensive income.</w:t>
      </w:r>
    </w:p>
    <w:p>
      <w:pPr>
        <w:spacing w:after="0" w:line="31" w:lineRule="exact"/>
        <w:rPr>
          <w:rFonts w:ascii="Arial" w:cs="Arial" w:eastAsia="Arial" w:hAnsi="Arial"/>
          <w:sz w:val="16"/>
          <w:szCs w:val="16"/>
          <w:color w:val="auto"/>
        </w:rPr>
      </w:pPr>
    </w:p>
    <w:p>
      <w:pPr>
        <w:ind w:left="46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NCM LLC has entered into interest rate swap agreements which qualify for and have been designated as a cash flow hedge against interest rate exposure on $550.0 million of the variable rate debt obligations under the senior secured credit facility in accordance with SFAS No. 133, </w:t>
      </w:r>
      <w:r>
        <w:rPr>
          <w:rFonts w:ascii="Arial" w:cs="Arial" w:eastAsia="Arial" w:hAnsi="Arial"/>
          <w:sz w:val="16"/>
          <w:szCs w:val="16"/>
          <w:i w:val="1"/>
          <w:iCs w:val="1"/>
          <w:color w:val="auto"/>
        </w:rPr>
        <w:t>Accounting for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as amended by SFAS No. 138. The interest rate swap agreements have the effect of converting a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variable rate debt to a fixed rate of 6.734%. Both at inception and on an on-going basis the Company performs an effectiveness test using the hypothetical derivative method. The fair value of the interest rate swap is recorded on the Company’s balance sheet as an asset or liability with the change in fair value recorded in other comprehensive income since the instruments were determined to be perfectly effective at March 27, 2008 and March 29, 2007. There were no amounts reclassified into current earnings due to ineffectiveness during the periods presented. 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38" w:lineRule="exact"/>
        <w:rPr>
          <w:rFonts w:ascii="Arial" w:cs="Arial" w:eastAsia="Arial" w:hAnsi="Arial"/>
          <w:sz w:val="16"/>
          <w:szCs w:val="16"/>
          <w:color w:val="auto"/>
        </w:rPr>
      </w:pPr>
    </w:p>
    <w:p>
      <w:pPr>
        <w:ind w:left="460" w:right="20" w:hanging="452"/>
        <w:spacing w:after="0" w:line="289"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During 2007, NCM LLC invested $7.0 million of cash in 6% convertible preferred stock of IdeaCast, Inc. (“IdeaCast”), a start-up company that operates an advertising network in fitness centers and health clubs throughout the United States. The amount of IdeaCast 6% convertible preferred stock owned by NCM LLC at March 27, 2008 is convertible into a minority interest of IdeaCast’s common stock. The preferred stock is accounted for as an investment in debt securities per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due to the provisions in the agreement, which gives the Company a mandatory redemption right five years after the date of investment. The securities are not held for trading purposes and are therefore by default and definition, classified as available-for-sale even though it is not the Company’s intent to sell these securities. There are no marketplace indicators of value that management can use to determine the fair value of the investment in IdeaCast. For the quarter ended March 27, 2008 and the 2007 post-IPO period, there were no realized or unrealized gains or losses relating to assets still held at March 27,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40" w:right="2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Beginning Balance at 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Total gains or losses (realized/unrealized)</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Included in earnings (or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Included in other comprehensive income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Transfers in and/or out of Level 3</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Ending Balance at March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Period of Adoption Disclosure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Fair Value</w:t>
      </w:r>
    </w:p>
    <w:p>
      <w:pPr>
        <w:jc w:val="center"/>
        <w:ind w:right="840"/>
        <w:spacing w:after="0" w:line="223" w:lineRule="auto"/>
        <w:rPr>
          <w:sz w:val="20"/>
          <w:szCs w:val="20"/>
          <w:color w:val="auto"/>
        </w:rPr>
      </w:pPr>
      <w:r>
        <w:rPr>
          <w:rFonts w:ascii="Arial" w:cs="Arial" w:eastAsia="Arial" w:hAnsi="Arial"/>
          <w:sz w:val="14"/>
          <w:szCs w:val="14"/>
          <w:b w:val="1"/>
          <w:bCs w:val="1"/>
          <w:color w:val="auto"/>
        </w:rPr>
        <w:t>Measurements</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Using Significant</w:t>
      </w:r>
    </w:p>
    <w:p>
      <w:pPr>
        <w:jc w:val="center"/>
        <w:ind w:right="840"/>
        <w:spacing w:after="0" w:line="237" w:lineRule="auto"/>
        <w:rPr>
          <w:sz w:val="20"/>
          <w:szCs w:val="20"/>
          <w:color w:val="auto"/>
        </w:rPr>
      </w:pPr>
      <w:r>
        <w:rPr>
          <w:rFonts w:ascii="Arial" w:cs="Arial" w:eastAsia="Arial" w:hAnsi="Arial"/>
          <w:sz w:val="14"/>
          <w:szCs w:val="14"/>
          <w:b w:val="1"/>
          <w:bCs w:val="1"/>
          <w:color w:val="auto"/>
        </w:rPr>
        <w:t>Unobservable</w:t>
      </w:r>
    </w:p>
    <w:p>
      <w:pPr>
        <w:jc w:val="center"/>
        <w:ind w:right="840"/>
        <w:spacing w:after="0"/>
        <w:rPr>
          <w:sz w:val="20"/>
          <w:szCs w:val="20"/>
          <w:color w:val="auto"/>
        </w:rPr>
      </w:pPr>
      <w:r>
        <w:rPr>
          <w:rFonts w:ascii="Arial" w:cs="Arial" w:eastAsia="Arial" w:hAnsi="Arial"/>
          <w:sz w:val="12"/>
          <w:szCs w:val="12"/>
          <w:b w:val="1"/>
          <w:bCs w:val="1"/>
          <w:u w:val="single" w:color="auto"/>
          <w:color w:val="auto"/>
        </w:rPr>
        <w:t>Inputs (Level 3)</w:t>
      </w:r>
    </w:p>
    <w:p>
      <w:pPr>
        <w:spacing w:after="0" w:line="22" w:lineRule="exact"/>
        <w:rPr>
          <w:sz w:val="20"/>
          <w:szCs w:val="20"/>
          <w:color w:val="auto"/>
        </w:rPr>
      </w:pPr>
    </w:p>
    <w:p>
      <w:pPr>
        <w:ind w:left="780" w:hanging="778"/>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7.0</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6343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0" w:lineRule="exact"/>
        <w:rPr>
          <w:sz w:val="20"/>
          <w:szCs w:val="20"/>
          <w:color w:val="auto"/>
        </w:rPr>
      </w:pPr>
    </w:p>
    <w:p>
      <w:pPr>
        <w:ind w:left="780" w:hanging="77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6343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634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556" w:lineRule="exact"/>
        <w:rPr>
          <w:sz w:val="20"/>
          <w:szCs w:val="20"/>
          <w:color w:val="auto"/>
        </w:rPr>
      </w:pPr>
    </w:p>
    <w:p>
      <w:pPr>
        <w:sectPr>
          <w:pgSz w:w="11900" w:h="16838" w:orient="portrait"/>
          <w:cols w:equalWidth="0" w:num="2">
            <w:col w:w="8780" w:space="720"/>
            <w:col w:w="1840"/>
          </w:cols>
          <w:pgMar w:left="240" w:top="459" w:right="319" w:bottom="1440" w:gutter="0" w:footer="0" w:header="0"/>
        </w:sectPr>
      </w:pPr>
    </w:p>
    <w:p>
      <w:pPr>
        <w:ind w:right="20" w:firstLine="456"/>
        <w:spacing w:after="0" w:line="254" w:lineRule="auto"/>
        <w:rPr>
          <w:sz w:val="20"/>
          <w:szCs w:val="20"/>
          <w:color w:val="auto"/>
        </w:rPr>
      </w:pPr>
      <w:r>
        <w:rPr>
          <w:rFonts w:ascii="Arial" w:cs="Arial" w:eastAsia="Arial" w:hAnsi="Arial"/>
          <w:sz w:val="18"/>
          <w:szCs w:val="18"/>
          <w:color w:val="auto"/>
        </w:rPr>
        <w:t>The Company records the fair value of short-term investments and interest rate swap agreements using quoted market prices. The Company based its estimated fair value of preferred stock investment in IdeaCast on factors including, but not limited to: product development activity; whether there have been significant changes, positive or negative, in the prospects for IdeaCast’s business; and the overall health of IdeaCast and its industry. The Company prepared a discounted cash flows model for the valuation analysis using assumptions for the number of installed clubs, capital expenditures per club installation, advertising inventory utilization rate and CPM as significant inputs. There have been no changes in the Company’s valuation techniques for the quarter ended March 27, 2008.</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are stated at cost, net of accumulated amortization. The Company records amortization using the straight-line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estimated useful life of the intangibles. See Note 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In December 2007, the Financial Accounting Standards Board (“FASB”) issued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Statements—an amendment of ARB No. 51</w:t>
      </w:r>
      <w:r>
        <w:rPr>
          <w:rFonts w:ascii="Arial" w:cs="Arial" w:eastAsia="Arial" w:hAnsi="Arial"/>
          <w:sz w:val="16"/>
          <w:szCs w:val="16"/>
          <w:color w:val="auto"/>
        </w:rPr>
        <w:t>. SFAS No. 160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(currently referred to as a minority interest) and for the deconsolidation of a subsidiary. SFAS No. 160 is effective for fiscal years beginning after December 15, 2008. The Company is evaluating the impact of SFAS No. 160 on its consolidated financial statements.</w:t>
      </w:r>
    </w:p>
    <w:p>
      <w:pPr>
        <w:spacing w:after="0" w:line="11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The new standard changes the manner of presentation and related disclosures of the fair values of derivative instruments and their gains and losses. It also provides more information about an entity’s liquidity by requiring disclosure of derivative features that are credit risk related. SFAS No. 161 is effective for fiscal years beginning after November 15, 2008. The Company is evaluating the impact of SFAS No. 161 on its consolidated financial statements.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April 2008, the FASB issued FASB Staff Position No. FAS 142-3, </w:t>
      </w:r>
      <w:r>
        <w:rPr>
          <w:rFonts w:ascii="Arial" w:cs="Arial" w:eastAsia="Arial" w:hAnsi="Arial"/>
          <w:sz w:val="18"/>
          <w:szCs w:val="18"/>
          <w:i w:val="1"/>
          <w:iCs w:val="1"/>
          <w:color w:val="auto"/>
        </w:rPr>
        <w:t>Determination of the Useful Life of Intangible Asset</w:t>
      </w:r>
      <w:r>
        <w:rPr>
          <w:rFonts w:ascii="Arial" w:cs="Arial" w:eastAsia="Arial" w:hAnsi="Arial"/>
          <w:sz w:val="18"/>
          <w:szCs w:val="18"/>
          <w:color w:val="auto"/>
        </w:rPr>
        <w:t>, which improves the consistency of the useful life of a recognized intangible asset among various pronouncements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142-3 is effective for fiscal years beginning after December 15, 2008. The Company is evaluating the impact of SFAS No. 142-3 on its consolidated financial statements.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 not believe the adoption of such pronouncements will have a material impact on its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 Ended March 27, 2008 and 2007 Post-IPO Period –</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Pursuant to the amended and restated ESAs, the Company makes monthly theatre access fee payments to the founding members, comprised of a payment per theatre attendee and a payment per digital screen of the founding member theatres. Also,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quarter ended March 27, 2008 and the 2007 post-IPO period is $11.5 million and $5.5 million, respectively. The total revenue related to the beverage concessionaire agreements for the quarter ended March 27, 2008 and the 2007 post-IPO period is $10.2 million and $5.4 million, respectively. In addition, the Company makes monthly payments to the founding members for use of their screens and theatres for its meetings and events business. These payments are at rates included in the ESAs based on the nature of the event. Payments to the founding members for these events totaled $1.5 million and $0.5 million for quarter ended March 27, 2008 and the 2007 post-IPO period, respectively.</w:t>
      </w:r>
    </w:p>
    <w:p>
      <w:pPr>
        <w:spacing w:after="0" w:line="118"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close of the IPO, NCM LLC is required to make mandatory distributions to its members of available cash, as defined in the NCM LLC Operating Agreement, on a quarterly basis. The available cash distribution to the founding members of NCM LLC for quarter ended March 27, 2008 and the post-IPO period is $5.6 million and $9.7 million,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March 27, 2008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Cinemark</w:t>
            </w: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$(0.3)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w:t>
            </w:r>
          </w:p>
        </w:tc>
        <w:tc>
          <w:tcPr>
            <w:tcW w:w="3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$ 2.1</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On January 26, 2006, AMC acquired the Loews Cineplex Entertainment Inc. (“Loews”) theatre circuit. The Loews screen integration agreement, effective as of January 5, 2007 and amended and restated as of February 13, 2007, between NCM LLC and AMC, commits AMC to cause the theatres it acquired from Loews to participate in the ESAs beginning on June 1, 2008. In accordance with the Loews screen integration agreement, AMC pays us amounts based on an agreed-upon calculation to reflect cash amounts that approximate what NCM LLC would have generated if the Company were able to sell on-screen advertising in the Loews theatre chain on an exclusive basis. These Loews payments are made on a quarterly basis in arrears through May 31, 2008 in accordance with certain run-out provisions. For both the quarter ended March 27, 2008 and the 2007 post-IPO period, the Loews payment was $0.8 million. At March 27, 2008 and at March 29, 2007, $0.8 million is included in the due to/from founding members. The Loews payment is recorded directly to NCM LLC’s members’ equity account.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Pre-IPO Period –</w:t>
      </w:r>
    </w:p>
    <w:p>
      <w:pPr>
        <w:spacing w:after="0" w:line="90"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Pre-IPO Period December 29, 2006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through February 12, 2007</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Circuit Share</w:t>
            </w:r>
          </w:p>
        </w:tc>
        <w:tc>
          <w:tcPr>
            <w:tcW w:w="9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Administrative</w:t>
            </w:r>
          </w:p>
        </w:tc>
        <w:tc>
          <w:tcPr>
            <w:tcW w:w="20" w:type="dxa"/>
            <w:vAlign w:val="bottom"/>
          </w:tcPr>
          <w:p>
            <w:pPr>
              <w:spacing w:after="0"/>
              <w:rPr>
                <w:sz w:val="11"/>
                <w:szCs w:val="11"/>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9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Fee Revenue</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Cinemark</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5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the quarter ended March 27, 2008, the 2007 post-IPO period and the 2007 pre-IPO period, AMC, Cinemark and Regal purchased $0.3 million, $0.2 million and $0.1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Included in media and events operating costs is $0.2 million, $0.2 million and $0.2 million for the quarter ended March 27, 2008, the 2007 post-IPO period and the 2007 pre-IPO period, respectively, related to purchases of movie tickets and concession products from the founding members primarily for resale to NCM LLC’s customers.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quarter ended March 27, 2008, the 2007 post-IPO period and the 2007 pre-IPO period, severance expense and the related capital contribution recognized for amounts under the Regal Unit Option Plan were $0.2 million, $0.5 million and $0.4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NCM LLC and IdeaCast entered into a shared services agreement which allows for cross-marketing and certain services to be provided between the companies at rates which will be determined on an arms length basis. The services provided by IdeaCast for the quarter ended March 27, 2008 and the 2007 post-IPO period were not material to NCM.</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outstanding balance under the revolving credit facility at March 27, 2008 was $49.0 million. As of March 27, 2008, the effective rate on the term loan was 6.22% (the interest rate swap hedged $550.0 million of the $725.0 million term loan at a fixed interest rate of 6.734% while the unhedged portion was at an interest rate of 4.62%) and the weighted-average interest rate on the revolver was 4.68%. Commencing with the third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The senior secured credit facility also contains a number of covenants and financial ratio requirements, with which the Company was in compliance at March 27,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7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as of March 26, 2008, NCM LLC issued 2,544,949 common membership units to its founding members in exchange for the rights to exclusive access to net new theatres and attendees added by the founding members to NCM LLC’s network in accordance with the annual common unit adjustment provisions of the Common Unit Adjustment Agreement dated as of February 13, 2007, by and among NCM Inc., NCM LLC, AMC, Cinemark and Regal. As a result, NCM LLC recorded an intangible asset at fair value of $58.5 million in the first quarter 2008 based on the fair value of the NCM, Inc. common stock in which NCM LLC units are convertible by the founding members.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Pursuant to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intangible asset has a finite useful life and the Company will begin to amortize the asset in the second quarter 2008 over the remaining useful life. We estimate amortization expense will be approximately $2.0 million for each of the five succeeding fiscal years.</w:t>
      </w:r>
    </w:p>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April 29, 2008, the Company declared a cash dividend of $0.15 per share (approximately $6.3 million) on each share of the Company’s common stock (including outstanding restricted stock) to stockholders of record on May 21, 2008 to be paid on June 4, 2008.</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April 29, 2008, NCM LLC, IdeaCast, the IdeaCast lender and certain of its stockholders agreed to a financial restructuring of IdeaCast. Among other things, the restructuring resulted in an increase in the loan commitment from $20.7 million to $25.0 million, $12.5 million of which will be convertible into common stock of IdeaCast at a stated amount per share (“Conversion Price”); reduction of the rate at which the preferred stock held by NCM LLC can be converted into common stock at the Conversion Rate; the lender being granted an option to “put,” or require NCM LLC to purchase, up to $10 million of the funded convertible debt at the Conversion Rate, at par, on or after December 31, 2010 through March 31, 2011; NCM LLC being granted an option to “call”, or require the lender to assign to NCM LLC up to $10 million of funded convertible debt at the Conversion Rate, at par, at any time before the “put” is exercised in whole and an amendment to the number of common shares and option price of the preexisting NCM Option to acquire IdeaCast common stock. The conversion of NCM’s convertible preferred stock, call (or put by the lender) of the convertible preferred stock and exercise of the NCM Option would result in NCM LLC’s ownership interest in IdeaCast increasing to 80% (on a fully diluted basis). The Company is evaluating the impact of this transaction on its consolidated financial statements, which we do not believe will be material.</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April 30, 2008 Regal delivered notice to NCM pursuant to Section 2 (a) of the Common Unit Adjustment Agreement in connection with the closing of its acquisition of Consolidated Theatres. The acquired theatres are Encumbered Theatres and as such Regal intends to make Exclusivity Run-Out Payments pursuant to Section 4.08(b) and Schedule 1 of the Exhibitor Services Agreement, dated as of February 13, 2007, by and between NCM LLC and Regal. The Company is collecting the necessary data to determine the impact of this transaction on its consolidated financial statements.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 on March 7, 2008 for the fiscal year ended December 27, 2007, including “Business-Corporate History,” “Business-Reorganization,” “Management’s Discussion and Analysis of Financial Condition and Results of Operations,” and with our audited historical financial statements and the notes thereto included elsewhere in this document along with the information contained in our definitive Proxy Statement filed with the SEC on March 28, 2008.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in our Form 10-K and elsewhere in this document.</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summary unaudited pro forma condensed consolidated statements of operations for the quarter ended March 29, 2007 shown below present the consolidated results of operations of NCM, Inc. assuming the IPO, reorganization and senior secured credit facility transactions discussed in detail in our Form 10-K filed with the SEC on March 7, 2008 for the fiscal year ended December 27, 2007 had been completed and the material changes to contractual arrangements, which occurred in connection with the completion of the IPO and related transactions described had become effective as of December 28, 2006.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company. The adjustments as set forth below are described in detail in the notes to the unaudited pro forma condensed consolidated statements of operations and principally include the matters set forth below.</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contractual adjustments include adjustments to reflect the terms of the amended and restated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pre-IPO historical results of operations.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audited historical financial statements included in our Form 10-K filed with the SEC on March 7, 2008 for the fiscal year ended December 27, 2007, and the future operating results of NCM, Inc. will also be impacted by related party transactions. 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28, 2006. The unaudited pro forma condensed consolidated financial information also does not project the results of operations or financial position for any future period or date.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Pre-IPO</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Post-IPO</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period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period</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13,</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2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Ended March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March 29,</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8"/>
              </w:rPr>
              <w:t>29, 2007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2"/>
                <w:szCs w:val="12"/>
                <w:color w:val="auto"/>
              </w:rPr>
            </w:pP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40" w:type="dxa"/>
            <w:vAlign w:val="bottom"/>
          </w:tcPr>
          <w:p>
            <w:pPr>
              <w:spacing w:after="0"/>
              <w:rPr>
                <w:sz w:val="12"/>
                <w:szCs w:val="12"/>
                <w:color w:val="auto"/>
              </w:rPr>
            </w:pP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Historical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Historical</w:t>
            </w:r>
          </w:p>
        </w:tc>
        <w:tc>
          <w:tcPr>
            <w:tcW w:w="4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Circuit share costs/theatre access fees – founding members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Minority interest, net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55"/>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right="120" w:hanging="446"/>
        <w:spacing w:after="0" w:line="28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amended and restated ESAs, based on the actual revenue generated from those legacy contracts and the reversal of the related legacy contract administrative fees historically recorded by NCM LLC. Legacy advertising contracts are those contracts signed by Regal and AMC prior to the formation of NCM LLC. In addition, adjustments include the pro forma effect of the revenue from the sale of additional theatre advertising inventory to the founding members, in accordance with the ESAs, in order for the founding members to fulfill their beverage concessionaire agreement on-screen advertising commitments. Contractual adjustments also include the change in circuit share payments pursuant to the ESAs. Under the terms of the prior ESAs with the founding members, the circuit share payments were based on varying percentages of advertising revenue. Under the amended and restated ESAs, the theatre access fee payments is initially based on a per attendee and per digital screen calculation.</w:t>
      </w:r>
    </w:p>
    <w:p>
      <w:pPr>
        <w:spacing w:after="0" w:line="38"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new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40" w:hanging="446"/>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IPO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7, 2008 with the SEC for the Company’s fiscal year ended December 27, 2007. The following discussion and analysis should be read in conjunction with the unaudited condensed consolidated financial statement and notes thereto included herein and the audited financial statements and other disclosure included in our annual report on Form 10-K filed on March 7, 2008 with the SEC for the Company’s fiscal year ended December 27, 2007.</w:t>
      </w:r>
    </w:p>
    <w:p>
      <w:pPr>
        <w:spacing w:after="0" w:line="3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that allows us to distribute advertising, business meetings, and Fathom event services. Our revenue is principally derived from the sale of advertising and, to a lesser extent, from our CineMeetings business and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primarily to theatres that are digitally equipped with our proprietary DCN technology. In excess of 90% of the aggregate founding member and network affiliate theatre attendance is included in our digital network.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results of operations data for the period December 28, 2006 through February 12, 2007 (the “2007 pre-IPO period”) and the results of operations data for the period February 13, 2007 through March 29, 2007 (the “2007 post-IPO period”)give effect to allocations of revenues and expenses made using relative percentages of founding member attendance or days in each period, specific events or facts and other methods management considered to be a reasonable reflection of the results for such period.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14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Management confers monthly to discuss and analyze operating results and address significant variances to budget in an effort to identify trends and changes in our business. We focus on many operating metrics including changes in EBITDA, Adjusted EBITDA and Adjusted EBITDA margin, as discussed below, as some of our primary measurement metrics. In addition, we pay particular attention to our monthly advertising performance measurements, including advertising inventory utilization, pricing (CPM), advertising revenue per attendee and the number of CineMeetings and Fathom event locations and revenue per location. Finally, we monitor our operating cash flow and revolving credit facility availability to ensure that debt and declared and future dividend obligations can be met.</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on March 7, 2008 with the SEC for the Company’s fiscal year ended December 27,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presents operating data and EBITDA on a historical and a pro forma basis. The summary pro forma financial information in the table below was derived from unaudited pro forma consolidated statement of operations for the quarter ended March 29, 2007 included elsewhere in this document. See “—EBITDA” below for a discussion of the calculation of adjusted EBITDA and reconciliation to net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4"/>
          </w:tcPr>
          <w:p>
            <w:pPr>
              <w:jc w:val="center"/>
              <w:ind w:right="1020"/>
              <w:spacing w:after="0" w:line="129" w:lineRule="exact"/>
              <w:rPr>
                <w:sz w:val="20"/>
                <w:szCs w:val="20"/>
                <w:color w:val="auto"/>
              </w:rPr>
            </w:pPr>
            <w:r>
              <w:rPr>
                <w:rFonts w:ascii="Arial" w:cs="Arial" w:eastAsia="Arial" w:hAnsi="Arial"/>
                <w:sz w:val="14"/>
                <w:szCs w:val="14"/>
                <w:b w:val="1"/>
                <w:bCs w:val="1"/>
                <w:color w:val="auto"/>
                <w:w w:val="87"/>
              </w:rPr>
              <w:t>Post-IPO</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91"/>
              </w:rPr>
              <w:t>Period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Pre-IPO 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27,</w:t>
            </w:r>
          </w:p>
        </w:tc>
        <w:tc>
          <w:tcPr>
            <w:tcW w:w="200" w:type="dxa"/>
            <w:vAlign w:val="bottom"/>
          </w:tcPr>
          <w:p>
            <w:pPr>
              <w:spacing w:after="0"/>
              <w:rPr>
                <w:sz w:val="12"/>
                <w:szCs w:val="12"/>
                <w:color w:val="auto"/>
              </w:rPr>
            </w:pPr>
          </w:p>
        </w:tc>
        <w:tc>
          <w:tcPr>
            <w:tcW w:w="1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gridSpan w:val="2"/>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Adjusted EBITDA margin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(Loss) per Basic Share</w:t>
            </w:r>
          </w:p>
        </w:tc>
        <w:tc>
          <w:tcPr>
            <w:tcW w:w="2220" w:type="dxa"/>
            <w:vAlign w:val="bottom"/>
            <w:gridSpan w:val="2"/>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Diluted Share</w:t>
            </w:r>
          </w:p>
        </w:tc>
        <w:tc>
          <w:tcPr>
            <w:tcW w:w="22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presents total advertising contract value and operating expenses (excluding meetings and events operating costs) per attendee for the periods presented, which will be discussed further below. In the past we have provided metrics per founding member attendee, however, as network affiliate attendance becomes a more significant portion of our total attendance due to the expansion of our network, we believe providing metrics on total attendance are more meaningful.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87"/>
              </w:rPr>
              <w:t>Post-IPO</w:t>
            </w: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Pre-IPO</w:t>
            </w:r>
          </w:p>
        </w:tc>
      </w:tr>
      <w:tr>
        <w:trPr>
          <w:trHeight w:val="149"/>
        </w:trPr>
        <w:tc>
          <w:tcPr>
            <w:tcW w:w="754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period</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period</w:t>
            </w:r>
          </w:p>
        </w:tc>
      </w:tr>
      <w:tr>
        <w:trPr>
          <w:trHeight w:val="149"/>
        </w:trPr>
        <w:tc>
          <w:tcPr>
            <w:tcW w:w="7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75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27,</w:t>
            </w:r>
          </w:p>
        </w:tc>
        <w:tc>
          <w:tcPr>
            <w:tcW w:w="240" w:type="dxa"/>
            <w:vAlign w:val="bottom"/>
          </w:tcPr>
          <w:p>
            <w:pPr>
              <w:spacing w:after="0"/>
              <w:rPr>
                <w:sz w:val="12"/>
                <w:szCs w:val="12"/>
                <w:color w:val="auto"/>
              </w:rPr>
            </w:pPr>
          </w:p>
        </w:tc>
        <w:tc>
          <w:tcPr>
            <w:tcW w:w="1760" w:type="dxa"/>
            <w:vAlign w:val="bottom"/>
            <w:gridSpan w:val="4"/>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March 29,</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12,</w:t>
            </w:r>
          </w:p>
        </w:tc>
      </w:tr>
      <w:tr>
        <w:trPr>
          <w:trHeight w:val="161"/>
        </w:trPr>
        <w:tc>
          <w:tcPr>
            <w:tcW w:w="7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 in millions)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29.0</w:t>
            </w:r>
          </w:p>
        </w:tc>
        <w:tc>
          <w:tcPr>
            <w:tcW w:w="6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20.9</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Total advertising contract value per attendee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w w:val="85"/>
              </w:rPr>
              <w:t>0.44</w:t>
            </w:r>
          </w:p>
        </w:tc>
        <w:tc>
          <w:tcPr>
            <w:tcW w:w="6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0.30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 (excluding meetings and events operating costs) per attendee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0.17</w:t>
            </w:r>
          </w:p>
        </w:tc>
        <w:tc>
          <w:tcPr>
            <w:tcW w:w="6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0.16</w:t>
            </w:r>
          </w:p>
        </w:tc>
      </w:tr>
      <w:tr>
        <w:trPr>
          <w:trHeight w:val="208"/>
        </w:trPr>
        <w:tc>
          <w:tcPr>
            <w:tcW w:w="7540" w:type="dxa"/>
            <w:vAlign w:val="bottom"/>
          </w:tcPr>
          <w:p>
            <w:pPr>
              <w:spacing w:after="0"/>
              <w:rPr>
                <w:sz w:val="20"/>
                <w:szCs w:val="20"/>
                <w:color w:val="auto"/>
              </w:rPr>
            </w:pPr>
            <w:r>
              <w:rPr>
                <w:rFonts w:ascii="Arial" w:cs="Arial" w:eastAsia="Arial" w:hAnsi="Arial"/>
                <w:sz w:val="18"/>
                <w:szCs w:val="18"/>
                <w:color w:val="auto"/>
              </w:rPr>
              <w:t>Total operating expense (excluding meetings and events operating costs) as a percentage of</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7540" w:type="dxa"/>
            <w:vAlign w:val="bottom"/>
          </w:tcPr>
          <w:p>
            <w:pPr>
              <w:ind w:left="220"/>
              <w:spacing w:after="0"/>
              <w:rPr>
                <w:sz w:val="20"/>
                <w:szCs w:val="20"/>
                <w:color w:val="auto"/>
              </w:rPr>
            </w:pPr>
            <w:r>
              <w:rPr>
                <w:rFonts w:ascii="Arial" w:cs="Arial" w:eastAsia="Arial" w:hAnsi="Arial"/>
                <w:sz w:val="18"/>
                <w:szCs w:val="18"/>
                <w:color w:val="auto"/>
              </w:rPr>
              <w:t>advertising revenues</w:t>
            </w:r>
          </w:p>
        </w:tc>
        <w:tc>
          <w:tcPr>
            <w:tcW w:w="100" w:type="dxa"/>
            <w:vAlign w:val="bottom"/>
          </w:tcPr>
          <w:p>
            <w:pPr>
              <w:spacing w:after="0"/>
              <w:rPr>
                <w:sz w:val="19"/>
                <w:szCs w:val="19"/>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w w:val="86"/>
              </w:rPr>
              <w:t>55.8%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which we remove because the expenses do not result in cash payments by us and could vary based on share price, share price volatility and expected life of the equity instruments we grant. Adjusted EBITDA margin is calculated by dividing adjusted EBITDA by total revenue. EBITDA and adjusted EBITDA do not reflect the Loews payments. The Loews payments received are added to adjusted EBITDA to determine our compliance with financial covenants under our new senior secured credit facility. AMC makes Loews payments to NCM LLC pursuant to the Loews screen integration agreement, which were $0.8 million and $0.8 million for the quarter ended March 27, 2008 and the 2007 post-IPO period, respectively.</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to evaluate and value companies, many of which present EBITDA, adjusted EBITDA and adjusted EBITDA margin when reporting their results. Also, because of the significant changes in our operating results that resulted from the acquisition of an interest in NCM LLC by NCM, Inc., the changes in the ESAs and the financing transaction, we disclose pro forma EBITDA, adjusted EBITDA and adjusted EBITDA margin in this document. See the unaudited pro forma financial information contained elsewhere in this document.</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reconciles historical and pro forma net income (loss) to historical and pro forma EBITDA and adjusted EBITDA for the periods presented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Historical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Post-IPO</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93"/>
              </w:rPr>
              <w:t>Pre-IPO</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Period</w:t>
            </w: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Quarter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Quarter 2008</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vs. Pro Forma</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27,</w:t>
            </w:r>
          </w:p>
        </w:tc>
        <w:tc>
          <w:tcPr>
            <w:tcW w:w="18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March 29,</w:t>
            </w:r>
          </w:p>
        </w:tc>
        <w:tc>
          <w:tcPr>
            <w:tcW w:w="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29,</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Quarter 2007</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4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440"/>
              <w:spacing w:after="0"/>
              <w:rPr>
                <w:sz w:val="20"/>
                <w:szCs w:val="20"/>
                <w:color w:val="auto"/>
              </w:rPr>
            </w:pPr>
            <w:r>
              <w:rPr>
                <w:rFonts w:ascii="Arial" w:cs="Arial" w:eastAsia="Arial" w:hAnsi="Arial"/>
                <w:sz w:val="18"/>
                <w:szCs w:val="18"/>
                <w:color w:val="auto"/>
              </w:rPr>
              <w:t>EBITDA</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Share-based compensation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32.4</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62.1</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EBITDA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41.4%</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results of operations data for the quarter ended March 27, 2008 were derived from the unaudited condensed consolidated financial statements and accounting records of NCM, Inc. and NCM LLC and should be read in conjunction with the notes thereto. The results of operations data for the quarter ended March 29, 2007 is presented in two periods, the 2007 pre-IPO period and the 2007 post-IPO period. Separate periods have been presented because there were significant changes at the time of the IPO due to the ESA modifications and related expenses thereunder, and significant changes to revenue arrangements and contracts with the founding members, as described more fully in the section entitled “Factors Affecting Comparability of Results of Operations” in our Form 10-K filed on March 7, 2008 with the SEC for the Company’s fiscal year ended December 27,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27, 2008 and the 2007 Post-IPO Period and the 2007 Pre-IPO Period</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March 27, 2008 was $62.7 million as compared to $32.4 million for the 2007 post-IPO</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$23.6 million for the 2007 pre-IPO period. The increase in the first quarter of 2008 over the comparable aggregate 2007 periods was primarily the result of payments from the founding member beverage agreements, an increase in local and regional advertising sales, and increasing meetings and events revenue. National advertising revenue excluding payments from the founding members beverage agreements for the first quarter of 2008 decreased 6.1% related primarily to a decrease in national advertising inventory utilization to 58.7% from 70.1%, partially offset by a 6.7% increase in CPMs and a 4.8% increase in total attendance. The increase in total attendance is due to the addition throughout 2007 and in the first quarter 2008 of advertising affiliates to our network, however this was offset by fewer impressions because we passed on certain contracts with unacceptably low CPMs. Local and regional advertising revenue increased by 14.3% primarily due to an increase in screens and time sold. The meeting and events revenue increase of 45.2% related to an increase in Fathom revenue associated with more events and higher overall ticket sales.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Total advertising contract value per attendee for the Company for the quarter ended March 27, 2008 was $0.37, while the total advertising contract value per attendee was $0.44 and $0.30 for the 2007 post-IPO period and the 2007 pre-IPO period, respectively. The approximate 2.8% increase in the advertising contract value per attendee for the first quarter of 2008 versus the combined 2007 post-IPO period and 2007 pre-IPO period was primarily the result of the increased CPM and local and regional advertising through an expansion of our advertising client base.</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Total operating expenses excluding meetings and events operating costs for the quarter ended March 27, 2008 were $27.0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$11.4 million for the 2007 post-IPO period and $11.5 million for the 2007 pre-IPO period. The increase of the first quarter of 2008 versus the combined 2007 post-IPO period and 2007 pre-IPO period was primarily the result of the increase in local sales commissions, increased sales and marketing expenses for activities supporting outreach to customers over our increased live network footprint and increases in administrative expenses associated with being a public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Total operating expenses excluding meetings and events operating costs per attendee for the Company for the quarter ended March 27, 2008, the 2007 post-IPO period and the 2007 pre-IPO period was $0.19, $0.17 and $0.16, respectively. The 11.8% increase in total operating expenses excluding meetings and events operating costs per attendee was primarily the result of higher expense levels discussed above and due to the fixed nature of many of our operating expenses associated with our advertising business. Operating expenses excluding meetings and events operating costs as a percentage of advertising revenues for the quarter ended March 27, 2008 was 50.3%, 39.3% for the 2007 post-IPO period and 55.8% for the 2007 pre-IPO period. The increase in the percentage is primarily the result of higher revenue levels and expenses discussed above.</w:t>
      </w:r>
    </w:p>
    <w:p>
      <w:pPr>
        <w:spacing w:after="0" w:line="12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i w:val="1"/>
          <w:iCs w:val="1"/>
          <w:color w:val="auto"/>
        </w:rPr>
        <w:t>Meetings and Events Operating Costs</w:t>
      </w:r>
      <w:r>
        <w:rPr>
          <w:rFonts w:ascii="Arial" w:cs="Arial" w:eastAsia="Arial" w:hAnsi="Arial"/>
          <w:sz w:val="15"/>
          <w:szCs w:val="15"/>
          <w:color w:val="auto"/>
        </w:rPr>
        <w:t>. Meetings and events operating costs for the quarter ended March 27, 2008 were $6.3 million, $1.8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2007 post-IPO period and $1.4 million for the 2007 pre-IPO period. The increase of the first quarter of 2008 versus the combined 2007 post-IPO period and 2007 pre-IPO period was primarily the result of increased content and revenue splits associated with the increase in meetings and events revenue discussed above.</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Circuit share expense/theatre access fee. </w:t>
      </w:r>
      <w:r>
        <w:rPr>
          <w:rFonts w:ascii="Arial" w:cs="Arial" w:eastAsia="Arial" w:hAnsi="Arial"/>
          <w:sz w:val="16"/>
          <w:szCs w:val="16"/>
          <w:color w:val="auto"/>
        </w:rPr>
        <w:t>Theatre access fees of the Company for the quarter ended March 27, 2008 was $11.5 million and $5.5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2007 post-IPO period, while circuit share expense was $14.4 million during the 2007 pre-IPO period. The change for the first quarter of 2008 and the 2007 post-IPO period versus the NCM LLC 2007 pre-IPO period was primarily the result of the amended and restated ESAs that became effective upon the completion of the IPO as discussed above. Total theatre access fees as a percentage of revenue of the Company for the quarter ended March 27, 2008 was 18.4% and the 2007 post-IPO period was 17.0%, while the total circuit share expense as a percentage of revenue was 61.0% for the 2007 pre-IPO period. The change in the theatre access fee as a percentage of revenue for the 2007 post-IPO period was the result of the change in the structure of the theatre access fee as compared to the circuit share payments prior to the amendment and restatement of the ESAs, as previously discussed.</w:t>
      </w:r>
    </w:p>
    <w:p>
      <w:pPr>
        <w:spacing w:after="0" w:line="11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loss generated by the Company for the quarter ended March 27, 2008 was $0.4 million compared to net income from the 2007 post-IPO period of $1.0 million and a net loss of $4.2 million for the 2007 pre-IPO period. The comparability of the net income of the periods presented is limited due to the differing lengths of the periods, size of our network and changes in the corporate structure and capitalization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March 27, 2008, our cash and cash equivalents balance was $32.3 million, an increase of $11.5 million compared to the balance of $20.8 million as of December 27, 2007. In addition, we had access to an undrawn line of credit of $31.0 million for a total liquidity position of $63.3 million as of March 27, 2008. The increase in our liquidity position from December 27, 2007 was in part a result of positive cash from operating and financing activities offset by higher levels of investing activities. A substantial amount of cash has been set aside for future income tax and tax sharing payments and payments related to dividends that have been declared.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7"/>
              </w:rPr>
              <w:t>Post-IPO</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Pre-IPO</w:t>
            </w:r>
          </w:p>
        </w:tc>
      </w:tr>
      <w:tr>
        <w:trPr>
          <w:trHeight w:val="149"/>
        </w:trPr>
        <w:tc>
          <w:tcPr>
            <w:tcW w:w="804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2"/>
                <w:szCs w:val="12"/>
                <w:color w:val="auto"/>
              </w:rPr>
            </w:pPr>
          </w:p>
        </w:tc>
        <w:tc>
          <w:tcPr>
            <w:tcW w:w="14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8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42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0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27,</w:t>
            </w:r>
          </w:p>
        </w:tc>
        <w:tc>
          <w:tcPr>
            <w:tcW w:w="1520" w:type="dxa"/>
            <w:vAlign w:val="bottom"/>
            <w:gridSpan w:val="4"/>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March 29,</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February 13,</w:t>
            </w:r>
          </w:p>
        </w:tc>
      </w:tr>
      <w:tr>
        <w:trPr>
          <w:trHeight w:val="161"/>
        </w:trPr>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cash from investing activities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73" w:lineRule="exact"/>
        <w:rPr>
          <w:sz w:val="20"/>
          <w:szCs w:val="20"/>
          <w:color w:val="auto"/>
        </w:rPr>
      </w:pPr>
    </w:p>
    <w:p>
      <w:pPr>
        <w:jc w:val="both"/>
        <w:ind w:left="900" w:right="2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increase in funds provided by operating activities for the quarter ended March 27, 2008 versus the combined 2007 post-IPO period and 2007 pre-IPO period was primarily due to levels of collection of accounts receivable balances and lower payments to the founding members related to the transition from a circuit share to a theatre access fee structure after the IPO.</w:t>
      </w:r>
    </w:p>
    <w:p>
      <w:pPr>
        <w:spacing w:after="0" w:line="25"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increase in funds provided by investing activities for the quarter ended March 27, 2008 versus the combined 2007 post-IPO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and 2007 pre-IPO period was primarily due to converting short-term investment funds into cash to fund our quarterly dividend payment, offset by higher levels of capital expenditures primarily associated with the purchases of equipment and related installation costs necessary to expand our network in network affiliate theatres.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funds generated by financing activities for the quarter ended March 27, 2008 versus the combined 2007 post-IPO period and 2007 pre-IPO period was primarily due to funds used in first quarter 2008 for available cash distributions to our founding members, dividend payments and repayments on our revolving credit facility whereas in first quarter 2007 we had funds generated from net proceeds related to the IPO and net borrowings on our senior secured credit facility.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cash balances at the end of the historical periods are typically low, as circuit share payments are made to the founding members out of excess cash subsequent to the IPO. Our cash balances will fluctuate due to the timing of available cash payments (as defined) to our founding members, interest payments on our term loan, income tax payments, tax sharing payments to our founding members and quarterly dividends to our common shareholders we expect to pay pursuant to our dividend policy.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sources of liquidity and capital resources are distributions from NCM LLC generated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operating, investing and financing activities of the operating subsidiary and availability of up to $80.0 million under NCM LLC’s senior secured revolving credit facility entered into in February 2007. Management believes that future funds generated from NCM LLC’s operations and distributions to NCM, Inc. and available borrowing capacity of up to $80.0 million under NCM LLC’s revolving credit facility should be sufficient to fund working capital requirements, NCM LLC’s debt service requirements, and capital expenditure and other investing requirements, through the next 12 months and to fund quarterly dividends as they are declared by the Company. The amount outstanding as of March 27, 2008 on the revolving credit facility was $49.0 million. Cash flows generated by NCM LLC’s distributions to NCM, Inc. can be impacted by the seasonality experienced in advertising revenues at NCM LLC and the impact to associated collections of accounts receivable. In addition, NCM LLC is required pursuant to terms of the operating agreement effective as of February 13, 2007 to distribute its available cash, as defined in the operating agreement, to its members, including the Company. The available cash distribution to the members of NCM LLC for the quarter ended March 27, 2008 was approximately $5.6 million, of which $2.5 million was the Company’s portion. NCM, Inc. will use cash received from the available cash distributions to fund income taxes and current and future dividends as declared by the board of directors, including a dividend declared of $0.15 per share (approximately $6.3 million) which will be paid on June 4,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a discussion of contractual and other obligations, see Item 7. “Management’s Discussion and Analysis of Financial Condition and Results of Operations – Contractual and Other Obligations” contained in our annual report on Form 10-K for the fiscal year ended December 27, 2007 and incorporated by reference herein. As of March 27, 2008, there were no significant changes in those contractual or other obligations. However, subsequent to March 27, 2008, the Company has agreed to certain obligations with respect to IdeaCast as described further in Note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December 27, 2007 and incorporated by reference herein. As of March 27, 2008, there were no significant changes in those critical accounting policies or estimation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2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had no off-balance sheet arrangements or obligations for the periods presented in this report. Our operating lease obligations, which primarily include office leases, are not reflected on our balance sheet. See “Contractual and Other Obligations” above for further detail. We do not believe these arrangements are material to our current or future financial condition, results of operations, liquidity, capital resources or capital expenditures.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levels of revenue, operating income, net income, EBITDA and adjusted EBITDA are seasonal in nature, coinciding with the timing of marketing expenditures by our advertising clients, and to a lesser extent, to the quarter’s film revenue and related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we typically have less revenue, operating income, net income, EBITDA and adjusted EBITDA and our operating margins are lower in the first quarter than the other quarters of a given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Importantly, the results of one quarter are not necessarily indicative of results for the next or any future quarter.</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primary market risk to which we are exposed is interest rate risk. We have entered into a fixed interest rate swap arrangements hedging $550.0 million of the $725.0 million senior secured credit facility at a fixed interest rate of 6.734%. For a discussion of market risks, see Item 7A. “Quantitative and Qualitative Disclosures About Market Risk” contained in our annual report on Form 10-K for the fiscal year ended December 27, 2007 and incorporated by reference herein. As of March 27, 2008, there were no material changes in our exposure to market risks.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March 27, 2008,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March 27, 2008 were effective.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March 27, 2008 that have materially affected, or are likely to materially affect, the Company’s internal controls over financial reporting.</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7, 2008 with the SEC for the fiscal year ended December 27,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April 9, 2008, NCM LLC issued common membership units to the founding members as part of the Common Unit Adjustment Agreement. Refer to our Current Report on Form 8-K filed on April 14, 2008 with the SEC for specific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7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(a)</w:t>
            </w:r>
          </w:p>
        </w:tc>
        <w:tc>
          <w:tcPr>
            <w:tcW w:w="38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7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8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7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Paid Per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7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Purchased (1)</w:t>
            </w:r>
          </w:p>
        </w:tc>
        <w:tc>
          <w:tcPr>
            <w:tcW w:w="38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2"/>
              </w:rPr>
              <w:t>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 28, 2007 through Jan. 24, 2008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13,969</w:t>
            </w:r>
          </w:p>
        </w:tc>
        <w:tc>
          <w:tcPr>
            <w:tcW w:w="162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0"/>
              </w:rPr>
              <w:t>$25.21</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Jan. 25, 2008 through Feb. 21, 2008</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 22, 2008 through Mar. 27, 2008</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17"/>
                <w:szCs w:val="17"/>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6"/>
              </w:rPr>
              <w:t>Defaults Upon Senior Securities</w:t>
            </w:r>
          </w:p>
        </w:tc>
        <w:tc>
          <w:tcPr>
            <w:tcW w:w="8000" w:type="dxa"/>
            <w:vAlign w:val="bottom"/>
            <w:gridSpan w:val="2"/>
          </w:tcPr>
          <w:p>
            <w:pPr>
              <w:spacing w:after="0"/>
              <w:rPr>
                <w:sz w:val="17"/>
                <w:szCs w:val="17"/>
                <w:color w:val="auto"/>
              </w:rPr>
            </w:pPr>
          </w:p>
        </w:tc>
      </w:tr>
      <w:tr>
        <w:trPr>
          <w:trHeight w:val="316"/>
        </w:trPr>
        <w:tc>
          <w:tcPr>
            <w:tcW w:w="20" w:type="dxa"/>
            <w:vAlign w:val="bottom"/>
          </w:tcPr>
          <w:p>
            <w:pPr>
              <w:spacing w:after="0"/>
              <w:rPr>
                <w:sz w:val="24"/>
                <w:szCs w:val="24"/>
                <w:color w:val="auto"/>
              </w:rPr>
            </w:pPr>
          </w:p>
        </w:tc>
        <w:tc>
          <w:tcPr>
            <w:tcW w:w="1260" w:type="dxa"/>
            <w:vAlign w:val="bottom"/>
            <w:gridSpan w:val="4"/>
          </w:tcPr>
          <w:p>
            <w:pPr>
              <w:ind w:left="4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461"/>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38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6"/>
              </w:rPr>
              <w:t>Submission of Matters to a Vote of Security Holders</w:t>
            </w:r>
          </w:p>
        </w:tc>
        <w:tc>
          <w:tcPr>
            <w:tcW w:w="6500" w:type="dxa"/>
            <w:vAlign w:val="bottom"/>
          </w:tcPr>
          <w:p>
            <w:pPr>
              <w:spacing w:after="0"/>
              <w:rPr>
                <w:sz w:val="24"/>
                <w:szCs w:val="24"/>
                <w:color w:val="auto"/>
              </w:rPr>
            </w:pPr>
          </w:p>
        </w:tc>
      </w:tr>
      <w:tr>
        <w:trPr>
          <w:trHeight w:val="316"/>
        </w:trPr>
        <w:tc>
          <w:tcPr>
            <w:tcW w:w="20" w:type="dxa"/>
            <w:vAlign w:val="bottom"/>
          </w:tcPr>
          <w:p>
            <w:pPr>
              <w:spacing w:after="0"/>
              <w:rPr>
                <w:sz w:val="24"/>
                <w:szCs w:val="24"/>
                <w:color w:val="auto"/>
              </w:rPr>
            </w:pPr>
          </w:p>
        </w:tc>
        <w:tc>
          <w:tcPr>
            <w:tcW w:w="1260" w:type="dxa"/>
            <w:vAlign w:val="bottom"/>
            <w:gridSpan w:val="4"/>
          </w:tcPr>
          <w:p>
            <w:pPr>
              <w:ind w:left="44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461"/>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440" w:type="dxa"/>
            <w:vAlign w:val="bottom"/>
          </w:tcPr>
          <w:p>
            <w:pPr>
              <w:spacing w:after="0"/>
              <w:rPr>
                <w:sz w:val="24"/>
                <w:szCs w:val="24"/>
                <w:color w:val="auto"/>
              </w:rPr>
            </w:pPr>
          </w:p>
        </w:tc>
        <w:tc>
          <w:tcPr>
            <w:tcW w:w="10380" w:type="dxa"/>
            <w:vAlign w:val="bottom"/>
            <w:gridSpan w:val="7"/>
          </w:tcPr>
          <w:p>
            <w:pPr>
              <w:spacing w:after="0"/>
              <w:rPr>
                <w:sz w:val="20"/>
                <w:szCs w:val="20"/>
                <w:color w:val="auto"/>
              </w:rPr>
            </w:pPr>
            <w:r>
              <w:rPr>
                <w:rFonts w:ascii="Arial" w:cs="Arial" w:eastAsia="Arial" w:hAnsi="Arial"/>
                <w:sz w:val="18"/>
                <w:szCs w:val="18"/>
                <w:b w:val="1"/>
                <w:bCs w:val="1"/>
                <w:color w:val="auto"/>
              </w:rPr>
              <w:t>Other Information</w:t>
            </w:r>
          </w:p>
        </w:tc>
      </w:tr>
      <w:tr>
        <w:trPr>
          <w:trHeight w:val="316"/>
        </w:trPr>
        <w:tc>
          <w:tcPr>
            <w:tcW w:w="20" w:type="dxa"/>
            <w:vAlign w:val="bottom"/>
          </w:tcPr>
          <w:p>
            <w:pPr>
              <w:spacing w:after="0"/>
              <w:rPr>
                <w:sz w:val="24"/>
                <w:szCs w:val="24"/>
                <w:color w:val="auto"/>
              </w:rPr>
            </w:pP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None</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461"/>
        </w:trPr>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40" w:type="dxa"/>
            <w:vAlign w:val="bottom"/>
          </w:tcPr>
          <w:p>
            <w:pPr>
              <w:spacing w:after="0"/>
              <w:rPr>
                <w:sz w:val="24"/>
                <w:szCs w:val="24"/>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5"/>
              </w:rPr>
              <w:t>Exhibits</w:t>
            </w:r>
          </w:p>
        </w:tc>
        <w:tc>
          <w:tcPr>
            <w:tcW w:w="9760" w:type="dxa"/>
            <w:vAlign w:val="bottom"/>
            <w:gridSpan w:val="4"/>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24"/>
                <w:szCs w:val="2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24"/>
                <w:szCs w:val="24"/>
                <w:color w:val="auto"/>
              </w:rPr>
            </w:pPr>
          </w:p>
        </w:tc>
        <w:tc>
          <w:tcPr>
            <w:tcW w:w="10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National CineMedia, Inc. 2008 Performance Bonus Plan</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w w:val="92"/>
              </w:rPr>
              <w:t>Common Unit Adjustment Agreement dated as of February 13, 2007, by and among National CineMedia, Inc., National CineMedia,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w w:val="96"/>
              </w:rPr>
              <w:t>Regal CineMedia Holdings, LLC, American Multi-Cinema, Inc., Cinemark Media, Inc, Regal Cinemas, Inc. and Cinemark USA, Inc.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(Confidential treatment granted as to certain portions, which portions were omitted and filed separately with the Commission.)</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40" w:type="dxa"/>
            <w:vAlign w:val="bottom"/>
          </w:tcPr>
          <w:p>
            <w:pPr>
              <w:jc w:val="center"/>
              <w:ind w:left="1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440" w:type="dxa"/>
            <w:vAlign w:val="bottom"/>
          </w:tcPr>
          <w:p>
            <w:pPr>
              <w:jc w:val="center"/>
              <w:ind w:left="1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440" w:type="dxa"/>
            <w:vAlign w:val="bottom"/>
          </w:tcPr>
          <w:p>
            <w:pPr>
              <w:jc w:val="center"/>
              <w:ind w:left="1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440" w:type="dxa"/>
            <w:vAlign w:val="bottom"/>
          </w:tcPr>
          <w:p>
            <w:pPr>
              <w:jc w:val="center"/>
              <w:ind w:left="1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Appendix B of the Registrant’s Proxy Statement on Schedule 14A (File No. 001-33296) filed on March 28,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10.6 to Registrant’s Current Report on Form 8-K (File No. 001-33296) filed on February 16,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b w:val="1"/>
                <w:bCs w:val="1"/>
                <w:color w:val="auto"/>
              </w:rPr>
              <w:t>NATIONAL CINEMEDIA, INC.</w:t>
            </w: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6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Dated: May 8, 2008</w:t>
            </w:r>
          </w:p>
        </w:tc>
        <w:tc>
          <w:tcPr>
            <w:tcW w:w="244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Kurt C. Hall</w:t>
            </w:r>
          </w:p>
        </w:tc>
      </w:tr>
      <w:tr>
        <w:trPr>
          <w:trHeight w:val="202"/>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Kurt C. Hall</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7"/>
        </w:trPr>
        <w:tc>
          <w:tcPr>
            <w:tcW w:w="3520" w:type="dxa"/>
            <w:vAlign w:val="bottom"/>
          </w:tcPr>
          <w:p>
            <w:pPr>
              <w:spacing w:after="0"/>
              <w:rPr>
                <w:sz w:val="20"/>
                <w:szCs w:val="20"/>
                <w:color w:val="auto"/>
              </w:rPr>
            </w:pPr>
            <w:r>
              <w:rPr>
                <w:rFonts w:ascii="Arial" w:cs="Arial" w:eastAsia="Arial" w:hAnsi="Arial"/>
                <w:sz w:val="18"/>
                <w:szCs w:val="18"/>
                <w:color w:val="auto"/>
              </w:rPr>
              <w:t>Dated: May 8, 2008</w:t>
            </w:r>
          </w:p>
        </w:tc>
        <w:tc>
          <w:tcPr>
            <w:tcW w:w="244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Gary W. Ferrera</w:t>
            </w:r>
          </w:p>
        </w:tc>
      </w:tr>
      <w:tr>
        <w:trPr>
          <w:trHeight w:val="202"/>
        </w:trPr>
        <w:tc>
          <w:tcPr>
            <w:tcW w:w="35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Gary W. Ferrera</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22"/>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and Financial Officer)</w:t>
            </w:r>
          </w:p>
        </w:tc>
      </w:tr>
      <w:tr>
        <w:trPr>
          <w:trHeight w:val="378"/>
        </w:trPr>
        <w:tc>
          <w:tcPr>
            <w:tcW w:w="3520" w:type="dxa"/>
            <w:vAlign w:val="bottom"/>
          </w:tcPr>
          <w:p>
            <w:pPr>
              <w:spacing w:after="0"/>
              <w:rPr>
                <w:sz w:val="24"/>
                <w:szCs w:val="24"/>
                <w:color w:val="auto"/>
              </w:rPr>
            </w:pPr>
          </w:p>
        </w:tc>
        <w:tc>
          <w:tcPr>
            <w:tcW w:w="244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Chairman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27, 2008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8, 2008</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Chairman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March 27, 2008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8, 2008</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and Chief Financial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2019-12-15T14:06:35Z</dcterms:created>
  <dcterms:modified xsi:type="dcterms:W3CDTF">2019-12-15T14:06:35Z</dcterms:modified>
</cp:coreProperties>
</file>