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QUARTERLY REPORT PURSUANT TO SECTION 13 OR 15(d) OF</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2011</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NATIONAL CINEMEDIA,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66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040" w:type="dxa"/>
            <w:vAlign w:val="bottom"/>
          </w:tcPr>
          <w:p>
            <w:pPr>
              <w:jc w:val="center"/>
              <w:ind w:left="1884"/>
              <w:spacing w:after="0"/>
              <w:rPr>
                <w:sz w:val="20"/>
                <w:szCs w:val="20"/>
                <w:color w:val="auto"/>
              </w:rPr>
            </w:pPr>
            <w:r>
              <w:rPr>
                <w:rFonts w:ascii="Times New Roman" w:cs="Times New Roman" w:eastAsia="Times New Roman" w:hAnsi="Times New Roman"/>
                <w:sz w:val="18"/>
                <w:szCs w:val="18"/>
                <w:b w:val="1"/>
                <w:bCs w:val="1"/>
                <w:color w:val="auto"/>
                <w:w w:val="96"/>
              </w:rPr>
              <w:t>20-5665602</w:t>
            </w:r>
          </w:p>
        </w:tc>
      </w:tr>
      <w:tr>
        <w:trPr>
          <w:trHeight w:val="149"/>
        </w:trPr>
        <w:tc>
          <w:tcPr>
            <w:tcW w:w="466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3040" w:type="dxa"/>
            <w:vAlign w:val="bottom"/>
          </w:tcPr>
          <w:p>
            <w:pPr>
              <w:jc w:val="center"/>
              <w:ind w:left="1904"/>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466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03"/>
        </w:trPr>
        <w:tc>
          <w:tcPr>
            <w:tcW w:w="4660" w:type="dxa"/>
            <w:vAlign w:val="bottom"/>
          </w:tcPr>
          <w:p>
            <w:pPr>
              <w:jc w:val="center"/>
              <w:ind w:right="1902"/>
              <w:spacing w:after="0"/>
              <w:rPr>
                <w:sz w:val="20"/>
                <w:szCs w:val="20"/>
                <w:color w:val="auto"/>
              </w:rPr>
            </w:pPr>
            <w:r>
              <w:rPr>
                <w:rFonts w:ascii="Times New Roman" w:cs="Times New Roman" w:eastAsia="Times New Roman" w:hAnsi="Times New Roman"/>
                <w:sz w:val="18"/>
                <w:szCs w:val="18"/>
                <w:b w:val="1"/>
                <w:bCs w:val="1"/>
                <w:color w:val="auto"/>
                <w:w w:val="96"/>
              </w:rPr>
              <w:t>9110 East Nichols Avenue, Suite 200</w:t>
            </w:r>
          </w:p>
        </w:tc>
        <w:tc>
          <w:tcPr>
            <w:tcW w:w="3040" w:type="dxa"/>
            <w:vAlign w:val="bottom"/>
          </w:tcPr>
          <w:p>
            <w:pPr>
              <w:spacing w:after="0"/>
              <w:rPr>
                <w:sz w:val="24"/>
                <w:szCs w:val="24"/>
                <w:color w:val="auto"/>
              </w:rPr>
            </w:pPr>
          </w:p>
        </w:tc>
      </w:tr>
      <w:tr>
        <w:trPr>
          <w:trHeight w:val="229"/>
        </w:trPr>
        <w:tc>
          <w:tcPr>
            <w:tcW w:w="4660" w:type="dxa"/>
            <w:vAlign w:val="bottom"/>
          </w:tcPr>
          <w:p>
            <w:pPr>
              <w:jc w:val="center"/>
              <w:ind w:right="1902"/>
              <w:spacing w:after="0"/>
              <w:rPr>
                <w:sz w:val="20"/>
                <w:szCs w:val="20"/>
                <w:color w:val="auto"/>
              </w:rPr>
            </w:pPr>
            <w:r>
              <w:rPr>
                <w:rFonts w:ascii="Times New Roman" w:cs="Times New Roman" w:eastAsia="Times New Roman" w:hAnsi="Times New Roman"/>
                <w:sz w:val="18"/>
                <w:szCs w:val="18"/>
                <w:b w:val="1"/>
                <w:bCs w:val="1"/>
                <w:color w:val="auto"/>
                <w:w w:val="96"/>
              </w:rPr>
              <w:t>Centennial, Colorado</w:t>
            </w:r>
          </w:p>
        </w:tc>
        <w:tc>
          <w:tcPr>
            <w:tcW w:w="3040" w:type="dxa"/>
            <w:vAlign w:val="bottom"/>
          </w:tcPr>
          <w:p>
            <w:pPr>
              <w:jc w:val="center"/>
              <w:ind w:left="1884"/>
              <w:spacing w:after="0"/>
              <w:rPr>
                <w:sz w:val="20"/>
                <w:szCs w:val="20"/>
                <w:color w:val="auto"/>
              </w:rPr>
            </w:pPr>
            <w:r>
              <w:rPr>
                <w:rFonts w:ascii="Times New Roman" w:cs="Times New Roman" w:eastAsia="Times New Roman" w:hAnsi="Times New Roman"/>
                <w:sz w:val="18"/>
                <w:szCs w:val="18"/>
                <w:b w:val="1"/>
                <w:bCs w:val="1"/>
                <w:color w:val="auto"/>
                <w:w w:val="96"/>
              </w:rPr>
              <w:t>80112-3405</w:t>
            </w:r>
          </w:p>
        </w:tc>
      </w:tr>
      <w:tr>
        <w:trPr>
          <w:trHeight w:val="178"/>
        </w:trPr>
        <w:tc>
          <w:tcPr>
            <w:tcW w:w="466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both"/>
        <w:ind w:right="20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whether the registrant is a shell company (as defined in Rule 12b-2 of the Exchange Act).  Yes </w:t>
            </w:r>
            <w:r>
              <w:rPr>
                <w:rFonts w:ascii="MS PGothic" w:cs="MS PGothic" w:eastAsia="MS PGothic" w:hAnsi="MS PGothic"/>
                <w:sz w:val="18"/>
                <w:szCs w:val="18"/>
                <w:color w:val="auto"/>
                <w:w w:val="99"/>
              </w:rPr>
              <w:t>☐</w:t>
            </w:r>
          </w:p>
        </w:tc>
        <w:tc>
          <w:tcPr>
            <w:tcW w:w="22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29, 2011, 55,154,896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7"/>
            <w:vMerge w:val="restart"/>
          </w:tcPr>
          <w:p>
            <w:pPr>
              <w:jc w:val="center"/>
              <w:ind w:right="4800"/>
              <w:spacing w:after="0"/>
              <w:rPr>
                <w:rFonts w:ascii="Times New Roman" w:cs="Times New Roman" w:eastAsia="Times New Roman" w:hAnsi="Times New Roman"/>
                <w:sz w:val="18"/>
                <w:szCs w:val="18"/>
                <w:b w:val="1"/>
                <w:bCs w:val="1"/>
                <w:color w:val="0000EE"/>
                <w:w w:val="92"/>
              </w:rPr>
            </w:pPr>
            <w:hyperlink w:anchor="page3">
              <w:r>
                <w:rPr>
                  <w:rFonts w:ascii="Times New Roman" w:cs="Times New Roman" w:eastAsia="Times New Roman" w:hAnsi="Times New Roman"/>
                  <w:sz w:val="18"/>
                  <w:szCs w:val="18"/>
                  <w:b w:val="1"/>
                  <w:bCs w:val="1"/>
                  <w:color w:val="0000EE"/>
                  <w:w w:val="92"/>
                </w:rPr>
                <w:t>PART I</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40" w:type="dxa"/>
            <w:vAlign w:val="bottom"/>
            <w:gridSpan w:val="7"/>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Financial Statements</w:t>
              </w:r>
            </w:hyperlink>
          </w:p>
        </w:tc>
        <w:tc>
          <w:tcPr>
            <w:tcW w:w="3160" w:type="dxa"/>
            <w:vAlign w:val="bottom"/>
            <w:gridSpan w:val="10"/>
          </w:tcPr>
          <w:p>
            <w:pPr>
              <w:spacing w:after="0"/>
              <w:rPr>
                <w:sz w:val="17"/>
                <w:szCs w:val="17"/>
                <w:color w:val="auto"/>
              </w:rPr>
            </w:pPr>
          </w:p>
        </w:tc>
        <w:tc>
          <w:tcPr>
            <w:tcW w:w="560" w:type="dxa"/>
            <w:vAlign w:val="bottom"/>
            <w:tcBorders>
              <w:top w:val="single" w:sz="8" w:color="0000EE"/>
            </w:tcBorders>
            <w:gridSpan w:val="2"/>
          </w:tcPr>
          <w:p>
            <w:pPr>
              <w:spacing w:after="0"/>
              <w:rPr>
                <w:sz w:val="17"/>
                <w:szCs w:val="17"/>
                <w:color w:val="auto"/>
              </w:rPr>
            </w:pPr>
          </w:p>
        </w:tc>
        <w:tc>
          <w:tcPr>
            <w:tcW w:w="484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4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Condensed Consolidated Balance Sheets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Unaudited Condensed Consolidated Statements of Operations</w:t>
              </w:r>
            </w:hyperlink>
          </w:p>
        </w:tc>
        <w:tc>
          <w:tcPr>
            <w:tcW w:w="56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40" w:type="dxa"/>
            <w:vAlign w:val="bottom"/>
            <w:gridSpan w:val="2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Cash Flows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40" w:type="dxa"/>
            <w:vAlign w:val="bottom"/>
            <w:gridSpan w:val="2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Condensed Consolidated Statement of Equity/(Deficit) and Comprehensive Income</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Notes to Unaudited Condensed Consolidated Financial Statements</w:t>
              </w:r>
            </w:hyperlink>
          </w:p>
        </w:tc>
        <w:tc>
          <w:tcPr>
            <w:tcW w:w="1960" w:type="dxa"/>
            <w:vAlign w:val="bottom"/>
            <w:tcBorders>
              <w:top w:val="single" w:sz="8" w:color="0000EE"/>
            </w:tcBorders>
            <w:gridSpan w:val="4"/>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40" w:type="dxa"/>
            <w:vAlign w:val="bottom"/>
            <w:gridSpan w:val="21"/>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2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Quantitative and Qualitative Disclosures about Market Risk</w:t>
              </w:r>
            </w:hyperlink>
          </w:p>
        </w:tc>
        <w:tc>
          <w:tcPr>
            <w:tcW w:w="2080" w:type="dxa"/>
            <w:vAlign w:val="bottom"/>
            <w:tcBorders>
              <w:top w:val="single" w:sz="8" w:color="0000EE"/>
            </w:tcBorders>
            <w:gridSpan w:val="9"/>
          </w:tcPr>
          <w:p>
            <w:pPr>
              <w:spacing w:after="0"/>
              <w:rPr>
                <w:sz w:val="24"/>
                <w:szCs w:val="24"/>
                <w:color w:val="auto"/>
              </w:rPr>
            </w:pPr>
          </w:p>
        </w:tc>
        <w:tc>
          <w:tcPr>
            <w:tcW w:w="37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0040" w:type="dxa"/>
            <w:vAlign w:val="bottom"/>
            <w:gridSpan w:val="2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Controls and Procedures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40" w:type="dxa"/>
            <w:vAlign w:val="bottom"/>
            <w:gridSpan w:val="8"/>
          </w:tcPr>
          <w:p>
            <w:pPr>
              <w:jc w:val="center"/>
              <w:ind w:right="4600"/>
              <w:spacing w:after="0"/>
              <w:rPr>
                <w:rFonts w:ascii="Times New Roman" w:cs="Times New Roman" w:eastAsia="Times New Roman" w:hAnsi="Times New Roman"/>
                <w:sz w:val="18"/>
                <w:szCs w:val="18"/>
                <w:b w:val="1"/>
                <w:bCs w:val="1"/>
                <w:color w:val="0000EE"/>
                <w:w w:val="94"/>
              </w:rPr>
            </w:pPr>
            <w:hyperlink w:anchor="page28">
              <w:r>
                <w:rPr>
                  <w:rFonts w:ascii="Times New Roman" w:cs="Times New Roman" w:eastAsia="Times New Roman" w:hAnsi="Times New Roman"/>
                  <w:sz w:val="18"/>
                  <w:szCs w:val="18"/>
                  <w:b w:val="1"/>
                  <w:bCs w:val="1"/>
                  <w:color w:val="0000EE"/>
                  <w:w w:val="94"/>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600" w:type="dxa"/>
            <w:vAlign w:val="bottom"/>
            <w:gridSpan w:val="14"/>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Legal Proceedings</w:t>
              </w:r>
            </w:hyperlink>
          </w:p>
        </w:tc>
        <w:tc>
          <w:tcPr>
            <w:tcW w:w="640" w:type="dxa"/>
            <w:vAlign w:val="bottom"/>
            <w:tcBorders>
              <w:top w:val="single" w:sz="8" w:color="0000EE"/>
            </w:tcBorders>
            <w:gridSpan w:val="4"/>
          </w:tcPr>
          <w:p>
            <w:pPr>
              <w:spacing w:after="0"/>
              <w:rPr>
                <w:sz w:val="24"/>
                <w:szCs w:val="24"/>
                <w:color w:val="auto"/>
              </w:rPr>
            </w:pPr>
          </w:p>
        </w:tc>
        <w:tc>
          <w:tcPr>
            <w:tcW w:w="48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Risk Factors</w:t>
              </w:r>
            </w:hyperlink>
          </w:p>
        </w:tc>
        <w:tc>
          <w:tcPr>
            <w:tcW w:w="400" w:type="dxa"/>
            <w:vAlign w:val="bottom"/>
            <w:tcBorders>
              <w:top w:val="single" w:sz="8" w:color="0000EE"/>
            </w:tcBorders>
            <w:gridSpan w:val="2"/>
          </w:tcPr>
          <w:p>
            <w:pPr>
              <w:spacing w:after="0"/>
              <w:rPr>
                <w:sz w:val="24"/>
                <w:szCs w:val="24"/>
                <w:color w:val="auto"/>
              </w:rPr>
            </w:pPr>
          </w:p>
        </w:tc>
        <w:tc>
          <w:tcPr>
            <w:tcW w:w="874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40" w:type="dxa"/>
            <w:vAlign w:val="bottom"/>
            <w:gridSpan w:val="2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Defaults Upon Senior Securities</w:t>
              </w:r>
            </w:hyperlink>
          </w:p>
        </w:tc>
        <w:tc>
          <w:tcPr>
            <w:tcW w:w="1960" w:type="dxa"/>
            <w:vAlign w:val="bottom"/>
            <w:tcBorders>
              <w:top w:val="single" w:sz="8" w:color="0000EE"/>
            </w:tcBorders>
            <w:gridSpan w:val="3"/>
          </w:tcPr>
          <w:p>
            <w:pPr>
              <w:spacing w:after="0"/>
              <w:rPr>
                <w:sz w:val="24"/>
                <w:szCs w:val="24"/>
                <w:color w:val="auto"/>
              </w:rPr>
            </w:pPr>
          </w:p>
        </w:tc>
        <w:tc>
          <w:tcPr>
            <w:tcW w:w="58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6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Removed and Reserved</w:t>
              </w:r>
            </w:hyperlink>
          </w:p>
        </w:tc>
        <w:tc>
          <w:tcPr>
            <w:tcW w:w="83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0040" w:type="dxa"/>
            <w:vAlign w:val="bottom"/>
            <w:gridSpan w:val="2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Other Information</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Exhibits</w:t>
              </w:r>
            </w:hyperlink>
          </w:p>
        </w:tc>
        <w:tc>
          <w:tcPr>
            <w:tcW w:w="876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8"/>
          <w:szCs w:val="18"/>
          <w:b w:val="1"/>
          <w:bCs w:val="1"/>
          <w:color w:val="auto"/>
        </w:rPr>
        <w:t>NATIONAL CINEMEDIA, INC. AND SUBSIDIARY CONDENSED CONSOLIDATED BALANCE SHEETS (In millions, except share and per share data)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1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 net of allowance of $4.1 and $3.7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$51.1 and $46.4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assets, net of accumulated amortization of $15.1 and $10.8 million, respectively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assets, net of valuation allowance of $1.7 and $1.7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issuance costs, net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investment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r>
              <w:rPr>
                <w:rFonts w:ascii="Times New Roman" w:cs="Times New Roman" w:eastAsia="Times New Roman" w:hAnsi="Times New Roman"/>
                <w:sz w:val="18"/>
                <w:szCs w:val="18"/>
                <w:u w:val="single" w:color="auto"/>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EQUITY/(DEFICIT)</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Amounts due to founding members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Payable to founding members under tax sharing agreement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interest rate swap agreements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Payable to founding members under tax sharing agreement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1,043.6</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1,147.4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1,172.9</w:t>
            </w: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EQUITY/(DEFICIT):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NCM, Inc. Stockholders’ Equity:</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 and outstanding,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$0.01 par value; 120,000,000 shares authorized, 53,923,511 and 53,549,477 issued and outstanding,</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 in capital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(365.6)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 (distributions in excess of earnings)</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NCM, Inc. stockholders’ equity/(deficit)</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(417.2)</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equity/(deficit)</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(329.8)</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455" w:right="239" w:bottom="1068"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455" w:right="239" w:bottom="1068"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 w:type="dxa"/>
            <w:vAlign w:val="bottom"/>
          </w:tcPr>
          <w:p>
            <w:pPr>
              <w:spacing w:after="0"/>
              <w:rPr>
                <w:sz w:val="13"/>
                <w:szCs w:val="13"/>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480" w:type="dxa"/>
            <w:vAlign w:val="bottom"/>
            <w:gridSpan w:val="2"/>
          </w:tcPr>
          <w:p>
            <w:pPr>
              <w:jc w:val="right"/>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July 1,</w:t>
            </w:r>
          </w:p>
        </w:tc>
        <w:tc>
          <w:tcPr>
            <w:tcW w:w="1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 July 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2010</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2011</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Advertising (including revenue from founding members of</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$10.7, $9.9, $19.0 and $19.5 million, respectively)</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Fathom Events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3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Advertising operating costs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Fathom Events operating costs (including $2.6, $1.4, $4.5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and $3.8 million to founding members, respectively)</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Network costs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Theatre access fees—founding members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Interest on borrowings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Change in derivative fair value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ind w:left="860"/>
              <w:spacing w:after="0" w:line="201" w:lineRule="exact"/>
              <w:rPr>
                <w:sz w:val="20"/>
                <w:szCs w:val="20"/>
                <w:color w:val="auto"/>
              </w:rPr>
            </w:pPr>
            <w:r>
              <w:rPr>
                <w:rFonts w:ascii="Times New Roman" w:cs="Times New Roman" w:eastAsia="Times New Roman" w:hAnsi="Times New Roman"/>
                <w:sz w:val="18"/>
                <w:szCs w:val="18"/>
                <w:color w:val="auto"/>
              </w:rPr>
              <w:t>Accretion of interest on the discounted payable to founding</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members under tax sharing agreement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Equity loss from investment,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NCM, INC</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NCM, INC. COMMON SHARE:</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53,912,351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6"/>
              </w:rPr>
              <w:t>42,289,915</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6"/>
              </w:rPr>
              <w:t>53,801,768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42,250,029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54,814,211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6"/>
              </w:rPr>
              <w:t>42,924,361</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6"/>
              </w:rPr>
              <w:t>54,674,293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42,772,469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July 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Consolidated net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Accretion of interest on the discounted payable to founding members under tax sharing agreement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10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unrealized loss on hedging transactions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Equity loss from investment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non-cash operating activities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Receivables—net</w:t>
            </w:r>
          </w:p>
        </w:tc>
        <w:tc>
          <w:tcPr>
            <w:tcW w:w="10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Amounts due to founding members</w:t>
            </w:r>
          </w:p>
        </w:tc>
        <w:tc>
          <w:tcPr>
            <w:tcW w:w="10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Payment to founding members under tax sharing agreement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Income taxes and other</w:t>
            </w:r>
          </w:p>
        </w:tc>
        <w:tc>
          <w:tcPr>
            <w:tcW w:w="10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Other operating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3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 of dividends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Founding member integration payments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Distributions to founding members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 of stock for restricted stock tax withholding</w:t>
            </w:r>
          </w:p>
        </w:tc>
        <w:tc>
          <w:tcPr>
            <w:tcW w:w="10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(64.0)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100" w:type="dxa"/>
            <w:vAlign w:val="bottom"/>
          </w:tcPr>
          <w:p>
            <w:pPr>
              <w:spacing w:after="0"/>
              <w:rPr>
                <w:sz w:val="24"/>
                <w:szCs w:val="24"/>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Beginning of period</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End of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3"/>
              </w:rPr>
              <w:t>Six Months</w:t>
            </w:r>
          </w:p>
        </w:tc>
        <w:tc>
          <w:tcPr>
            <w:tcW w:w="38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9"/>
        </w:trPr>
        <w:tc>
          <w:tcPr>
            <w:tcW w:w="7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3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July 1,</w:t>
            </w:r>
          </w:p>
        </w:tc>
      </w:tr>
      <w:tr>
        <w:trPr>
          <w:trHeight w:val="165"/>
        </w:trPr>
        <w:tc>
          <w:tcPr>
            <w:tcW w:w="708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7080" w:type="dxa"/>
            <w:vAlign w:val="bottom"/>
            <w:shd w:val="clear" w:color="auto" w:fill="CCEEFF"/>
          </w:tcPr>
          <w:p>
            <w:pPr>
              <w:ind w:left="440"/>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financing and investing activity:</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Purchase of an intangible asset with equity (equity returned)</w:t>
            </w:r>
          </w:p>
        </w:tc>
        <w:tc>
          <w:tcPr>
            <w:tcW w:w="18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Sale of assets to founding member collected after period end</w:t>
            </w:r>
          </w:p>
        </w:tc>
        <w:tc>
          <w:tcPr>
            <w:tcW w:w="18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0.0</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r>
      <w:tr>
        <w:trPr>
          <w:trHeight w:val="323"/>
        </w:trPr>
        <w:tc>
          <w:tcPr>
            <w:tcW w:w="7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7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Cash paid for interest</w:t>
            </w:r>
          </w:p>
        </w:tc>
        <w:tc>
          <w:tcPr>
            <w:tcW w:w="18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20.8</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8"/>
                <w:szCs w:val="18"/>
                <w:color w:val="auto"/>
              </w:rPr>
            </w:pPr>
          </w:p>
        </w:tc>
      </w:tr>
      <w:tr>
        <w:trPr>
          <w:trHeight w:val="228"/>
        </w:trPr>
        <w:tc>
          <w:tcPr>
            <w:tcW w:w="7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EQUITY/(DEFICIT)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858"/>
              <w:spacing w:after="0"/>
              <w:rPr>
                <w:sz w:val="20"/>
                <w:szCs w:val="20"/>
                <w:color w:val="auto"/>
              </w:rPr>
            </w:pPr>
            <w:r>
              <w:rPr>
                <w:rFonts w:ascii="Times New Roman" w:cs="Times New Roman" w:eastAsia="Times New Roman" w:hAnsi="Times New Roman"/>
                <w:sz w:val="14"/>
                <w:szCs w:val="14"/>
                <w:color w:val="auto"/>
                <w:w w:val="96"/>
              </w:rPr>
              <w:t>NCM, Inc.</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28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6"/>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Additional Paid</w:t>
            </w: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(Distribution</w:t>
            </w:r>
          </w:p>
        </w:tc>
        <w:tc>
          <w:tcPr>
            <w:tcW w:w="18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w w:val="93"/>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w w:val="95"/>
              </w:rPr>
              <w:t>Common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12"/>
              <w:spacing w:after="0" w:line="149" w:lineRule="exact"/>
              <w:rPr>
                <w:sz w:val="20"/>
                <w:szCs w:val="20"/>
                <w:color w:val="auto"/>
              </w:rPr>
            </w:pPr>
            <w:r>
              <w:rPr>
                <w:rFonts w:ascii="Times New Roman" w:cs="Times New Roman" w:eastAsia="Times New Roman" w:hAnsi="Times New Roman"/>
                <w:sz w:val="14"/>
                <w:szCs w:val="14"/>
                <w:color w:val="auto"/>
              </w:rPr>
              <w:t>in Capital</w:t>
            </w: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in Excess of</w:t>
            </w: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93"/>
              </w:rPr>
              <w:t>Stock</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52"/>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Earnings)</w:t>
            </w:r>
          </w:p>
        </w:tc>
        <w:tc>
          <w:tcPr>
            <w:tcW w:w="12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w w:val="95"/>
              </w:rPr>
              <w:t>Income (Loss)</w:t>
            </w: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30, 2010</w:t>
            </w: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(318.4)</w:t>
            </w:r>
          </w:p>
        </w:tc>
        <w:tc>
          <w:tcPr>
            <w:tcW w:w="2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equity (returned) for purchase of intangible asset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and other impacts of subsidiary ownership changes</w:t>
            </w:r>
          </w:p>
        </w:tc>
        <w:tc>
          <w:tcPr>
            <w:tcW w:w="1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Gain (Loss):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unrealized gain on cash flow hedge, net of tax</w:t>
            </w:r>
          </w:p>
        </w:tc>
        <w:tc>
          <w:tcPr>
            <w:tcW w:w="1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net of tax</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Comprehensive Income Gain (Loss), net of</w:t>
            </w: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issued</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expense/capitalized</w:t>
            </w:r>
          </w:p>
        </w:tc>
        <w:tc>
          <w:tcPr>
            <w:tcW w:w="1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$0.40 per share</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Balance—June 30, 2011</w:t>
            </w: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4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(493.1)</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equity issued for purchase of intangible asset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and other impacts of subsidiary ownership changes</w:t>
            </w:r>
          </w:p>
        </w:tc>
        <w:tc>
          <w:tcPr>
            <w:tcW w:w="1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Gain (Loss) :</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unrealized (loss) on cash flow hedge, net of tax</w:t>
            </w:r>
          </w:p>
        </w:tc>
        <w:tc>
          <w:tcPr>
            <w:tcW w:w="1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net of tax</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Comprehensive Income Gain (Loss), net of</w:t>
            </w: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issued</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expense/capitalized</w:t>
            </w:r>
          </w:p>
        </w:tc>
        <w:tc>
          <w:tcPr>
            <w:tcW w:w="1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$0.34 per share</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Balance—July 1, 2010</w:t>
            </w: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2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820"/>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68" w:lineRule="exact"/>
        <w:rPr>
          <w:sz w:val="20"/>
          <w:szCs w:val="20"/>
          <w:color w:val="auto"/>
        </w:rPr>
      </w:pPr>
    </w:p>
    <w:p>
      <w:pPr>
        <w:ind w:left="460" w:right="9220" w:hanging="452"/>
        <w:spacing w:after="0" w:line="388" w:lineRule="auto"/>
        <w:tabs>
          <w:tab w:leader="none" w:pos="449"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THE COMPANY </w:t>
      </w:r>
      <w:r>
        <w:rPr>
          <w:rFonts w:ascii="Times New Roman" w:cs="Times New Roman" w:eastAsia="Times New Roman" w:hAnsi="Times New Roman"/>
          <w:sz w:val="16"/>
          <w:szCs w:val="16"/>
          <w:b w:val="1"/>
          <w:bCs w:val="1"/>
          <w:i w:val="1"/>
          <w:iCs w:val="1"/>
          <w:color w:val="auto"/>
        </w:rPr>
        <w:t>Description of Business</w:t>
      </w:r>
    </w:p>
    <w:p>
      <w:pPr>
        <w:spacing w:after="0" w:line="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The Company operates the largest digital in-theatre network in North America, allowing NCM to distribute advertising, Fathom entertainment programming events and corporate events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such services to certain third-party theatre circuits under “network affiliate” agreements, which expire at various dates. The Company’s initial public offering (“IPO”) was completed in February 2007.</w:t>
      </w:r>
    </w:p>
    <w:p>
      <w:pPr>
        <w:spacing w:after="0" w:line="13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At June 30, 2011, NCM LLC had 110,803,475 common membership units outstanding, of which 53,923,511 (48.7%) were owned by NCM, Inc., 22,060,262 (19.9%) were owned by Regal, 17,323,782 (15.6 %) were owned by AMC, and 17,495,920 (15.8%) were owned by Cinemark. The membership units held by the founding members are exchangeable into NCM, Inc. common stock on a one-for-one basis.</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should be read in conjunction with the audited consolidated financial statements and notes thereto included in the Company’s annual report on Form 10-K filed for the fiscal year ended December 30, 2010.</w:t>
      </w:r>
    </w:p>
    <w:p>
      <w:pPr>
        <w:spacing w:after="0" w:line="139"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4, the operating results as presented are not necessarily indicative of the results that might have occurred if all agreements were with non-related third parties.</w:t>
      </w:r>
    </w:p>
    <w:p>
      <w:pPr>
        <w:spacing w:after="0" w:line="135" w:lineRule="exact"/>
        <w:rPr>
          <w:sz w:val="20"/>
          <w:szCs w:val="20"/>
          <w:color w:val="auto"/>
        </w:rPr>
      </w:pPr>
    </w:p>
    <w:p>
      <w:pPr>
        <w:ind w:right="2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equity-based compensation and income taxes. Actual results could differ from those estimates.</w:t>
      </w:r>
    </w:p>
    <w:p>
      <w:pPr>
        <w:spacing w:after="0" w:line="1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color w:val="auto"/>
        </w:rPr>
        <w:t>—NCM, Inc. consolidates the accounts of NCM LLC under the provision of ASC 810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Under ASC 810, a managing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w:t>
      </w:r>
    </w:p>
    <w:p>
      <w:pPr>
        <w:spacing w:after="0" w:line="134" w:lineRule="exact"/>
        <w:rPr>
          <w:sz w:val="20"/>
          <w:szCs w:val="20"/>
          <w:color w:val="auto"/>
        </w:rPr>
      </w:pPr>
    </w:p>
    <w:p>
      <w:pPr>
        <w:ind w:right="4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 </w:t>
      </w:r>
      <w:r>
        <w:rPr>
          <w:rFonts w:ascii="Times New Roman" w:cs="Times New Roman" w:eastAsia="Times New Roman" w:hAnsi="Times New Roman"/>
          <w:sz w:val="18"/>
          <w:szCs w:val="18"/>
          <w:color w:val="auto"/>
        </w:rPr>
        <w:t>Certain reclassifications of previously reported amounts within operating activities in the statement of cash flows and share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within the statement of equity and comprehensive income have been made to conform to the current year presentation.</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820"/>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Company’s annual financial statements included in Form 10-K filed for the fiscal year ended December 30, 2010 contain a complete discussion of the Company’s significant accounting policies.</w:t>
      </w:r>
    </w:p>
    <w:p>
      <w:pPr>
        <w:spacing w:after="0" w:line="11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Receivables</w:t>
      </w:r>
      <w:r>
        <w:rPr>
          <w:rFonts w:ascii="Times New Roman" w:cs="Times New Roman" w:eastAsia="Times New Roman" w:hAnsi="Times New Roman"/>
          <w:sz w:val="18"/>
          <w:szCs w:val="18"/>
          <w:color w:val="auto"/>
        </w:rPr>
        <w:t>—Bad debts are provided for using the allowance for doubtful accounts method based on historical experience and management’s evaluation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receivables at the end of the period. Receivables are written off when management determines amounts are uncollectible. Trade accounts receivable are uncollateralized and represent a large number of geographically dispersed debtors. At June 30, 2011 there were two advertising agency groups through which the Company sources national advertising revenue representing approximately 20% and 11% of the Company’s outstanding gross receivable balance; however, none of the individual contracts related to the advertising agencies were more than 10% of advertising revenue. At December 30, 2010 there were two advertising agency groups through which the Company sources national advertising revenue representing approximately 21% and 17% of the Company’s outstanding gross receivable balance; however, none of the individual contracts related to the advertising agencies were more than 10% of advertising revenue. The collectability risk is reduced by dealing with large, national advertising agencies who have strong reputations in the advertising industry and clients with stable financial positions.</w:t>
      </w:r>
    </w:p>
    <w:p>
      <w:pPr>
        <w:spacing w:after="0" w:line="135" w:lineRule="exact"/>
        <w:rPr>
          <w:sz w:val="20"/>
          <w:szCs w:val="20"/>
          <w:color w:val="auto"/>
        </w:rPr>
      </w:pPr>
    </w:p>
    <w:p>
      <w:pPr>
        <w:ind w:right="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Other Investment</w:t>
      </w:r>
      <w:r>
        <w:rPr>
          <w:rFonts w:ascii="Times New Roman" w:cs="Times New Roman" w:eastAsia="Times New Roman" w:hAnsi="Times New Roman"/>
          <w:sz w:val="18"/>
          <w:szCs w:val="18"/>
          <w:color w:val="auto"/>
        </w:rPr>
        <w:t>— Through March 15, 2010, the Company accounted for its investment in RMG Networks, Inc., (“RMG”) (formerly Danoo, Inc.)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equity method of accounting as required by ASC 323-10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During the first quarter of 2010, RMG sold additional common stock to other third party investors for cash, which reduced the Company’s ownership in RMG, resulting in cost method accounting. At June 30, 2011, the Company’s ownership in RMG was approximately 19% of the issued and outstanding preferred and common stock of RMG.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92"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June 2011, the Financial Accounting Standards Board (“FASB”) issued an amendment to 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xml:space="preserve"> Under the amendments to ASC 220, all items that are required to be recognized under current accounting standards as components of comprehensive income shall be reported in a financial statement that is displayed with the same prominence as other financial statements. ASC 220 is effective for fiscal years beginning after December 15, 2011. The Company is evaluating the impact of ASC 220 on its consolidated financial statements, including the impact to the presentation of comprehensive income in the consolidated statements of operations.</w:t>
      </w:r>
    </w:p>
    <w:p>
      <w:pPr>
        <w:spacing w:after="0" w:line="136"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300" w:right="2780"/>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4"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Quarter</w:t>
            </w:r>
          </w:p>
        </w:tc>
        <w:tc>
          <w:tcPr>
            <w:tcW w:w="38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Quarter</w:t>
            </w:r>
          </w:p>
        </w:tc>
        <w:tc>
          <w:tcPr>
            <w:tcW w:w="3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8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June</w:t>
            </w:r>
          </w:p>
        </w:tc>
        <w:tc>
          <w:tcPr>
            <w:tcW w:w="38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July</w:t>
            </w:r>
          </w:p>
        </w:tc>
        <w:tc>
          <w:tcPr>
            <w:tcW w:w="36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w w:val="94"/>
              </w:rPr>
              <w:t>1,</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June</w:t>
            </w:r>
          </w:p>
        </w:tc>
        <w:tc>
          <w:tcPr>
            <w:tcW w:w="36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w w:val="91"/>
              </w:rPr>
              <w:t>30,</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14"/>
                <w:szCs w:val="14"/>
                <w:color w:val="auto"/>
              </w:rPr>
            </w:pPr>
          </w:p>
        </w:tc>
        <w:tc>
          <w:tcPr>
            <w:tcW w:w="1200" w:type="dxa"/>
            <w:vAlign w:val="bottom"/>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360" w:type="dxa"/>
            <w:vAlign w:val="bottom"/>
          </w:tcPr>
          <w:p>
            <w:pPr>
              <w:spacing w:after="0"/>
              <w:rPr>
                <w:sz w:val="14"/>
                <w:szCs w:val="14"/>
                <w:color w:val="auto"/>
              </w:rPr>
            </w:pPr>
          </w:p>
        </w:tc>
        <w:tc>
          <w:tcPr>
            <w:tcW w:w="126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360" w:type="dxa"/>
            <w:vAlign w:val="bottom"/>
          </w:tcPr>
          <w:p>
            <w:pPr>
              <w:spacing w:after="0"/>
              <w:rPr>
                <w:sz w:val="14"/>
                <w:szCs w:val="14"/>
                <w:color w:val="auto"/>
              </w:rPr>
            </w:pPr>
          </w:p>
        </w:tc>
        <w:tc>
          <w:tcPr>
            <w:tcW w:w="126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NCM, Inc. (in millions)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5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53,912,351</w:t>
            </w:r>
          </w:p>
        </w:tc>
        <w:tc>
          <w:tcPr>
            <w:tcW w:w="162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42,289,915</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53,801,768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42,250,029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Add: Dilutive effect of stock options and restricted</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tcPr>
          <w:p>
            <w:pPr>
              <w:spacing w:after="0"/>
              <w:rPr>
                <w:sz w:val="19"/>
                <w:szCs w:val="19"/>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901,860</w:t>
            </w:r>
          </w:p>
        </w:tc>
        <w:tc>
          <w:tcPr>
            <w:tcW w:w="16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634,446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872,525</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54,814,211</w:t>
            </w:r>
          </w:p>
        </w:tc>
        <w:tc>
          <w:tcPr>
            <w:tcW w:w="162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42,924,361</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54,674,293</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42,772,469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Earnings per NCM, Inc. share:</w:t>
            </w: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0.17</w:t>
            </w:r>
          </w:p>
        </w:tc>
        <w:tc>
          <w:tcPr>
            <w:tcW w:w="90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0.11</w:t>
            </w:r>
          </w:p>
        </w:tc>
        <w:tc>
          <w:tcPr>
            <w:tcW w:w="9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gridSpan w:val="2"/>
          </w:tcPr>
          <w:p>
            <w:pPr>
              <w:jc w:val="right"/>
              <w:ind w:right="34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0.16</w:t>
            </w:r>
          </w:p>
        </w:tc>
        <w:tc>
          <w:tcPr>
            <w:tcW w:w="900" w:type="dxa"/>
            <w:vAlign w:val="bottom"/>
            <w:gridSpan w:val="2"/>
          </w:tcPr>
          <w:p>
            <w:pPr>
              <w:jc w:val="right"/>
              <w:ind w:right="36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0.11</w:t>
            </w:r>
          </w:p>
        </w:tc>
        <w:tc>
          <w:tcPr>
            <w:tcW w:w="9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effect of the 56,879,964; 62,935,711; 57,016,513 and 61,380,215 exchangeable NCM LLC common units held by the founding members for the quarters ended June 30, 2011 and July 1, 2010 and the six months ended June 30, 2011 and July 1, 2010, respectively, have been excluded from the calculation of diluted weighted average shares and earnings per NCM, Inc. share as they were antidilutive. In addition, there were 45,780; 192,906; 37,025 and 282,149 stock options and 45; 3,238; 10,296 and 6,201 non-vested (restricted) shares for the quarters ended June 30, 2011 and July 1, 2010 and the six months ended June 30, 2011 and July 1, 2010, respectively, excluded from the calculation as they are antidilutive, primarily as exercise prices on stock options and intrinsic value of restricted stock shares were above the average market value.</w:t>
      </w:r>
    </w:p>
    <w:p>
      <w:pPr>
        <w:spacing w:after="0" w:line="259"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During the first quarter of 2011, NCM LLC’s founding members returned a net 322,751 common membership units to NCM LLC, which is an adjustment to the previously issued common membership units issued in exchange for the rights to exclusive access, in accordance with the ESA, to net new theatre screens and attendees added by the founding members to NCM LLC’s network. As a result, NCM LLC recorded a reduction to the intangible asset at fair value of the common membership units of $5.5 million.</w:t>
      </w:r>
    </w:p>
    <w:p>
      <w:pPr>
        <w:spacing w:after="0" w:line="136"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During the first quarter of 2010, NCM LLC issued 2,212,219 common membership units to its founding members in exchange for the rights to exclusive access to net new theatre screens and attendees added by the founding members to NCM LLC’s network. As a result, NCM LLC recorded an intangible asset at fair value of $39.8 million.</w:t>
      </w:r>
    </w:p>
    <w:p>
      <w:pPr>
        <w:spacing w:after="0" w:line="13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During the second quarter of 2010, NCM LLC issued 6,510,209 common membership units to a subsidiary of AMCE as a result of that subsidiary’s acquisition of Kerasotes Showplace Theatres, LLC (the “AMC Kerasotes Acquisition”). Such issuance provided NCM LLC with exclusive access, in accordance with the ESA, to the net new theatre screens and attendees added by AMCE to NCM LLC’s network since the date of the last annual common unit adjustment through the date of the AMC Kerasotes Acquisition. As a result, NCM LLC recorded an intangible asset at the market value of the common membership units equal to $111.5 million.</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455" w:right="2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820"/>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Company based the fair value of the intangible assets on the market value of the common membership units when issued, which are freely convertible into the Company’s common stock.</w:t>
      </w:r>
    </w:p>
    <w:p>
      <w:pPr>
        <w:spacing w:after="0" w:line="118" w:lineRule="exact"/>
        <w:rPr>
          <w:sz w:val="20"/>
          <w:szCs w:val="20"/>
          <w:color w:val="auto"/>
        </w:rPr>
      </w:pPr>
    </w:p>
    <w:p>
      <w:pPr>
        <w:ind w:right="60" w:firstLine="456"/>
        <w:spacing w:after="0" w:line="312" w:lineRule="auto"/>
        <w:rPr>
          <w:sz w:val="20"/>
          <w:szCs w:val="20"/>
          <w:color w:val="auto"/>
        </w:rPr>
      </w:pPr>
      <w:r>
        <w:rPr>
          <w:rFonts w:ascii="Times New Roman" w:cs="Times New Roman" w:eastAsia="Times New Roman" w:hAnsi="Times New Roman"/>
          <w:sz w:val="16"/>
          <w:szCs w:val="16"/>
          <w:color w:val="auto"/>
        </w:rPr>
        <w:t xml:space="preserve">Pursuant to ASC 350-10 </w:t>
      </w:r>
      <w:r>
        <w:rPr>
          <w:rFonts w:ascii="Times New Roman" w:cs="Times New Roman" w:eastAsia="Times New Roman" w:hAnsi="Times New Roman"/>
          <w:sz w:val="16"/>
          <w:szCs w:val="16"/>
          <w:i w:val="1"/>
          <w:iCs w:val="1"/>
          <w:color w:val="auto"/>
        </w:rPr>
        <w:t>Intangibles – Goodwill and Other</w:t>
      </w:r>
      <w:r>
        <w:rPr>
          <w:rFonts w:ascii="Times New Roman" w:cs="Times New Roman" w:eastAsia="Times New Roman" w:hAnsi="Times New Roman"/>
          <w:sz w:val="16"/>
          <w:szCs w:val="16"/>
          <w:color w:val="auto"/>
        </w:rPr>
        <w:t>, the intangible assets have a finite useful life and the Company amortizes the assets over the remaining useful life corresponding with the ESAs. Amortization of the asset related to Regal Consolidated Theatres will begin in the third quarter of 2011 as the Company now has access to on-screen advertising in the Regal Consolidated Theatres due to the expiration of their existing on–screen advertising agreement.</w:t>
      </w:r>
    </w:p>
    <w:p>
      <w:pPr>
        <w:spacing w:after="0" w:line="214"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Pursuant to the ESAs, the Company makes monthly theatre access fee payments to the founding members, comprised of a payment per theatre attendee and a payment per digital screen with respect to the founding member theatres included in our network. The total theatre access fee to the founding members for the quarters ended June 30, 2011 and July 1, 2010 and the six months ended June 30, 2011 and July 1, 2010 was $14.8 million, $13.4 million, $26.9 million and $26.3 million, respectively.</w:t>
      </w:r>
    </w:p>
    <w:p>
      <w:pPr>
        <w:spacing w:after="0" w:line="13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Under the ESAs, for the quarters and six months ended June 30, 2011 and July 1, 2010, the founding members purchased 60 seconds of on-screen advertising time (with a right to purchase up to 90 seconds) from NCM LLC to satisfy their obligations under their beverage concessionaire agreements at a specified 30 second equivalent cost per thousand (“CPM”) impressions. The total revenue related to the beverage concessionaire agreements for the quarters ended June 30, 2011 and July 1, 2010 and the six months ended June 30, 2011 and July 1, 2010 was $10.7 million, $9.6 million, $18.9 million and $18.8 million, respectively. In addition, the Company made payments to the founding members for use of their screens and theatres for its Fathom Events businesses. These payments are at rates (percentage of event revenue) included in the ESAs based on the nature of the event. Payments to the founding members for these events totaled $2.6 million, $1.4 million, $4.5 million and $3.8 million for the quarters ended June 30, 2011 and July 1, 2010 and the six months ended June 30, 2011 and July 1, 2010, respectively.</w:t>
      </w:r>
    </w:p>
    <w:p>
      <w:pPr>
        <w:spacing w:after="0" w:line="138"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Distributions for the quarters ended June 30, 2011 and July 1, 2010 and the six months ended June 30, 2011 and July 1, 2010 are as follows (in millions):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Six</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Quarter</w:t>
            </w:r>
          </w:p>
        </w:tc>
        <w:tc>
          <w:tcPr>
            <w:tcW w:w="480" w:type="dxa"/>
            <w:vAlign w:val="bottom"/>
          </w:tcPr>
          <w:p>
            <w:pPr>
              <w:spacing w:after="0"/>
              <w:rPr>
                <w:sz w:val="12"/>
                <w:szCs w:val="12"/>
                <w:color w:val="auto"/>
              </w:rPr>
            </w:pPr>
          </w:p>
        </w:tc>
        <w:tc>
          <w:tcPr>
            <w:tcW w:w="9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80" w:type="dxa"/>
            <w:vAlign w:val="bottom"/>
          </w:tcPr>
          <w:p>
            <w:pPr>
              <w:spacing w:after="0"/>
              <w:rPr>
                <w:sz w:val="12"/>
                <w:szCs w:val="12"/>
                <w:color w:val="auto"/>
              </w:rPr>
            </w:pPr>
          </w:p>
        </w:tc>
        <w:tc>
          <w:tcPr>
            <w:tcW w:w="9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1,</w:t>
            </w:r>
          </w:p>
        </w:tc>
        <w:tc>
          <w:tcPr>
            <w:tcW w:w="480" w:type="dxa"/>
            <w:vAlign w:val="bottom"/>
          </w:tcPr>
          <w:p>
            <w:pPr>
              <w:spacing w:after="0"/>
              <w:rPr>
                <w:sz w:val="12"/>
                <w:szCs w:val="12"/>
                <w:color w:val="auto"/>
              </w:rPr>
            </w:pPr>
          </w:p>
        </w:tc>
        <w:tc>
          <w:tcPr>
            <w:tcW w:w="9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1,</w:t>
            </w:r>
          </w:p>
        </w:tc>
      </w:tr>
      <w:tr>
        <w:trPr>
          <w:trHeight w:val="165"/>
        </w:trPr>
        <w:tc>
          <w:tcPr>
            <w:tcW w:w="2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4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AMC</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Cinemark</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Regal</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NCM, Inc.</w:t>
            </w:r>
          </w:p>
        </w:tc>
        <w:tc>
          <w:tcPr>
            <w:tcW w:w="3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gridSpan w:val="2"/>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$ 46.3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available cash payment by NCM LLC to its founding members for the quarter ended June 30, 2011 of $22.1 million, which is included in amounts due to founding members at June 30, 2011, will be made in the third quarter of 2011. The available cash payment by NCM LLC to its founding members for the quarter ended July 1, 2010 of $22.1 million was made in the third quarter of 2010.</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April 30, 2008, Regal acquired Consolidated Theatres and NCM issued common membership units to Regal upon the closing of its acquisition in exchange for the right to exclusive access to the theatres. The Consolidated Theatres had a pre-existing advertising agreement and, as a result, Regal must make “integration” payments pursuant to the ESAs on a quarterly basis in arrears through the second quarter of 2011 in accordance with certain run-out provisions. For the quarters ended June 30, 2011 and July 1, 2010 and the six months ended June 30,</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820"/>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2011 and July 1, 2010, the Consolidated Theatres payment was $0.5 million, $0.9 million, $0.8 million and $1.3 million, respectively and represents a cash element of the consideration received for the common membership units issued. The Consolidated Theatres payment of $0.5 million for the quarter ended June 30, 2011, was included in amounts due from founding members at June 30, 2011 and will be received in the third quarter of 2011. The second quarter’s payment will be the final integration payment as Consolidated Theatres have been added to our network in June 2011.</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due to founding members at June 30, 2011 were comprised of the following (in millions):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5"/>
              </w:rPr>
              <w:t>AMC</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Regal</w:t>
            </w:r>
          </w:p>
        </w:tc>
        <w:tc>
          <w:tcPr>
            <w:tcW w:w="5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Theatre access fees, net of beverage revenues</w:t>
            </w:r>
          </w:p>
        </w:tc>
        <w:tc>
          <w:tcPr>
            <w:tcW w:w="2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$ 0.5</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$ 0.6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and other reimbursement</w:t>
            </w:r>
          </w:p>
        </w:tc>
        <w:tc>
          <w:tcPr>
            <w:tcW w:w="28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payable, net</w:t>
            </w:r>
          </w:p>
        </w:tc>
        <w:tc>
          <w:tcPr>
            <w:tcW w:w="28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21.6</w:t>
            </w:r>
          </w:p>
        </w:tc>
        <w:tc>
          <w:tcPr>
            <w:tcW w:w="80" w:type="dxa"/>
            <w:vAlign w:val="bottom"/>
            <w:shd w:val="clear" w:color="auto" w:fill="CCEEFF"/>
          </w:tcPr>
          <w:p>
            <w:pPr>
              <w:spacing w:after="0"/>
              <w:rPr>
                <w:sz w:val="18"/>
                <w:szCs w:val="18"/>
                <w:color w:val="auto"/>
              </w:rPr>
            </w:pPr>
          </w:p>
        </w:tc>
      </w:tr>
      <w:tr>
        <w:trPr>
          <w:trHeight w:val="223"/>
        </w:trPr>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$ 6.5</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due to founding members at December 30, 2010 were comprised of the following (in millions):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26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5"/>
              </w:rPr>
              <w:t>AMC</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2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Regal</w:t>
            </w:r>
          </w:p>
        </w:tc>
        <w:tc>
          <w:tcPr>
            <w:tcW w:w="5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Theatre access fees, net of beverage revenues</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$ 0.5</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$ 0.5</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Cost and other reimbursement</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payable, net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24.5</w:t>
            </w:r>
          </w:p>
        </w:tc>
        <w:tc>
          <w:tcPr>
            <w:tcW w:w="80" w:type="dxa"/>
            <w:vAlign w:val="bottom"/>
            <w:shd w:val="clear" w:color="auto" w:fill="CCEEFF"/>
          </w:tcPr>
          <w:p>
            <w:pPr>
              <w:spacing w:after="0"/>
              <w:rPr>
                <w:sz w:val="18"/>
                <w:szCs w:val="18"/>
                <w:color w:val="auto"/>
              </w:rPr>
            </w:pPr>
          </w:p>
        </w:tc>
      </w:tr>
      <w:tr>
        <w:trPr>
          <w:trHeight w:val="223"/>
        </w:trPr>
        <w:tc>
          <w:tcPr>
            <w:tcW w:w="7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$ 8.8</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$ 8.9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 During the quarters ended June 30, 2011 and July 1, 2010 and the six months ended June 30, 2011 and July 1, 2010, AMC, Cinemark and Regal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purchased an inconsequential amount, $0.3 million, $0.1 million and $0.7 million, respectively, of NCM LLC’s advertising inventory for their own use. The value of such purchases are calculated by reference to NCM LLC’s advertising rate card and included in advertising revenue.</w:t>
      </w:r>
    </w:p>
    <w:p>
      <w:pPr>
        <w:spacing w:after="0" w:line="129"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Included in selling and marketing costs and Fathom Events operating costs is $0.6 million, $0.8 million, $0.9 million and $1.2 million for the quarters ended June 30, 2011 and July 1, 2010 and the six months ended June 30, 2011 and July 1, 2010, respectively, related to purchases of movie tickets and concession products from the founding members primarily for marketing to NCM LLC’s advertising clients and marketing resale to Fathom Business customers.</w:t>
      </w:r>
    </w:p>
    <w:p>
      <w:pPr>
        <w:spacing w:after="0" w:line="97"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Company paid the founding members $17.1 million in the first quarter of 2011 for the 2010 taxable year, $0.9 million in the second quarter of 2011 for the 2009 taxable year and $14.0 million in the first quarter of 2010 for the 2009 taxable year pursuant to the tax sharing agreement.</w:t>
      </w:r>
    </w:p>
    <w:p>
      <w:pPr>
        <w:spacing w:after="0" w:line="116"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Related Party Affiliates </w:t>
      </w:r>
      <w:r>
        <w:rPr>
          <w:rFonts w:ascii="Times New Roman" w:cs="Times New Roman" w:eastAsia="Times New Roman" w:hAnsi="Times New Roman"/>
          <w:sz w:val="18"/>
          <w:szCs w:val="18"/>
          <w:color w:val="auto"/>
        </w:rPr>
        <w:t>— During 2011, NCM LLC entered into a digital content agreement and a Fathom agreement with Showplex Cinemas,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(“Showplex”), an affiliate of one of NCM, Inc.’s directors, for NCM LLC to provide in-theatre advertising and Fathom Events services to Showplex in its theatre locations. The affiliate agreement was entered into at terms that are similar to those of our advertising affiliates. Included in advertising operating costs is an inconsequential amount for the quarter and six months ended June 30, 2011. As of June 30, 2011 an inconsequential amount is included in accounts payable for amounts due to Showplex under the agreement.</w:t>
      </w:r>
    </w:p>
    <w:p>
      <w:pPr>
        <w:spacing w:after="0" w:line="13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During 2009, NCM LLC entered into a digital content agreement and a Fathom agreement with LA Live Cinemas LLC (“LA Live”), an affiliate of Regal, for NCM LLC to provide in-theatre advertising and Fathom Events services to LA Live in its theatre complex. The affiliate agreement was entered into at terms that are similar to those of our other advertising affiliates. Included in advertising operating costs is an inconsequential amount for the quarters ended June 30, 2011 and July 1, 2010 and $0.1 million and an inconsequential amount for the six months ended June 30, 2011 and July 1, 2010, respectively, for payments to the affiliate under the agreement. As of June 30, 2011 and December 30, 2010 approximately $0.1 million is included in accounts payable for amounts due to LA Live under the agreement.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During 2009, NCM LLC entered into a network affiliate agreement with Starplex Operating L.P. (“Starplex”), an affiliate of Cinemark, for NCM LLC to provide in-theatre advertising services to Starplex in its theatre locations. The affiliate agreement was entered into at terms that are similar to those of our other advertising affiliates. Starplex joined the NCM LLC advertising network in the first quarter of 2010. Included in advertising operating costs is $0.7 million, $0.4 million, $1.1 million and $0.5 million, for the quarters ended June 30, 2011 and July 1, 2010 and the six months ended June 30, 2011 and July 1, 2010, respectively, for its share of advertising sold in its theatres under the affiliate agreement. As of June 30, 2011 and December 30, 2010 approximately $0.7 million and $0.5 million, respectively is included in accounts payable for amounts due to Starplex under the agreement.</w:t>
      </w:r>
    </w:p>
    <w:p>
      <w:pPr>
        <w:spacing w:after="0" w:line="259"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On February 13, 2007, concurrently with the closing of the IPO of NCM, Inc., NCM LLC entered into a senior secured credit facility with a group of lenders. The facility consists of a six-year $80.0 million revolving credit facility and an eight-year, $725.0 million term loan facility. The revolving credit facility portion is available, subject to certain conditions, for general corporate purposes of the Company in the ordinary course of business and for other transactions permitted under the credit agreement, and a portion is available for letters of credit. The obligations under the credit facility are secured by a lien on substantially all of the assets of NCM, LLC.</w:t>
      </w:r>
    </w:p>
    <w:p>
      <w:pPr>
        <w:spacing w:after="0" w:line="13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outstanding balance of the term loan facility at June 30, 2011 and December 30, 2010 was $725.0 million. The outstanding balance under the revolving credit facility at June 30, 2011 and December 30, 2010 was $35.0 million and $50.0 million, respectively. As of June 30, 2011, the effective rate on the term loan was 5.3% including the effect of the interest rate swaps (both the swaps accounted for as hedges and those that are not). The interest rate swaps hedged $550.0 million or 76% of the $725.0 million term loan at a fixed interest rate of 6.484% while the unhedged portion was at an interest rate of 1.75%. The applicable margin on the term loan was lowered to 1.5% from 1.75% as a result of an upgrade of the corporate credit rating by the credit rating agencies specified in the credit agreement, in the first quarter of 2011. The weighted-average interest rate on the unhedged revolver was 2.3%. Commencing with the fourth fiscal quarter in fiscal year 2009, the applicable margin for the revolving credit facility is determined quarterly and is subject to adjustment based upon a consolidated net senior secured leverage ratio for NCM LLC and its subsidiaries (the ratio of secured funded debt less unrestricted cash and cash equivalents, over a non-GAAP measure defined in the credit agreement). The senior secured credit facility also contains a number of covenants and financial ratio requirements, with which the Company was in compliance at June 30, 2011, including the consolidated net senior secured leverage ratio. There are no borrower distribution restrictions as long as the Company’s consolidated net senior secured leverage ratio is below 6.5 times and the borrower is in compliance with its debt covenants. As of June 30, 2011, its consolidated net senior secured leverage ratio was 3.5 times, while the covenant was 6.5 times.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 to Note 11 for discussion of the amendment of the senior secured credit facility and restructuring of debt.</w:t>
      </w:r>
    </w:p>
    <w:p>
      <w:pPr>
        <w:spacing w:after="0" w:line="171"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On March 19, 2009, the Company gave an $8.5 million note payable to Credit Suisse, Cayman Islands Branch (“Credit Suisse”) with no stated interest rate to settle the $10.0 million contingent put obligation and to acquire the $20.7 million outstanding principal balance of debt of IdeaCast, Inc. (“IdeaCast”) (together with all accrued interest and other lender costs required to be reimbursed by IdeaCast). The note was paid in full January 15, 2011. At issuance the Company recorded the note at a present value of $7.0 million. At December 30, 2010, $1.2 million of the balance was recorded in current liabilities. Interest on the note was accreted at the Company’s estimated incremental cost of debt based on then current market indicators over the term of the loan to interest expense.</w:t>
      </w:r>
    </w:p>
    <w:p>
      <w:pPr>
        <w:spacing w:after="0" w:line="227"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88" w:lineRule="exact"/>
        <w:rPr>
          <w:sz w:val="20"/>
          <w:szCs w:val="20"/>
          <w:color w:val="auto"/>
        </w:rPr>
      </w:pPr>
    </w:p>
    <w:p>
      <w:pPr>
        <w:ind w:right="1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Legal Actions</w:t>
      </w:r>
      <w:r>
        <w:rPr>
          <w:rFonts w:ascii="Times New Roman" w:cs="Times New Roman" w:eastAsia="Times New Roman" w:hAnsi="Times New Roman"/>
          <w:sz w:val="18"/>
          <w:szCs w:val="18"/>
          <w:color w:val="auto"/>
        </w:rPr>
        <w:t>—The Company is subject to claims and legal actions in the ordinary course of business. The Company believes such claims will not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effect on its financial position or results of operations.</w:t>
      </w:r>
    </w:p>
    <w:p>
      <w:pPr>
        <w:spacing w:after="0" w:line="11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Minimum Revenue Guarantees</w:t>
      </w:r>
      <w:r>
        <w:rPr>
          <w:rFonts w:ascii="Times New Roman" w:cs="Times New Roman" w:eastAsia="Times New Roman" w:hAnsi="Times New Roman"/>
          <w:sz w:val="18"/>
          <w:szCs w:val="18"/>
          <w:color w:val="auto"/>
        </w:rPr>
        <w:t>— As part of the network affiliate agreements entered in the ordinary course of business under which the Company sells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for display in various theatre chains other than those of the founding members of NCM LLC, the Company has agreed to certain minimum revenue guarantees on a per attendee basis. If an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two to seven years, prior to any renewal periods of which some are at the option of the Company. The maximum potential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amount of future payments the Company could be required to make pursuant to the minimum revenue guarantees is $18.3 million over the remaining terms of the network affiliate agreements. As of June 30, 2011 and December 30, 2010 the Company had no liabilities recorded for these obligations as such guarantees are less than the expected share of revenue paid to the affiliate.</w:t>
      </w:r>
    </w:p>
    <w:p>
      <w:pPr>
        <w:spacing w:after="0" w:line="252"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r>
        <w:rPr>
          <w:rFonts w:ascii="Times New Roman" w:cs="Times New Roman" w:eastAsia="Times New Roman" w:hAnsi="Times New Roman"/>
          <w:sz w:val="18"/>
          <w:szCs w:val="18"/>
          <w:color w:val="auto"/>
        </w:rPr>
        <w:t>— The carrying amounts of cash and other notes payable as reported in the Company’s balance sheets approximate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fair value due to their short maturity. The carrying amount of the revolving credit facility is considered a reasonable estimate of fair value due to its floating-rate terms. The carrying amounts and fair values of interest rate swap agreements are the same since the Company accounts for these instruments at fair value. The Company has estimated the fair value of its term loan based on an average of at least two non-binding broker quotes and the Company’s analysis to be $710.9 million and $713.3 million at June 30, 2011 and December 30, 2010, respectively. The carrying value of the term loan was $725.0 million as of June 30, 2011 and December 30, 2010.</w:t>
      </w:r>
    </w:p>
    <w:p>
      <w:pPr>
        <w:spacing w:after="0" w:line="138"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The fair value of the investment in RMG networks has not been estimated at June 30, 2011 as there were no monetary equity events or changes in circumstances that may have a significant adverse effect on the fair value of the investment, and as it is not practicable to do so because RMG is not a publicly traded company. The carrying amount of the Company’s investment was $6.7 million as of June 30, 2011 and December 30, 2010. Refer to Note 1.</w:t>
      </w:r>
    </w:p>
    <w:p>
      <w:pPr>
        <w:spacing w:after="0" w:line="93" w:lineRule="exact"/>
        <w:rPr>
          <w:sz w:val="20"/>
          <w:szCs w:val="20"/>
          <w:color w:val="auto"/>
        </w:rPr>
      </w:pPr>
    </w:p>
    <w:p>
      <w:pPr>
        <w:ind w:right="4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Recurring Measurements</w:t>
      </w:r>
      <w:r>
        <w:rPr>
          <w:rFonts w:ascii="Times New Roman" w:cs="Times New Roman" w:eastAsia="Times New Roman" w:hAnsi="Times New Roman"/>
          <w:sz w:val="18"/>
          <w:szCs w:val="18"/>
          <w:color w:val="auto"/>
        </w:rPr>
        <w:t>—The fair values of the Company’s assets and liabilities measured on a recurring basis pursuant to ASC 820-10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Measurements and Disclosures </w:t>
      </w:r>
      <w:r>
        <w:rPr>
          <w:rFonts w:ascii="Times New Roman" w:cs="Times New Roman" w:eastAsia="Times New Roman" w:hAnsi="Times New Roman"/>
          <w:sz w:val="18"/>
          <w:szCs w:val="18"/>
          <w:color w:val="auto"/>
        </w:rPr>
        <w:t>are as follows (in millions):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9"/>
          </w:tcPr>
          <w:p>
            <w:pPr>
              <w:ind w:left="4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r>
      <w:tr>
        <w:trPr>
          <w:trHeight w:val="125"/>
        </w:trPr>
        <w:tc>
          <w:tcPr>
            <w:tcW w:w="4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center"/>
              <w:ind w:right="3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Quoted Prices in</w:t>
            </w:r>
          </w:p>
        </w:tc>
        <w:tc>
          <w:tcPr>
            <w:tcW w:w="120" w:type="dxa"/>
            <w:vAlign w:val="bottom"/>
          </w:tcPr>
          <w:p>
            <w:pPr>
              <w:spacing w:after="0"/>
              <w:rPr>
                <w:sz w:val="12"/>
                <w:szCs w:val="12"/>
                <w:color w:val="auto"/>
              </w:rPr>
            </w:pPr>
          </w:p>
        </w:tc>
        <w:tc>
          <w:tcPr>
            <w:tcW w:w="9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r>
      <w:tr>
        <w:trPr>
          <w:trHeight w:val="149"/>
        </w:trPr>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3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49"/>
        </w:trPr>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Identical Assets</w:t>
            </w:r>
          </w:p>
        </w:tc>
        <w:tc>
          <w:tcPr>
            <w:tcW w:w="120" w:type="dxa"/>
            <w:vAlign w:val="bottom"/>
          </w:tcPr>
          <w:p>
            <w:pPr>
              <w:spacing w:after="0"/>
              <w:rPr>
                <w:sz w:val="12"/>
                <w:szCs w:val="12"/>
                <w:color w:val="auto"/>
              </w:rPr>
            </w:pPr>
          </w:p>
        </w:tc>
        <w:tc>
          <w:tcPr>
            <w:tcW w:w="9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r>
      <w:tr>
        <w:trPr>
          <w:trHeight w:val="165"/>
        </w:trPr>
        <w:tc>
          <w:tcPr>
            <w:tcW w:w="49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(Level 3)</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7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Short-term investments </w:t>
            </w:r>
            <w:r>
              <w:rPr>
                <w:rFonts w:ascii="Times New Roman" w:cs="Times New Roman" w:eastAsia="Times New Roman" w:hAnsi="Times New Roman"/>
                <w:sz w:val="18"/>
                <w:szCs w:val="18"/>
                <w:i w:val="1"/>
                <w:iCs w:val="1"/>
                <w:color w:val="auto"/>
              </w:rPr>
              <w:t>(2)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r>
      <w:tr>
        <w:trPr>
          <w:trHeight w:val="223"/>
        </w:trPr>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Long-term investments </w:t>
            </w:r>
            <w:r>
              <w:rPr>
                <w:rFonts w:ascii="Times New Roman" w:cs="Times New Roman" w:eastAsia="Times New Roman" w:hAnsi="Times New Roman"/>
                <w:sz w:val="18"/>
                <w:szCs w:val="18"/>
                <w:i w:val="1"/>
                <w:iCs w:val="1"/>
                <w:color w:val="auto"/>
              </w:rPr>
              <w:t>(2)</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Current Portion of Interest Rate Swap Agreements </w:t>
            </w:r>
            <w:r>
              <w:rPr>
                <w:rFonts w:ascii="Times New Roman" w:cs="Times New Roman" w:eastAsia="Times New Roman" w:hAnsi="Times New Roman"/>
                <w:sz w:val="18"/>
                <w:szCs w:val="18"/>
                <w:i w:val="1"/>
                <w:iCs w:val="1"/>
                <w:color w:val="auto"/>
              </w:rPr>
              <w:t>(3)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Interest Rate Swap Agreements </w:t>
            </w:r>
            <w:r>
              <w:rPr>
                <w:rFonts w:ascii="Times New Roman" w:cs="Times New Roman" w:eastAsia="Times New Roman" w:hAnsi="Times New Roman"/>
                <w:sz w:val="18"/>
                <w:szCs w:val="18"/>
                <w:i w:val="1"/>
                <w:iCs w:val="1"/>
                <w:color w:val="auto"/>
              </w:rPr>
              <w:t>(3)</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r>
      <w:tr>
        <w:trPr>
          <w:trHeight w:val="27"/>
        </w:trPr>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(71.4)</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(71.4)</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The Company’s cash equivalents are carried at estimated fair value.</w:t>
      </w:r>
    </w:p>
    <w:p>
      <w:pPr>
        <w:spacing w:after="0" w:line="23" w:lineRule="exact"/>
        <w:rPr>
          <w:rFonts w:ascii="Times New Roman" w:cs="Times New Roman" w:eastAsia="Times New Roman" w:hAnsi="Times New Roman"/>
          <w:sz w:val="18"/>
          <w:szCs w:val="18"/>
          <w:i w:val="1"/>
          <w:iCs w:val="1"/>
          <w:color w:val="auto"/>
        </w:rPr>
      </w:pPr>
    </w:p>
    <w:p>
      <w:pPr>
        <w:ind w:left="460" w:hanging="452"/>
        <w:spacing w:after="0" w:line="281" w:lineRule="auto"/>
        <w:tabs>
          <w:tab w:leader="none" w:pos="4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Short-Term and Long-term Investments</w:t>
      </w:r>
      <w:r>
        <w:rPr>
          <w:rFonts w:ascii="Times New Roman" w:cs="Times New Roman" w:eastAsia="Times New Roman" w:hAnsi="Times New Roman"/>
          <w:sz w:val="16"/>
          <w:szCs w:val="16"/>
          <w:color w:val="auto"/>
        </w:rPr>
        <w:t>— The Company’s short-term and long-term investments are classified as available-for-sale and are carried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estimated fair value with any unrealized gains, as well as losses that the Company considers to be temporary, reported net of tax in other comprehensive income within stockholders’ equity. Short-term investments have effective maturity dates from three to 12 months and long-term investments have effective maturity dates greater than 12 months. The amortized cost basis approximates the aggregate fair value as of June 30, 2011 and December 30, 2010. For the quarters ended June 30, 2011 and July 1, 2010 and the six months ended June 30, 2011 and July 1, 2010 there was an inconsequential amount of net realized gains (losses) recognized in interest income and no net unrealized holding gains (losses) included in other comprehensive income.</w:t>
      </w:r>
    </w:p>
    <w:p>
      <w:pPr>
        <w:spacing w:after="0" w:line="4" w:lineRule="exact"/>
        <w:rPr>
          <w:rFonts w:ascii="Times New Roman" w:cs="Times New Roman" w:eastAsia="Times New Roman" w:hAnsi="Times New Roman"/>
          <w:sz w:val="16"/>
          <w:szCs w:val="16"/>
          <w:i w:val="1"/>
          <w:iCs w:val="1"/>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Interest Rate Swap Agreements</w:t>
      </w:r>
      <w:r>
        <w:rPr>
          <w:rFonts w:ascii="Times New Roman" w:cs="Times New Roman" w:eastAsia="Times New Roman" w:hAnsi="Times New Roman"/>
          <w:sz w:val="18"/>
          <w:szCs w:val="18"/>
          <w:color w:val="auto"/>
        </w:rPr>
        <w:t>—Refer to Note 8.</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4"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NCM LLC has interest rate swap agreements with four counterparties that, at their inception, qualified for and were designated as cash flow hedges against interest rate exposure on $550.0 million of the variable rate debt obligations under the senior secured credit facility. The interest rate swap agreements have the effect of converting a significant portion of the Company’s variable rate debt to a fixed rate of 6.484%. All interest rate swaps were entered into for risk management purposes. The Company has no derivatives for other purposes.</w:t>
      </w:r>
    </w:p>
    <w:p>
      <w:pPr>
        <w:spacing w:after="0" w:line="136"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 xml:space="preserve">Cash flow hedge accounting was discontinued on September 15, 2008 due to the event of default created by the bankruptcy of Lehman Brothers Holdings Inc. (“Lehman”) and the inability of the Company to continue to demonstrate the swap would be effective. In accordance with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the net derivative loss as of September 14, 2008 related to the discontinued cash flow hedge with Lehman Brothers Special Financing (“LBSF”) shall continue to be reported in accumulated other comprehensive income unless it is probable that the forecasted transaction will not occur by the end of the originally specified time period. Accordingly, the net derivative loss is being amortized to interest expense over the remaining term of the interest rate swap through February 13, 2015. The amount amortized during both the quarters ended June 30, 2011 and July 1, 2010 was $0.3 million and during both the six months ended June 30, 2011 and July 1, 2010 was $0.6 million. The Company estimates approximately $1.3 million will be amortized to interest expense in the next 12 months.</w:t>
      </w:r>
    </w:p>
    <w:p>
      <w:pPr>
        <w:spacing w:after="0" w:line="11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Both at inception and on an on-going basis the Company performs an effectiveness test using the hypothetical derivative method. The fair values of the interest rate swaps with the counterparties other than Barclays (representing notional amounts of $412.5 million associated with a like amount of the variable rate debt) are recorded on the Company’s balance sheet as a liability with the change in fair value recorded in other comprehensive income since the instruments were determined to be perfectly effective at June 30, 2011 and December 30, 2010. There were no amounts reclassified into current earnings due to ineffectiveness during the periods presented other than as described herein.</w:t>
      </w:r>
    </w:p>
    <w:p>
      <w:pPr>
        <w:spacing w:after="0" w:line="13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June 30, 2011 and December 30, 2010, the estimated fair value and line item caption of derivative instruments recorded were as follows (in millions):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w w:val="96"/>
              </w:rPr>
              <w:t>As of June 30, 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30, 2010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80" w:type="dxa"/>
            <w:vAlign w:val="bottom"/>
            <w:tcBorders>
              <w:top w:val="single" w:sz="8" w:color="auto"/>
            </w:tcBorders>
            <w:gridSpan w:val="2"/>
          </w:tcPr>
          <w:p>
            <w:pPr>
              <w:ind w:left="240"/>
              <w:spacing w:after="0" w:line="12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Fair</w:t>
            </w:r>
          </w:p>
        </w:tc>
        <w:tc>
          <w:tcPr>
            <w:tcW w:w="420" w:type="dxa"/>
            <w:vAlign w:val="bottom"/>
          </w:tcPr>
          <w:p>
            <w:pPr>
              <w:spacing w:after="0"/>
              <w:rPr>
                <w:sz w:val="10"/>
                <w:szCs w:val="10"/>
                <w:color w:val="auto"/>
              </w:rPr>
            </w:pPr>
          </w:p>
        </w:tc>
        <w:tc>
          <w:tcPr>
            <w:tcW w:w="1300" w:type="dxa"/>
            <w:vAlign w:val="bottom"/>
            <w:tcBorders>
              <w:top w:val="single" w:sz="8" w:color="auto"/>
            </w:tcBorders>
          </w:tcPr>
          <w:p>
            <w:pPr>
              <w:ind w:left="240"/>
              <w:spacing w:after="0" w:line="12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3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20" w:type="dxa"/>
            <w:vAlign w:val="bottom"/>
          </w:tcPr>
          <w:p>
            <w:pPr>
              <w:spacing w:after="0"/>
              <w:rPr>
                <w:sz w:val="14"/>
                <w:szCs w:val="14"/>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00" w:type="dxa"/>
            <w:vAlign w:val="bottom"/>
          </w:tcPr>
          <w:p>
            <w:pPr>
              <w:spacing w:after="0"/>
              <w:rPr>
                <w:sz w:val="14"/>
                <w:szCs w:val="14"/>
                <w:color w:val="auto"/>
              </w:rPr>
            </w:pPr>
          </w:p>
        </w:tc>
        <w:tc>
          <w:tcPr>
            <w:tcW w:w="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Derivatives designated as hedging instruments in cash flow hedges:</w:t>
            </w:r>
          </w:p>
        </w:tc>
        <w:tc>
          <w:tcPr>
            <w:tcW w:w="10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interest rate swap agreements</w:t>
            </w:r>
          </w:p>
        </w:tc>
        <w:tc>
          <w:tcPr>
            <w:tcW w:w="10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19.4</w:t>
            </w:r>
          </w:p>
        </w:tc>
        <w:tc>
          <w:tcPr>
            <w:tcW w:w="4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w w:val="96"/>
              </w:rPr>
              <w:t>Current Liabilities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34.2</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interest rate swap agreements</w:t>
            </w:r>
          </w:p>
        </w:tc>
        <w:tc>
          <w:tcPr>
            <w:tcW w:w="10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Current Liabilities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11.4</w:t>
            </w:r>
          </w:p>
        </w:tc>
        <w:tc>
          <w:tcPr>
            <w:tcW w:w="4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w:t>
            </w: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71.4</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552"/>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 of derivative instruments in cash flow hedge relationships on the consolidated financial statements for the quarters ended June 30, 2011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2010 and six months ended June 30, 2011 and July 1, 2010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940" w:type="dxa"/>
            <w:vAlign w:val="bottom"/>
            <w:tcBorders>
              <w:right w:val="single" w:sz="8" w:color="auto"/>
            </w:tcBorders>
            <w:gridSpan w:val="9"/>
          </w:tcPr>
          <w:p>
            <w:pPr>
              <w:ind w:left="340"/>
              <w:spacing w:after="0"/>
              <w:rPr>
                <w:sz w:val="20"/>
                <w:szCs w:val="20"/>
                <w:color w:val="auto"/>
              </w:rPr>
            </w:pPr>
            <w:r>
              <w:rPr>
                <w:rFonts w:ascii="Times New Roman" w:cs="Times New Roman" w:eastAsia="Times New Roman" w:hAnsi="Times New Roman"/>
                <w:sz w:val="14"/>
                <w:szCs w:val="14"/>
                <w:b w:val="1"/>
                <w:bCs w:val="1"/>
                <w:color w:val="auto"/>
              </w:rPr>
              <w:t>Unrealized Loss Recognized in NCM,</w:t>
            </w:r>
          </w:p>
        </w:tc>
        <w:tc>
          <w:tcPr>
            <w:tcW w:w="180" w:type="dxa"/>
            <w:vAlign w:val="bottom"/>
          </w:tcPr>
          <w:p>
            <w:pPr>
              <w:spacing w:after="0"/>
              <w:rPr>
                <w:sz w:val="13"/>
                <w:szCs w:val="13"/>
                <w:color w:val="auto"/>
              </w:rPr>
            </w:pPr>
          </w:p>
        </w:tc>
        <w:tc>
          <w:tcPr>
            <w:tcW w:w="280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Realized Loss Recognized in Interest</w:t>
            </w:r>
          </w:p>
        </w:tc>
      </w:tr>
      <w:tr>
        <w:trPr>
          <w:trHeight w:val="165"/>
        </w:trPr>
        <w:tc>
          <w:tcPr>
            <w:tcW w:w="3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Inc’s OCI (Pre-tax)</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Expense (Pre-tax)</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34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Six</w:t>
            </w:r>
          </w:p>
        </w:tc>
        <w:tc>
          <w:tcPr>
            <w:tcW w:w="120" w:type="dxa"/>
            <w:vAlign w:val="bottom"/>
          </w:tcPr>
          <w:p>
            <w:pPr>
              <w:spacing w:after="0"/>
              <w:rPr>
                <w:sz w:val="10"/>
                <w:szCs w:val="10"/>
                <w:color w:val="auto"/>
              </w:rPr>
            </w:pPr>
          </w:p>
        </w:tc>
        <w:tc>
          <w:tcPr>
            <w:tcW w:w="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Six</w:t>
            </w:r>
          </w:p>
        </w:tc>
        <w:tc>
          <w:tcPr>
            <w:tcW w:w="1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Six</w:t>
            </w:r>
          </w:p>
        </w:tc>
        <w:tc>
          <w:tcPr>
            <w:tcW w:w="12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Six</w:t>
            </w:r>
          </w:p>
        </w:tc>
        <w:tc>
          <w:tcPr>
            <w:tcW w:w="100" w:type="dxa"/>
            <w:vAlign w:val="bottom"/>
          </w:tcPr>
          <w:p>
            <w:pPr>
              <w:spacing w:after="0"/>
              <w:rPr>
                <w:sz w:val="10"/>
                <w:szCs w:val="10"/>
                <w:color w:val="auto"/>
              </w:rPr>
            </w:pPr>
          </w:p>
        </w:tc>
      </w:tr>
      <w:tr>
        <w:trPr>
          <w:trHeight w:val="149"/>
        </w:trPr>
        <w:tc>
          <w:tcPr>
            <w:tcW w:w="3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86"/>
              </w:rPr>
              <w:t>Qtr.</w:t>
            </w:r>
          </w:p>
        </w:tc>
        <w:tc>
          <w:tcPr>
            <w:tcW w:w="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Qtr.</w:t>
            </w: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120" w:type="dxa"/>
            <w:vAlign w:val="bottom"/>
          </w:tcPr>
          <w:p>
            <w:pPr>
              <w:spacing w:after="0"/>
              <w:rPr>
                <w:sz w:val="12"/>
                <w:szCs w:val="12"/>
                <w:color w:val="auto"/>
              </w:rPr>
            </w:pPr>
          </w:p>
        </w:tc>
        <w:tc>
          <w:tcPr>
            <w:tcW w:w="600" w:type="dxa"/>
            <w:vAlign w:val="bottom"/>
            <w:tcBorders>
              <w:right w:val="single" w:sz="8" w:color="auto"/>
            </w:tcBorders>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18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86"/>
              </w:rPr>
              <w:t>Qtr.</w:t>
            </w:r>
          </w:p>
        </w:tc>
        <w:tc>
          <w:tcPr>
            <w:tcW w:w="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86"/>
              </w:rPr>
              <w:t>Qtr.</w:t>
            </w: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1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49"/>
        </w:trPr>
        <w:tc>
          <w:tcPr>
            <w:tcW w:w="3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7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20" w:type="dxa"/>
            <w:vAlign w:val="bottom"/>
          </w:tcPr>
          <w:p>
            <w:pPr>
              <w:spacing w:after="0"/>
              <w:rPr>
                <w:sz w:val="12"/>
                <w:szCs w:val="12"/>
                <w:color w:val="auto"/>
              </w:rPr>
            </w:pPr>
          </w:p>
        </w:tc>
        <w:tc>
          <w:tcPr>
            <w:tcW w:w="600" w:type="dxa"/>
            <w:vAlign w:val="bottom"/>
            <w:tcBorders>
              <w:right w:val="single" w:sz="8" w:color="auto"/>
            </w:tcBorders>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49"/>
        </w:trPr>
        <w:tc>
          <w:tcPr>
            <w:tcW w:w="3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7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July 1,</w:t>
            </w: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20" w:type="dxa"/>
            <w:vAlign w:val="bottom"/>
          </w:tcPr>
          <w:p>
            <w:pPr>
              <w:spacing w:after="0"/>
              <w:rPr>
                <w:sz w:val="12"/>
                <w:szCs w:val="12"/>
                <w:color w:val="auto"/>
              </w:rPr>
            </w:pPr>
          </w:p>
        </w:tc>
        <w:tc>
          <w:tcPr>
            <w:tcW w:w="600" w:type="dxa"/>
            <w:vAlign w:val="bottom"/>
            <w:tcBorders>
              <w:right w:val="single" w:sz="8" w:color="auto"/>
            </w:tcBorders>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1,</w:t>
            </w:r>
          </w:p>
        </w:tc>
        <w:tc>
          <w:tcPr>
            <w:tcW w:w="18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1,</w:t>
            </w: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1,</w:t>
            </w:r>
          </w:p>
        </w:tc>
      </w:tr>
      <w:tr>
        <w:trPr>
          <w:trHeight w:val="165"/>
        </w:trPr>
        <w:tc>
          <w:tcPr>
            <w:tcW w:w="3460" w:type="dxa"/>
            <w:vAlign w:val="bottom"/>
          </w:tcPr>
          <w:p>
            <w:pPr>
              <w:spacing w:after="0"/>
              <w:rPr>
                <w:sz w:val="14"/>
                <w:szCs w:val="14"/>
                <w:color w:val="auto"/>
              </w:rPr>
            </w:pPr>
          </w:p>
        </w:tc>
        <w:tc>
          <w:tcPr>
            <w:tcW w:w="2540" w:type="dxa"/>
            <w:vAlign w:val="bottom"/>
            <w:gridSpan w:val="2"/>
          </w:tcPr>
          <w:p>
            <w:pPr>
              <w:jc w:val="center"/>
              <w:ind w:left="1972"/>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280" w:type="dxa"/>
            <w:vAlign w:val="bottom"/>
          </w:tcPr>
          <w:p>
            <w:pPr>
              <w:spacing w:after="0"/>
              <w:rPr>
                <w:sz w:val="14"/>
                <w:szCs w:val="14"/>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Pr>
          <w:p>
            <w:pPr>
              <w:spacing w:after="0"/>
              <w:rPr>
                <w:sz w:val="14"/>
                <w:szCs w:val="14"/>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Pr>
          <w:p>
            <w:pPr>
              <w:spacing w:after="0"/>
              <w:rPr>
                <w:sz w:val="14"/>
                <w:szCs w:val="14"/>
                <w:color w:val="auto"/>
              </w:rPr>
            </w:pPr>
          </w:p>
        </w:tc>
        <w:tc>
          <w:tcPr>
            <w:tcW w:w="6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Borders>
              <w:right w:val="single" w:sz="8" w:color="auto"/>
            </w:tcBorders>
          </w:tcPr>
          <w:p>
            <w:pPr>
              <w:spacing w:after="0"/>
              <w:rPr>
                <w:sz w:val="14"/>
                <w:szCs w:val="14"/>
                <w:color w:val="auto"/>
              </w:rPr>
            </w:pPr>
          </w:p>
        </w:tc>
        <w:tc>
          <w:tcPr>
            <w:tcW w:w="660" w:type="dxa"/>
            <w:vAlign w:val="bottom"/>
            <w:gridSpan w:val="2"/>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3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180" w:type="dxa"/>
            <w:vAlign w:val="bottom"/>
          </w:tcPr>
          <w:p>
            <w:pPr>
              <w:spacing w:after="0"/>
              <w:rPr>
                <w:sz w:val="14"/>
                <w:szCs w:val="14"/>
                <w:color w:val="auto"/>
              </w:rPr>
            </w:pPr>
          </w:p>
        </w:tc>
        <w:tc>
          <w:tcPr>
            <w:tcW w:w="58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100" w:type="dxa"/>
            <w:vAlign w:val="bottom"/>
          </w:tcPr>
          <w:p>
            <w:pPr>
              <w:spacing w:after="0"/>
              <w:rPr>
                <w:sz w:val="14"/>
                <w:szCs w:val="14"/>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(9.6)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0"/>
              </w:rPr>
              <w:t>$ (17.1)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(9.6)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0"/>
              </w:rPr>
              <w:t>$ (25.9)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  (4.9)</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4"/>
              </w:rPr>
              <w:t>$ (4.9)</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  (9.8)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(9.8)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For the quarters ended June 30, 2011 and July 1, 2010 and the six months ended June 30, 2011 and July 1, 2010 there was $0.3 million, $0.3 million, $0.6 million and $0.6 million of ineffectiveness recognized, respectively.</w:t>
      </w:r>
    </w:p>
    <w:p>
      <w:pPr>
        <w:spacing w:after="0" w:line="120"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under ASC 815 on the consolidated financial statements for the quarters ended June 30, 2011 and July 1, 2010 and six months ended June 30, 2011 and July 1, 2010 were as follows (in millions):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Loss Recognized in Interest Expense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(Pre-tax)</w:t>
            </w: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6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Six</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Six</w:t>
            </w:r>
          </w:p>
        </w:tc>
        <w:tc>
          <w:tcPr>
            <w:tcW w:w="100" w:type="dxa"/>
            <w:vAlign w:val="bottom"/>
          </w:tcPr>
          <w:p>
            <w:pPr>
              <w:spacing w:after="0"/>
              <w:rPr>
                <w:sz w:val="10"/>
                <w:szCs w:val="10"/>
                <w:color w:val="auto"/>
              </w:rPr>
            </w:pPr>
          </w:p>
        </w:tc>
      </w:tr>
      <w:tr>
        <w:trPr>
          <w:trHeight w:val="149"/>
        </w:trPr>
        <w:tc>
          <w:tcPr>
            <w:tcW w:w="4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86"/>
              </w:rPr>
              <w:t>Qtr.</w:t>
            </w:r>
          </w:p>
        </w:tc>
        <w:tc>
          <w:tcPr>
            <w:tcW w:w="420" w:type="dxa"/>
            <w:vAlign w:val="bottom"/>
          </w:tcPr>
          <w:p>
            <w:pPr>
              <w:spacing w:after="0"/>
              <w:rPr>
                <w:sz w:val="12"/>
                <w:szCs w:val="12"/>
                <w:color w:val="auto"/>
              </w:rPr>
            </w:pPr>
          </w:p>
        </w:tc>
        <w:tc>
          <w:tcPr>
            <w:tcW w:w="660" w:type="dxa"/>
            <w:vAlign w:val="bottom"/>
            <w:gridSpan w:val="2"/>
          </w:tcPr>
          <w:p>
            <w:pPr>
              <w:jc w:val="center"/>
              <w:ind w:right="212"/>
              <w:spacing w:after="0" w:line="149" w:lineRule="exact"/>
              <w:rPr>
                <w:sz w:val="20"/>
                <w:szCs w:val="20"/>
                <w:color w:val="auto"/>
              </w:rPr>
            </w:pPr>
            <w:r>
              <w:rPr>
                <w:rFonts w:ascii="Times New Roman" w:cs="Times New Roman" w:eastAsia="Times New Roman" w:hAnsi="Times New Roman"/>
                <w:sz w:val="14"/>
                <w:szCs w:val="14"/>
                <w:b w:val="1"/>
                <w:bCs w:val="1"/>
                <w:color w:val="auto"/>
                <w:w w:val="86"/>
              </w:rPr>
              <w:t>Qtr.</w:t>
            </w:r>
          </w:p>
        </w:tc>
        <w:tc>
          <w:tcPr>
            <w:tcW w:w="220" w:type="dxa"/>
            <w:vAlign w:val="bottom"/>
          </w:tcPr>
          <w:p>
            <w:pPr>
              <w:spacing w:after="0"/>
              <w:rPr>
                <w:sz w:val="12"/>
                <w:szCs w:val="12"/>
                <w:color w:val="auto"/>
              </w:rPr>
            </w:pPr>
          </w:p>
        </w:tc>
        <w:tc>
          <w:tcPr>
            <w:tcW w:w="9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6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49"/>
        </w:trPr>
        <w:tc>
          <w:tcPr>
            <w:tcW w:w="4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20" w:type="dxa"/>
            <w:vAlign w:val="bottom"/>
          </w:tcPr>
          <w:p>
            <w:pPr>
              <w:spacing w:after="0"/>
              <w:rPr>
                <w:sz w:val="12"/>
                <w:szCs w:val="12"/>
                <w:color w:val="auto"/>
              </w:rPr>
            </w:pPr>
          </w:p>
        </w:tc>
        <w:tc>
          <w:tcPr>
            <w:tcW w:w="660" w:type="dxa"/>
            <w:vAlign w:val="bottom"/>
            <w:gridSpan w:val="2"/>
          </w:tcPr>
          <w:p>
            <w:pPr>
              <w:jc w:val="center"/>
              <w:ind w:right="2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20" w:type="dxa"/>
            <w:vAlign w:val="bottom"/>
          </w:tcPr>
          <w:p>
            <w:pPr>
              <w:spacing w:after="0"/>
              <w:rPr>
                <w:sz w:val="12"/>
                <w:szCs w:val="12"/>
                <w:color w:val="auto"/>
              </w:rPr>
            </w:pPr>
          </w:p>
        </w:tc>
        <w:tc>
          <w:tcPr>
            <w:tcW w:w="9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6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49"/>
        </w:trPr>
        <w:tc>
          <w:tcPr>
            <w:tcW w:w="4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2"/>
                <w:szCs w:val="12"/>
                <w:color w:val="auto"/>
              </w:rPr>
            </w:pPr>
          </w:p>
        </w:tc>
        <w:tc>
          <w:tcPr>
            <w:tcW w:w="660" w:type="dxa"/>
            <w:vAlign w:val="bottom"/>
            <w:gridSpan w:val="2"/>
          </w:tcPr>
          <w:p>
            <w:pPr>
              <w:jc w:val="center"/>
              <w:ind w:right="2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1,</w:t>
            </w:r>
          </w:p>
        </w:tc>
        <w:tc>
          <w:tcPr>
            <w:tcW w:w="220" w:type="dxa"/>
            <w:vAlign w:val="bottom"/>
          </w:tcPr>
          <w:p>
            <w:pPr>
              <w:spacing w:after="0"/>
              <w:rPr>
                <w:sz w:val="12"/>
                <w:szCs w:val="12"/>
                <w:color w:val="auto"/>
              </w:rPr>
            </w:pPr>
          </w:p>
        </w:tc>
        <w:tc>
          <w:tcPr>
            <w:tcW w:w="9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6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July 1,</w:t>
            </w:r>
          </w:p>
        </w:tc>
      </w:tr>
      <w:tr>
        <w:trPr>
          <w:trHeight w:val="165"/>
        </w:trPr>
        <w:tc>
          <w:tcPr>
            <w:tcW w:w="4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60" w:type="dxa"/>
            <w:vAlign w:val="bottom"/>
          </w:tcPr>
          <w:p>
            <w:pPr>
              <w:spacing w:after="0"/>
              <w:rPr>
                <w:sz w:val="14"/>
                <w:szCs w:val="14"/>
                <w:color w:val="auto"/>
              </w:rPr>
            </w:pPr>
          </w:p>
        </w:tc>
        <w:tc>
          <w:tcPr>
            <w:tcW w:w="800" w:type="dxa"/>
            <w:vAlign w:val="bottom"/>
            <w:gridSpan w:val="2"/>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100" w:type="dxa"/>
            <w:vAlign w:val="bottom"/>
          </w:tcPr>
          <w:p>
            <w:pPr>
              <w:spacing w:after="0"/>
              <w:rPr>
                <w:sz w:val="14"/>
                <w:szCs w:val="14"/>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borrowings</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75"/>
              </w:rPr>
              <w:t>(1.6)</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4"/>
              </w:rPr>
              <w:t>$ (1.6)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5"/>
              </w:rPr>
              <w:t>(3.2)</w:t>
            </w: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5"/>
              </w:rPr>
              <w:t>(3.0)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Change in derivative fair value</w:t>
            </w:r>
          </w:p>
        </w:tc>
        <w:tc>
          <w:tcPr>
            <w:tcW w:w="2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2"/>
              </w:rPr>
              <w:t>(2.0)</w:t>
            </w:r>
          </w:p>
        </w:tc>
        <w:tc>
          <w:tcPr>
            <w:tcW w:w="108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4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(3.6)</w:t>
            </w:r>
          </w:p>
        </w:tc>
        <w:tc>
          <w:tcPr>
            <w:tcW w:w="108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(6.1)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CHANGES</w:t>
      </w:r>
    </w:p>
    <w:p>
      <w:pPr>
        <w:spacing w:after="0" w:line="9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table below presents the changes in NCM, Inc.’s equity resulting from net income attributable to NCM, Inc. and transfers to or from noncontrolling interests (in millions):</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Net income attributable to NCM,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1380" w:right="500"/>
        <w:spacing w:after="0" w:line="299" w:lineRule="auto"/>
        <w:rPr>
          <w:sz w:val="20"/>
          <w:szCs w:val="20"/>
          <w:color w:val="auto"/>
        </w:rPr>
      </w:pPr>
      <w:r>
        <w:rPr>
          <w:rFonts w:ascii="Times New Roman" w:cs="Times New Roman" w:eastAsia="Times New Roman" w:hAnsi="Times New Roman"/>
          <w:sz w:val="16"/>
          <w:szCs w:val="16"/>
          <w:color w:val="auto"/>
        </w:rPr>
        <w:t>Subsidiary equity issued (returned) for purchase of intangible asset Income tax and other impacts of subsidiary ownership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-144145</wp:posOffset>
            </wp:positionV>
            <wp:extent cx="55054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600" w:right="300" w:hanging="215"/>
        <w:spacing w:after="0" w:line="275" w:lineRule="auto"/>
        <w:rPr>
          <w:sz w:val="20"/>
          <w:szCs w:val="20"/>
          <w:color w:val="auto"/>
        </w:rPr>
      </w:pPr>
      <w:r>
        <w:rPr>
          <w:rFonts w:ascii="Times New Roman" w:cs="Times New Roman" w:eastAsia="Times New Roman" w:hAnsi="Times New Roman"/>
          <w:sz w:val="18"/>
          <w:szCs w:val="18"/>
          <w:color w:val="auto"/>
        </w:rPr>
        <w:t>Change from net income attributable to NCM, Inc. and transfers from noncontrolling interests</w:t>
      </w:r>
    </w:p>
    <w:p>
      <w:pPr>
        <w:spacing w:after="0" w:line="280"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20" w:type="dxa"/>
            <w:vAlign w:val="bottom"/>
          </w:tcPr>
          <w:p>
            <w:pPr>
              <w:spacing w:after="0"/>
              <w:rPr>
                <w:sz w:val="13"/>
                <w:szCs w:val="13"/>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r>
      <w:tr>
        <w:trPr>
          <w:trHeight w:val="149"/>
        </w:trPr>
        <w:tc>
          <w:tcPr>
            <w:tcW w:w="1840" w:type="dxa"/>
            <w:vAlign w:val="bottom"/>
            <w:gridSpan w:val="4"/>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 June 30,</w:t>
            </w:r>
          </w:p>
        </w:tc>
        <w:tc>
          <w:tcPr>
            <w:tcW w:w="8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 July 1,</w:t>
            </w:r>
          </w:p>
        </w:tc>
      </w:tr>
      <w:tr>
        <w:trPr>
          <w:trHeight w:val="165"/>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6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8.0</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940" w:type="dxa"/>
            <w:vAlign w:val="bottom"/>
          </w:tcPr>
          <w:p>
            <w:pPr>
              <w:spacing w:after="0"/>
              <w:rPr>
                <w:sz w:val="24"/>
                <w:szCs w:val="24"/>
                <w:color w:val="auto"/>
              </w:rPr>
            </w:pPr>
          </w:p>
        </w:tc>
        <w:tc>
          <w:tcPr>
            <w:tcW w:w="18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77" w:lineRule="exact"/>
        <w:rPr>
          <w:sz w:val="20"/>
          <w:szCs w:val="20"/>
          <w:color w:val="auto"/>
        </w:rPr>
      </w:pPr>
    </w:p>
    <w:p>
      <w:pPr>
        <w:sectPr>
          <w:pgSz w:w="11900" w:h="16838" w:orient="portrait"/>
          <w:cols w:equalWidth="0" w:num="2">
            <w:col w:w="6580" w:space="720"/>
            <w:col w:w="4120"/>
          </w:cols>
          <w:pgMar w:left="240" w:top="455" w:right="239" w:bottom="1440" w:gutter="0" w:footer="0" w:header="0"/>
          <w:type w:val="continuous"/>
        </w:sect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Advertising is the principal business activity of the Company and is the Company’s reportable segment under the requirements of ASC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Advertising revenue accounted for 86.5%, 90.9%, 85.3% and 86.0% of consolidated revenue for the quarters ended June 30, 2011 and July 1, 2010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six months ended June 30, 2011 and July 1, 2010, respectively. Fathom Consumer Events and Fathom Business Events are operating segments under ASC 280, but do not meet the quantitative thresholds for segment reporting. The following table presents revenues less directly identifiable expenses to arrive at operating income net of direct expenses for the advertising reportable segment, the combined Fathom Events operating segments, and network, administrative and unallocated costs. Management does not evaluate its segments on a fully allocated cost basis. Therefore, the measure of segment operating income net of direct expenses shown below is not prepared on the same basis as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820"/>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income in the consolidated statement of operations and the results below are not indicative of what segment results of operations would have been had it been operated on a fully allocated cost basis. Management cautions that it would be inappropriate to assume that unallocated operating costs are incurred proportional to segment revenue or any directly identifiable segment expenses. Unallocated operating costs consist primarily of network costs, general and administrative costs and other unallocated costs including depreciation and amortization. Management does not track segment assets and, therefore, segment asset information is not presented.</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Quarter Ended June 30, 2011 (in millions)</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color w:val="auto"/>
                <w:w w:val="95"/>
              </w:rPr>
              <w:t>Network,</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gridSpan w:val="5"/>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5"/>
              </w:rPr>
              <w:t>Administrative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Fathom Events</w:t>
            </w:r>
          </w:p>
        </w:tc>
        <w:tc>
          <w:tcPr>
            <w:tcW w:w="380" w:type="dxa"/>
            <w:vAlign w:val="bottom"/>
          </w:tcPr>
          <w:p>
            <w:pPr>
              <w:spacing w:after="0"/>
              <w:rPr>
                <w:sz w:val="12"/>
                <w:szCs w:val="12"/>
                <w:color w:val="auto"/>
              </w:rPr>
            </w:pPr>
          </w:p>
        </w:tc>
        <w:tc>
          <w:tcPr>
            <w:tcW w:w="118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7"/>
              </w:rPr>
              <w:t>Unallocated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Advertising</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 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w w:val="96"/>
              </w:rPr>
              <w:t>Costs</w:t>
            </w:r>
          </w:p>
        </w:tc>
        <w:tc>
          <w:tcPr>
            <w:tcW w:w="3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7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8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7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income, net of direct expenses</w:t>
            </w:r>
          </w:p>
        </w:tc>
        <w:tc>
          <w:tcPr>
            <w:tcW w:w="9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7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Network, administrative and other costs</w:t>
            </w:r>
          </w:p>
        </w:tc>
        <w:tc>
          <w:tcPr>
            <w:tcW w:w="9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gridSpan w:val="8"/>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July 1, 2010 (in millions)</w:t>
            </w: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500"/>
              <w:spacing w:after="0" w:line="129" w:lineRule="exact"/>
              <w:rPr>
                <w:sz w:val="20"/>
                <w:szCs w:val="20"/>
                <w:color w:val="auto"/>
              </w:rPr>
            </w:pPr>
            <w:r>
              <w:rPr>
                <w:rFonts w:ascii="Times New Roman" w:cs="Times New Roman" w:eastAsia="Times New Roman" w:hAnsi="Times New Roman"/>
                <w:sz w:val="14"/>
                <w:szCs w:val="14"/>
                <w:color w:val="auto"/>
                <w:w w:val="95"/>
              </w:rPr>
              <w:t>Network,</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5"/>
              </w:rPr>
              <w:t>Administrative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w w:val="88"/>
              </w:rPr>
              <w:t>and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Fathom Events</w:t>
            </w:r>
          </w:p>
        </w:tc>
        <w:tc>
          <w:tcPr>
            <w:tcW w:w="380" w:type="dxa"/>
            <w:vAlign w:val="bottom"/>
          </w:tcPr>
          <w:p>
            <w:pPr>
              <w:spacing w:after="0"/>
              <w:rPr>
                <w:sz w:val="12"/>
                <w:szCs w:val="12"/>
                <w:color w:val="auto"/>
              </w:rPr>
            </w:pPr>
          </w:p>
        </w:tc>
        <w:tc>
          <w:tcPr>
            <w:tcW w:w="118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7"/>
              </w:rPr>
              <w:t>Unallocated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Advertising</w:t>
            </w: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and 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w w:val="96"/>
              </w:rPr>
              <w:t>Costs</w:t>
            </w:r>
          </w:p>
        </w:tc>
        <w:tc>
          <w:tcPr>
            <w:tcW w:w="3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7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70"/>
              </w:rPr>
              <w:t>8.9</w:t>
            </w:r>
          </w:p>
        </w:tc>
        <w:tc>
          <w:tcPr>
            <w:tcW w:w="38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income, net of direct expenses</w:t>
            </w:r>
          </w:p>
        </w:tc>
        <w:tc>
          <w:tcPr>
            <w:tcW w:w="122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Network, administrative and other costs</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3"/>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700" w:right="2380"/>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 Months Ended June 30, 2011 (in millions)</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tcPr>
          <w:p>
            <w:pPr>
              <w:jc w:val="center"/>
              <w:ind w:right="540"/>
              <w:spacing w:after="0" w:line="129" w:lineRule="exact"/>
              <w:rPr>
                <w:sz w:val="20"/>
                <w:szCs w:val="20"/>
                <w:color w:val="auto"/>
              </w:rPr>
            </w:pPr>
            <w:r>
              <w:rPr>
                <w:rFonts w:ascii="Times New Roman" w:cs="Times New Roman" w:eastAsia="Times New Roman" w:hAnsi="Times New Roman"/>
                <w:sz w:val="14"/>
                <w:szCs w:val="14"/>
                <w:color w:val="auto"/>
                <w:w w:val="98"/>
              </w:rPr>
              <w:t>Network,</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5"/>
              </w:rPr>
              <w:t>Administrative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Fathom Events</w:t>
            </w:r>
          </w:p>
        </w:tc>
        <w:tc>
          <w:tcPr>
            <w:tcW w:w="122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4"/>
              </w:rPr>
              <w:t>Unallocated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Advertising</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color w:val="auto"/>
                <w:w w:val="97"/>
              </w:rPr>
              <w:t>and 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color w:val="auto"/>
                <w:w w:val="96"/>
              </w:rPr>
              <w:t>Costs</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income, net of direct expenses</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96.2</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Network, administrative and other costs</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gridSpan w:val="11"/>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 Months Ended July 1, 2010 (in millions)</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1"/>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tcPr>
          <w:p>
            <w:pPr>
              <w:jc w:val="center"/>
              <w:ind w:right="540"/>
              <w:spacing w:after="0" w:line="129" w:lineRule="exact"/>
              <w:rPr>
                <w:sz w:val="20"/>
                <w:szCs w:val="20"/>
                <w:color w:val="auto"/>
              </w:rPr>
            </w:pPr>
            <w:r>
              <w:rPr>
                <w:rFonts w:ascii="Times New Roman" w:cs="Times New Roman" w:eastAsia="Times New Roman" w:hAnsi="Times New Roman"/>
                <w:sz w:val="14"/>
                <w:szCs w:val="14"/>
                <w:color w:val="auto"/>
                <w:w w:val="98"/>
              </w:rPr>
              <w:t>Network,</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5"/>
              </w:rPr>
              <w:t>Administrative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Fathom Events</w:t>
            </w:r>
          </w:p>
        </w:tc>
        <w:tc>
          <w:tcPr>
            <w:tcW w:w="122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4"/>
              </w:rPr>
              <w:t>Unallocated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Advertising</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color w:val="auto"/>
                <w:w w:val="97"/>
              </w:rPr>
              <w:t>and 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color w:val="auto"/>
                <w:w w:val="96"/>
              </w:rPr>
              <w:t>Costs</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36.5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income, net of direct expenses</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97.9</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Network, administrative and other costs</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revenues by category (in millions):</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5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Quarter</w:t>
            </w:r>
          </w:p>
        </w:tc>
        <w:tc>
          <w:tcPr>
            <w:tcW w:w="120" w:type="dxa"/>
            <w:vAlign w:val="bottom"/>
          </w:tcPr>
          <w:p>
            <w:pPr>
              <w:spacing w:after="0"/>
              <w:rPr>
                <w:sz w:val="24"/>
                <w:szCs w:val="24"/>
                <w:color w:val="auto"/>
              </w:rPr>
            </w:pPr>
          </w:p>
        </w:tc>
        <w:tc>
          <w:tcPr>
            <w:tcW w:w="110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24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July1,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June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July</w:t>
            </w: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30, 2011</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5"/>
              </w:rPr>
              <w:t>1, 2010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67.7</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$ 64.1</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1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w w:val="98"/>
              </w:rPr>
              <w:t>Founding Member Advertising Revenue from Beverage Concessionaire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Agreements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Advertising Revenue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Fathom Consumer Revenue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Fathom Business Revenue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$ 99.1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5" w:right="6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820"/>
        <w:spacing w:after="0" w:line="264"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14"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On August 3, 2011, the Company declared a cash dividend of $0.22 per share (approximately $12 million) on each share of the Company’s common stock (including outstanding restricted stock) to stockholders of record on August 18, 2011 to be paid on September 1, 2011.</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July 5, 2011 NCM, LLC completed a private placement of $200 million in aggregate principal amount of 7.875% Senior Notes (“the Notes”) due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2021. The Notes have a maturity date of July 15, 2021 and pay interest semi-annually in arrears on January 15 and July 15 of each year, commencing January 15,</w:t>
      </w:r>
    </w:p>
    <w:p>
      <w:pPr>
        <w:spacing w:after="0" w:line="32"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2012. The proceeds were used to prepay $175 million of NCM, LLC’s outstanding indebtedness under its existing senior secured credit facility, as well as payments on the existing revolving line of credit and offering costs.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June 20, 2011, NCM, LLC, entered into an amendment (the “Amendment”) to NCM, LLC’s senior secured credit facility (the “Credit Facility”).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and conditions thereof, the Amendment became effective upon the completion of the private placement of the Notes on July 5, 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Bank PLC, is administrative agent for certain lenders that are party to the Credit Facility.</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Amendment, among other things:</w:t>
      </w:r>
    </w:p>
    <w:p>
      <w:pPr>
        <w:spacing w:after="0" w:line="90" w:lineRule="exact"/>
        <w:rPr>
          <w:sz w:val="20"/>
          <w:szCs w:val="20"/>
          <w:color w:val="auto"/>
        </w:rPr>
      </w:pPr>
    </w:p>
    <w:p>
      <w:pPr>
        <w:ind w:left="900" w:right="40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six-year $66 million revolving credit facility that terminates on February 13, 2013, was replaced with a new $105 million revolving credit facility that will terminate on December 31, 2014;</w:t>
      </w:r>
    </w:p>
    <w:p>
      <w:pPr>
        <w:spacing w:after="0" w:line="38"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 million outstanding revolving loan from Lehman (not subject to pro rata prepayment or re-borrowing) remains in place and will also mature on December 31, 2014;</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covenants of LLC were amended to permit LLC to issue senior notes and other unsecured indebtedness subject to certain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unused line fee increased from 0.375% per annum to 0.50% per annum;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permitted investments by LLC increased; and</w:t>
      </w:r>
    </w:p>
    <w:p>
      <w:pPr>
        <w:spacing w:after="0" w:line="90" w:lineRule="exact"/>
        <w:rPr>
          <w:rFonts w:ascii="Times New Roman" w:cs="Times New Roman" w:eastAsia="Times New Roman" w:hAnsi="Times New Roman"/>
          <w:sz w:val="18"/>
          <w:szCs w:val="18"/>
          <w:color w:val="auto"/>
        </w:rPr>
      </w:pPr>
    </w:p>
    <w:p>
      <w:pPr>
        <w:ind w:left="900" w:right="36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available cash was amended to (i) disregard the effect of certain debt issuances and (ii) level out the impact on available cash of certain capital expenditures.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amendment required LLC to use at least $175 million of the net proceeds of the senior notes offering to prepay the term loans under the Credit Facility. The consenting lenders further agreed that there would be no breakage costs associated with the prepayment of indebtedness from proceeds of the senior notes offering or the replacement of the revolving credit facility and the applicable margin has not changed.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u w:val="single" w:color="auto"/>
          <w:color w:val="auto"/>
        </w:rPr>
        <w:t>Management’s Discussion and Analysis of Financial Condition and Results of Operations</w:t>
      </w:r>
    </w:p>
    <w:p>
      <w:pPr>
        <w:spacing w:after="0" w:line="9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30, 2010.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30, 2010. In the following discussion and analysis, the term net income refers to net income attributable to NCM,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NCM operates the largest digital in-theatre network in North America, for the distribution of advertising and Fathom Consumer and Business Events. Our revenue is principally derived from the sale of advertising and, to a lesser extent, from our Fathom Events business. We have long-term ESAs with NCM LLC’s founding members and multi-year agreements with several other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and Fathom Events businesses are distributed across our proprietary digital content network (“DCN”) and live digital broadcast network (“DBN”). Approximately 94% of the aggregate founding member and network affiliate theatre attendance is generated by theatres connected to our DCN.</w:t>
      </w:r>
    </w:p>
    <w:p>
      <w:pPr>
        <w:spacing w:after="0" w:line="14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metrics and key performance indicators for us to manage our business and to determine how we are performing versus our internal goals and targets, and against the performance of our competitors and other benchmarks in the marketplaces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operating income before depreciation and amortization (“OIBDA”), Adjusted OIBDA and Adjusted OIBDA margin, as defined and discussed in “—Non-GAAP Financial Measures” below, as some of our primary measurement metrics. In addition, we pay particular attention to our monthly advertising performance measurements, including advertising inventory utilization, pricing (CPM), local and total advertising revenue per attendee and the number of Fathom Events locations, revenue per event and location. Finally, we monitor our operating cash flow and related financial leverage (see Note 5 to the unaudited condensed consolidated financial statements) and revolving credit facility availability and cash balances to ensure that debt obligations and future declared dividends can be met and there are adequate cash reserves to operate our business.</w:t>
      </w:r>
    </w:p>
    <w:p>
      <w:pPr>
        <w:spacing w:after="0" w:line="14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Our operating results may be affected by a variety of internal and external factors and trends described more fully in the section entitled “Risk Factors” in our Form 10-K filed with the SEC on February 25, 2011 for the Company’s fiscal year ended December 30, 2010.</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Historical and Operating Data</w:t>
      </w:r>
    </w:p>
    <w:p>
      <w:pPr>
        <w:spacing w:after="0" w:line="9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operating data and Adjusted OIBDA. See “—Non-GAAP Financial Measures” below for a discussion of the calculation of Adjusted OIBDA and reconciliation to operating income.</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100" w:type="dxa"/>
            <w:vAlign w:val="bottom"/>
          </w:tcPr>
          <w:p>
            <w:pPr>
              <w:spacing w:after="0"/>
              <w:rPr>
                <w:sz w:val="13"/>
                <w:szCs w:val="13"/>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Six</w:t>
            </w:r>
          </w:p>
        </w:tc>
      </w:tr>
      <w:tr>
        <w:trPr>
          <w:trHeight w:val="149"/>
        </w:trPr>
        <w:tc>
          <w:tcPr>
            <w:tcW w:w="64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12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7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r>
      <w:tr>
        <w:trPr>
          <w:trHeight w:val="149"/>
        </w:trPr>
        <w:tc>
          <w:tcPr>
            <w:tcW w:w="644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12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12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7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49"/>
        </w:trPr>
        <w:tc>
          <w:tcPr>
            <w:tcW w:w="64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2"/>
                <w:szCs w:val="12"/>
                <w:color w:val="auto"/>
              </w:rPr>
            </w:pPr>
          </w:p>
        </w:tc>
        <w:tc>
          <w:tcPr>
            <w:tcW w:w="112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1,</w:t>
            </w: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1,</w:t>
            </w:r>
          </w:p>
        </w:tc>
      </w:tr>
      <w:tr>
        <w:trPr>
          <w:trHeight w:val="165"/>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114.0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183.7</w:t>
            </w: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8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Adjusted OIBDA margin</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NCM, Inc.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NCM, Inc. Basic Share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8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NCM, Inc. Diluted Share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shd w:val="clear" w:color="auto" w:fill="CCEEFF"/>
          </w:tcPr>
          <w:p>
            <w:pPr>
              <w:spacing w:after="0"/>
              <w:rPr>
                <w:sz w:val="18"/>
                <w:szCs w:val="18"/>
                <w:color w:val="auto"/>
              </w:rPr>
            </w:pPr>
          </w:p>
        </w:tc>
      </w:tr>
      <w:tr>
        <w:trPr>
          <w:trHeight w:val="32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advertising revenue ($ in millions)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38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157.7</w:t>
            </w:r>
          </w:p>
        </w:tc>
        <w:tc>
          <w:tcPr>
            <w:tcW w:w="6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157.9</w:t>
            </w:r>
          </w:p>
        </w:tc>
        <w:tc>
          <w:tcPr>
            <w:tcW w:w="200" w:type="dxa"/>
            <w:vAlign w:val="bottom"/>
          </w:tcPr>
          <w:p>
            <w:pPr>
              <w:spacing w:after="0"/>
              <w:rPr>
                <w:sz w:val="24"/>
                <w:szCs w:val="24"/>
                <w:color w:val="auto"/>
              </w:rPr>
            </w:pPr>
          </w:p>
        </w:tc>
      </w:tr>
      <w:tr>
        <w:trPr>
          <w:trHeight w:val="218"/>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theater attendance (in millions)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175.6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3"/>
              </w:rPr>
              <w:t>165.1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308.8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327.0</w:t>
            </w:r>
          </w:p>
        </w:tc>
        <w:tc>
          <w:tcPr>
            <w:tcW w:w="200" w:type="dxa"/>
            <w:vAlign w:val="bottom"/>
            <w:shd w:val="clear" w:color="auto" w:fill="CCEEFF"/>
          </w:tcPr>
          <w:p>
            <w:pPr>
              <w:spacing w:after="0"/>
              <w:rPr>
                <w:sz w:val="18"/>
                <w:szCs w:val="18"/>
                <w:color w:val="auto"/>
              </w:rPr>
            </w:pP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advertising revenue per attendee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38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Pr>
          <w:p>
            <w:pPr>
              <w:spacing w:after="0"/>
              <w:rPr>
                <w:sz w:val="19"/>
                <w:szCs w:val="19"/>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2"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OIBDA, Adjusted OIBDA and Adjusted OIBDA margin are not financial measures calculated in accordance with generally accepted accounting principles (“GAAP”) in the United States. OIBDA represents operating income before depreciation and amortization expense. Adjusted OIBDA excludes from OIBDA non-cash share based payment costs and deferred stock compensation. Adjusted OIBDA margin is calculated by dividing Adjusted OIBDA by total revenue. These non-GAAP financial measures are used by management to evaluate operating performance and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w:t>
      </w:r>
    </w:p>
    <w:p>
      <w:pPr>
        <w:spacing w:after="0" w:line="14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OIBDA and Adjusted OIBDA do not reflect the Regal Consolidated Theatres integration payments. Regal made Consolidated Theatre payments to NCM LLC pursuant to the revised ESAs, which were $0.5 million, $0.9 million, $0.8 million and $1.3 million for the quarters ended June 30, 2011 and July 1, 2010 and the six months ended June 30, 2011 and July 1, 2010,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reconciles operating income to OIBDA and Adjusted OIBDA for the periods presented (dollars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60" w:type="dxa"/>
            <w:vAlign w:val="bottom"/>
          </w:tcPr>
          <w:p>
            <w:pPr>
              <w:spacing w:after="0"/>
              <w:rPr>
                <w:sz w:val="13"/>
                <w:szCs w:val="13"/>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Six Months Ended</w:t>
            </w: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6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June 30, 2011</w:t>
            </w:r>
          </w:p>
        </w:tc>
        <w:tc>
          <w:tcPr>
            <w:tcW w:w="80" w:type="dxa"/>
            <w:vAlign w:val="bottom"/>
          </w:tcPr>
          <w:p>
            <w:pPr>
              <w:spacing w:after="0"/>
              <w:rPr>
                <w:sz w:val="14"/>
                <w:szCs w:val="14"/>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w w:val="95"/>
              </w:rPr>
              <w:t>July 1, 2010</w:t>
            </w:r>
          </w:p>
        </w:tc>
        <w:tc>
          <w:tcPr>
            <w:tcW w:w="12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5"/>
              </w:rPr>
              <w:t>June 30, 2011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July 1, 2010</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4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OIBDA</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costs (1)</w:t>
            </w:r>
          </w:p>
        </w:tc>
        <w:tc>
          <w:tcPr>
            <w:tcW w:w="300" w:type="dxa"/>
            <w:vAlign w:val="bottom"/>
          </w:tcPr>
          <w:p>
            <w:pPr>
              <w:spacing w:after="0"/>
              <w:rPr>
                <w:sz w:val="18"/>
                <w:szCs w:val="18"/>
                <w:color w:val="auto"/>
              </w:rPr>
            </w:pPr>
          </w:p>
        </w:tc>
        <w:tc>
          <w:tcPr>
            <w:tcW w:w="14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Adjusted OIBDA</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3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382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8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3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Adjusted OIBDA margin</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700" w:hanging="452"/>
        <w:spacing w:after="0" w:line="275"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costs are included in network operations, selling and marketing, and administrative expense in the accompanying unaudited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2" w:lineRule="exact"/>
        <w:rPr>
          <w:sz w:val="20"/>
          <w:szCs w:val="20"/>
          <w:color w:val="auto"/>
        </w:rPr>
      </w:pPr>
    </w:p>
    <w:p>
      <w:pPr>
        <w:ind w:right="880" w:firstLine="456"/>
        <w:spacing w:after="0" w:line="275" w:lineRule="auto"/>
        <w:rPr>
          <w:sz w:val="20"/>
          <w:szCs w:val="20"/>
          <w:color w:val="auto"/>
        </w:rPr>
      </w:pPr>
      <w:r>
        <w:rPr>
          <w:rFonts w:ascii="Times New Roman" w:cs="Times New Roman" w:eastAsia="Times New Roman" w:hAnsi="Times New Roman"/>
          <w:sz w:val="18"/>
          <w:szCs w:val="18"/>
          <w:color w:val="auto"/>
        </w:rPr>
        <w:t>The results of operations data for the quarter and six months ended June 30, 2011 and July 1, 2010 were derived from the unaudited condensed consolidated financial statements and accounting records of NCM, Inc. and should be read in conjunction with the notes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2011 and July 1, 2010</w:t>
      </w:r>
    </w:p>
    <w:p>
      <w:pPr>
        <w:spacing w:after="0" w:line="92"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of the Company for the quarter ended June 30, 2011 was $114.0 million compared to $99.1 million for the quarter ended July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2010, an increase of $14.9 million, or 15.0%. The increase in total revenue was primarily the result of an increase in total advertising revenue of $8.5 million or 9.4% (including revenue from our founding member beverage concessionaire agreements, or “beverage revenue”), in addition to the 73.0% increase in Fathom Events revenue from $8.9 million in 2010 to $15.4 million in the current quarter.</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National advertising revenues of $78.4 million (including $10.7 million of beverage revenue) for the quarter ended June 30, 2011 increased 6.4%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$73.7 million (including $9.6 million of beverage revenue) for the quarter ended July 1, 2010. National advertising revenue (excluding beverage revenue) for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quarter ended June 30, 2011 increased $3.6 million or 5.6% to $67.7 million compared to $64.1 million for the quarter ended July 1, 2010. This increase was due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continued expansion of our overall client base and an increase in the allocation to the current quarter of the annual content partner spending as compared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second quarter of 2010. In addition, the higher content partner allocation and a favorable TV advertising scatter market contributed to an increase of 2.9%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advertising CPMs (excluding beverage revenue). There was also a 6.4% increase in national advertising impressions sold that contributed to a slight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decrease versus the second quarter of 2010 in the national inventory utilization to 91.5%. This increase in impressions related to a strong theatrical box office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addition of network affiliates. The 11.5% increase in payments from the founding members for their beverage concessionaire agreements was due primarily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combination of the impact of the annual contractual 6% beverage revenue CPM increase and a 5.7% increase in founding member attendance due to a strong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theatrical box office and the AMC Kerasotes Acquisition completed in the second quarter of 2010. Our make-good reserve balance decreased to $2.0 million 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2011 from $4.6 million at July 1, 2010 due to strong theatre attendance at the end of the current quarter. The Company anticipates this reserve will be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as revenue in the third quarter of 2011.</w:t>
      </w:r>
    </w:p>
    <w:p>
      <w:pPr>
        <w:spacing w:after="0" w:line="159"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Local advertising revenue increased $3.8 million or 23.2% to $20.2 million for the current quarter compared to $16.4 million for the quarter ended July 1, 2010. This increase was primarily due to the expansion of our network and an increase in the number of larger regional contracts as well as regional spending by nationally recognized clients. Local revenue per theatre attendee increased 20.0% to $0.12 per attendee for the second quarter of 2011 compared to $0.10 for the second quarter of 2010, notwithstanding the 6.4% increase in theatre attendance.</w:t>
      </w:r>
    </w:p>
    <w:p>
      <w:pPr>
        <w:spacing w:after="0" w:line="136"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Total advertising revenue (including beverage revenue) per attendee for the quarter ended June 30, 2011 increased 1.8% to $0.56 per attendee compared to $0.55 for the quarter ended July 1, 2010. Excluding beverage revenue, total advertising revenue per attendee increased 2.7%. The increase in the advertising revenue per attendee was due to the 9.4% increase in total advertising revenue (including beverage), offset by the 6.4% increase in theatre attendance.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Fathom Events revenue increased 73.0% to $15.4 million for the quarter ended June 30, 2011 as compared to $8.9 million for the quarter ended July 1, 2010. Our Fathom Consumer events revenue increased 168.9% primarily due to a 123.0% increase in events versus the second quarter of 2010, including additional Metropolitan Opera programs and many other arts and entertainment and cinema events. The Fathom Business division revenue remained consistent compared to the 2010 period as the division continues to be negatively impacted by the slow economic recovery. The total number of Fathom event sites utilized during the quarter ended June 30, 2011 increased 88.6% compared to the same period of 2010, primarily due to a the increase in the number of Fathom Consumer events held and the expansion of the Fathom Events network.</w:t>
      </w:r>
    </w:p>
    <w:p>
      <w:pPr>
        <w:spacing w:after="0" w:line="137" w:lineRule="exact"/>
        <w:rPr>
          <w:sz w:val="20"/>
          <w:szCs w:val="20"/>
          <w:color w:val="auto"/>
        </w:rPr>
      </w:pPr>
    </w:p>
    <w:p>
      <w:pPr>
        <w:jc w:val="both"/>
        <w:ind w:right="3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quarter ended June 30, 2011 were $63.8 million compared to $55.8 million for the quarter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1, 2010. The 14.3% increase in 2011 compared to the 2010 period was primarily the result of a 73.0% increase in our Fathom Event revenue, and a 9.2% increase in our advertising revenues (excluding beverage). Set forth below is a discussion of the operating expenses.</w:t>
      </w:r>
    </w:p>
    <w:p>
      <w:pPr>
        <w:spacing w:after="0" w:line="48" w:lineRule="exact"/>
        <w:rPr>
          <w:sz w:val="20"/>
          <w:szCs w:val="20"/>
          <w:color w:val="auto"/>
        </w:rPr>
      </w:pPr>
    </w:p>
    <w:p>
      <w:pPr>
        <w:ind w:left="460" w:right="240"/>
        <w:spacing w:after="0" w:line="275" w:lineRule="auto"/>
        <w:rPr>
          <w:sz w:val="20"/>
          <w:szCs w:val="20"/>
          <w:color w:val="auto"/>
        </w:rPr>
      </w:pPr>
      <w:r>
        <w:rPr>
          <w:rFonts w:ascii="Times New Roman" w:cs="Times New Roman" w:eastAsia="Times New Roman" w:hAnsi="Times New Roman"/>
          <w:sz w:val="18"/>
          <w:szCs w:val="18"/>
          <w:u w:val="single" w:color="auto"/>
          <w:color w:val="auto"/>
        </w:rPr>
        <w:t>Advertising operating costs.</w:t>
      </w:r>
      <w:r>
        <w:rPr>
          <w:rFonts w:ascii="Times New Roman" w:cs="Times New Roman" w:eastAsia="Times New Roman" w:hAnsi="Times New Roman"/>
          <w:sz w:val="18"/>
          <w:szCs w:val="18"/>
          <w:color w:val="auto"/>
        </w:rPr>
        <w:t xml:space="preserve"> Advertising operating costs of $5.9 million for the quarter ended June 30, 2011 increased 3.5% over the $5.7 million for the quarter ended July 1, 2010 due primarily to the increase in advertising revenue.</w:t>
      </w:r>
    </w:p>
    <w:p>
      <w:pPr>
        <w:spacing w:after="0" w:line="39"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u w:val="single" w:color="auto"/>
          <w:color w:val="auto"/>
        </w:rPr>
        <w:t>Fathom Events operating costs.</w:t>
      </w:r>
      <w:r>
        <w:rPr>
          <w:rFonts w:ascii="Times New Roman" w:cs="Times New Roman" w:eastAsia="Times New Roman" w:hAnsi="Times New Roman"/>
          <w:sz w:val="18"/>
          <w:szCs w:val="18"/>
          <w:color w:val="auto"/>
        </w:rPr>
        <w:t xml:space="preserve"> Fathom Events operating costs of $10.7 million for the quarter ended June 30, 2011 increased $4.7 million or 78.3% compared to $6.0 million during the quarter ended July 1, 2010. The increase was primarily due to the increased revenue generated by the Fathom Consumer division resulting in an increase in payments to content producers due to the mix of events, as well as the increase in the revenue share payments to our founding members and affiliates.</w:t>
      </w:r>
    </w:p>
    <w:p>
      <w:pPr>
        <w:spacing w:after="0" w:line="55" w:lineRule="exact"/>
        <w:rPr>
          <w:sz w:val="20"/>
          <w:szCs w:val="20"/>
          <w:color w:val="auto"/>
        </w:rPr>
      </w:pPr>
    </w:p>
    <w:p>
      <w:pPr>
        <w:jc w:val="both"/>
        <w:ind w:left="460" w:right="40"/>
        <w:spacing w:after="0" w:line="262" w:lineRule="auto"/>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of $4.8 million for the quarter ended June 30, 2011 were consistent with $4.8 million for the quarter ended July 1, 2010 due to lower maintenance costs related to the transition to the digital cinema projectors offset by costs associated with aging network equipment in theatres that have yet to install the new higher quality digital cinema equipment.</w:t>
      </w:r>
    </w:p>
    <w:p>
      <w:pPr>
        <w:spacing w:after="0" w:line="51"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u w:val="single" w:color="auto"/>
          <w:color w:val="auto"/>
        </w:rPr>
        <w:t>Theatre access fees.</w:t>
      </w:r>
      <w:r>
        <w:rPr>
          <w:rFonts w:ascii="Times New Roman" w:cs="Times New Roman" w:eastAsia="Times New Roman" w:hAnsi="Times New Roman"/>
          <w:sz w:val="18"/>
          <w:szCs w:val="18"/>
          <w:color w:val="auto"/>
        </w:rPr>
        <w:t xml:space="preserve"> Theatre access fees were $14.8 million for the quarter ended June 30, 2011 compared to $13.4 million for the quarter ended July 1, 2010. The 10.4% increase for 2011 versus the 2010 period was primarily the result of a 5.7% increase in founding member attendance, driven in part by the attendance and screens added by the AMC Kerasotes Acquisition completed in the second quarter of 2010. The remaining increase was due to the annual increase in the amount per digital screen specified in the ESA and additional costs associated with our access to the higher quality digital cinema equipment.</w:t>
      </w:r>
    </w:p>
    <w:p>
      <w:pPr>
        <w:spacing w:after="0" w:line="139"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to $14.9 million, or 5.7% for the quarter ended June 30, 2011 compared to $14.1 million for the quarter ended July 1, 2010. This increase is primarily due to higher personnel costs including local sales commissions related to the 23.2% increase in local advertising revenue.</w:t>
      </w:r>
    </w:p>
    <w:p>
      <w:pPr>
        <w:spacing w:after="0" w:line="132" w:lineRule="exact"/>
        <w:rPr>
          <w:sz w:val="20"/>
          <w:szCs w:val="20"/>
          <w:color w:val="auto"/>
        </w:rPr>
      </w:pPr>
    </w:p>
    <w:p>
      <w:pPr>
        <w:ind w:left="460"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for the quarter ended June 30, 2011 were $8.4 million compared to $7.5 million for the quarter ended July 1, 2010, an increase of 12.0%. The increase is due to increased personnel and consulting costs related to the development of our core advertising, scheduling and distribution systems and additional compensation expense primarily related to a $0.5 million increase in non-cash share-based compensation expense.</w:t>
      </w:r>
    </w:p>
    <w:p>
      <w:pPr>
        <w:spacing w:after="0" w:line="55"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Depreciation and amortization of $4.3 million for the quarter ended June 30, 2011 remained consistent with $4.3 million for the quarter ended July 1, 2010.</w:t>
      </w:r>
    </w:p>
    <w:p>
      <w:pPr>
        <w:spacing w:after="0" w:line="118"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Net income</w:t>
      </w:r>
      <w:r>
        <w:rPr>
          <w:rFonts w:ascii="Times New Roman" w:cs="Times New Roman" w:eastAsia="Times New Roman" w:hAnsi="Times New Roman"/>
          <w:sz w:val="16"/>
          <w:szCs w:val="16"/>
          <w:color w:val="auto"/>
        </w:rPr>
        <w:t>. Net income generated for the quarter ended June 30, 2011 was $9.0 million, an increase of 95.7% over the $4.6 million for the quarter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July 1, 2010. The increase was due primarily to the 15.9% increase in operating income and a $2.5 million decrease in the charge related to the change in derivative fair value offset by an increase in the provision for income taxes and net income attributable to noncontrolling interests. The change in derivative fair value resulted in a pre-tax non-cash charge of $2.0 million for the quarter ended June 30, 2011 compared to a pre-tax non-cash charge of $4.5 million for the quarter ended July 1, 2010, due to the change in the fair value of an interest rate hedge associated with our senior secured credit facility from decreases in market interest rates. The increase in the provision for income taxes of $2.7 million to $5.4 million for the second quarter of 2011 is due primarily to higher taxable income. Noncontrolling interest expense increased $2.0 million to $19.3 million for the quarter ended June 30, 2011 due to higher NCM LLC net income.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2011 and July 1, 2010</w:t>
      </w:r>
    </w:p>
    <w:p>
      <w:pPr>
        <w:spacing w:after="0" w:line="92" w:lineRule="exact"/>
        <w:rPr>
          <w:sz w:val="20"/>
          <w:szCs w:val="20"/>
          <w:color w:val="auto"/>
        </w:rPr>
      </w:pPr>
    </w:p>
    <w:p>
      <w:pPr>
        <w:ind w:right="1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of the Company for the six months ended June 30, 2011 was $184.8 million compared to $183.7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1, 2010. This 0.6% increase for the 2011 period over the 2010 period was the result of an increase of $1.4 million, or 5.4%, in Fathom Events revenues, offset by a small decrease of 0.1%, in advertising revenue relating to lower first quarter 2011 revenue.</w:t>
      </w:r>
    </w:p>
    <w:p>
      <w:pPr>
        <w:spacing w:after="0" w:line="12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National advertising revenues of $124.9 million (including $18.9 million of beverage revenue) for the six months ended June 30, 2011 decreased 3.4% from $129.3 million (including $18.8 million of beverage revenue) for the 2010 period. National advertising revenue (excluding beverage revenue) for the six months ended June 30, 2011 decreased 4.1% to $106.0 million compared to $110.5 million for the six months ended July 1, 2010. This decrease was primarily due to the first quarter of 2010 having included a significant advertising contract from one client in the military category that was not repeated in the first quarter of 2011. Content partner commitment spending for the six months ended June 30, 2011 increased $3.0 million as compared to 2010. The decrease in national inventory utilization (excluding beverage revenue) to 82.8% for the six months ended June 30, 2011 from 85.4% for the six months ended July 1, 2010 was due to the decrease in national advertising revenue during the first half of 2011 as compared to the first half of 2010, offset by a 5.6% decrease in theatre attendance compared to the prior year period. The lower national inventory utilization related to the impact of the decrease in military spending, partially offset by continued expansion of our overall client base and a favorable TV advertising scatter market that contributed to a 4.0% increase in national advertising CPMs (excluding beverage revenue). The 0.5% decrease in payments from the founding members for their beverage concessionaire agreements was due primarily to a 4.7% decrease in founding member attendance due to a weaker box office during the first quarter of 2011, offset by the impact of the annual contractual 6% beverage revenue CPM increase.</w:t>
      </w:r>
    </w:p>
    <w:p>
      <w:pPr>
        <w:spacing w:after="0" w:line="147"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Local advertising revenue increased $4.2 million or 14.7% to $32.8 million for the six months ended June 30, 2011 compared to $28.6 million for the six months ended July 1, 2010. This increase was primarily due to the expansion of our network and an increase in the number of larger regional contracts as well as regional spending by nationally recognized clients. Local revenue per theatre attendee for the six months ended June 30, 2011 increased 22.2% to $0.11 per attendee compared to $0.09 for the six months ended July 1, 2010 due to the increased sales revenue combined with a decrease in theatre attendance within our network of 12.0% compared to the comparable period in 2010.</w:t>
      </w:r>
    </w:p>
    <w:p>
      <w:pPr>
        <w:spacing w:after="0" w:line="139"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Total advertising revenue per attendee (including beverage revenue) for the six months ended June 30, 2011 increased 6.3% to $0.51 per attendee, from $0.48 per attendee for the six months ended July 1, 2010. The increase in the advertising revenue per attendee was primarily due to the increase in local advertising revenue and the impact of the overall 5.6% decrease in attendance across our network.</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Fathom Events revenue increased $1.4 million, or 5.4%, to $27.1 million for the six months ended June 30, 2011 compared to the 2010 period due to a 14.3% increase in Fathom Consumer revenue. This increase related to the diversification of programming categories and an increase in the number of events in the first half of 2011 versus 2010. The Fathom Business division revenue decreased slightly compared to 2010 as the division continues to be negatively impacted by the slow economic recovery. The total number of Fathom event sites utilized during the current six month period increased 42.0% compared to the same period of 2010, primarily due to a 53.5% increase in the number of Fathom Consumer events held and the expansion of the Fathom Events network.</w:t>
      </w:r>
    </w:p>
    <w:p>
      <w:pPr>
        <w:spacing w:after="0" w:line="137" w:lineRule="exact"/>
        <w:rPr>
          <w:sz w:val="20"/>
          <w:szCs w:val="20"/>
          <w:color w:val="auto"/>
        </w:rPr>
      </w:pPr>
    </w:p>
    <w:p>
      <w:pPr>
        <w:jc w:val="both"/>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six months ended June 30, 2011 were $119.6 million compared to $114.0 million for the 2010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July 1, 2010. The 4.9% increase for the six months ended June 30, 2011 compared to the same period of 2010 was the result of the impact of increases in local advertising and Fathom revenues and non-cash share-based compensation expenses.</w:t>
      </w:r>
    </w:p>
    <w:p>
      <w:pPr>
        <w:spacing w:after="0" w:line="48" w:lineRule="exact"/>
        <w:rPr>
          <w:sz w:val="20"/>
          <w:szCs w:val="20"/>
          <w:color w:val="auto"/>
        </w:rPr>
      </w:pPr>
    </w:p>
    <w:p>
      <w:pPr>
        <w:ind w:left="460" w:right="360"/>
        <w:spacing w:after="0" w:line="262" w:lineRule="auto"/>
        <w:rPr>
          <w:sz w:val="20"/>
          <w:szCs w:val="20"/>
          <w:color w:val="auto"/>
        </w:rPr>
      </w:pPr>
      <w:r>
        <w:rPr>
          <w:rFonts w:ascii="Times New Roman" w:cs="Times New Roman" w:eastAsia="Times New Roman" w:hAnsi="Times New Roman"/>
          <w:sz w:val="18"/>
          <w:szCs w:val="18"/>
          <w:u w:val="single" w:color="auto"/>
          <w:color w:val="auto"/>
        </w:rPr>
        <w:t>Advertising operating costs.</w:t>
      </w:r>
      <w:r>
        <w:rPr>
          <w:rFonts w:ascii="Times New Roman" w:cs="Times New Roman" w:eastAsia="Times New Roman" w:hAnsi="Times New Roman"/>
          <w:sz w:val="18"/>
          <w:szCs w:val="18"/>
          <w:color w:val="auto"/>
        </w:rPr>
        <w:t xml:space="preserve"> Advertising operations costs of $9.4 million for the six months ended June 30, 2011 decreased 7.8% compared to $10.2 million for the 2010 period. This decrease was primarily the result of a decrease in costs associated with non-digital delivery of our preshow due to the 7.3% increase in digital screens.</w:t>
      </w:r>
    </w:p>
    <w:p>
      <w:pPr>
        <w:spacing w:after="0" w:line="51" w:lineRule="exact"/>
        <w:rPr>
          <w:sz w:val="20"/>
          <w:szCs w:val="20"/>
          <w:color w:val="auto"/>
        </w:rPr>
      </w:pPr>
    </w:p>
    <w:p>
      <w:pPr>
        <w:ind w:left="460" w:right="100"/>
        <w:spacing w:after="0" w:line="262" w:lineRule="auto"/>
        <w:rPr>
          <w:sz w:val="20"/>
          <w:szCs w:val="20"/>
          <w:color w:val="auto"/>
        </w:rPr>
      </w:pPr>
      <w:r>
        <w:rPr>
          <w:rFonts w:ascii="Times New Roman" w:cs="Times New Roman" w:eastAsia="Times New Roman" w:hAnsi="Times New Roman"/>
          <w:sz w:val="18"/>
          <w:szCs w:val="18"/>
          <w:u w:val="single" w:color="auto"/>
          <w:color w:val="auto"/>
        </w:rPr>
        <w:t>Fathom Events operating costs.</w:t>
      </w:r>
      <w:r>
        <w:rPr>
          <w:rFonts w:ascii="Times New Roman" w:cs="Times New Roman" w:eastAsia="Times New Roman" w:hAnsi="Times New Roman"/>
          <w:sz w:val="18"/>
          <w:szCs w:val="18"/>
          <w:color w:val="auto"/>
        </w:rPr>
        <w:t xml:space="preserve"> Fathom Events operating costs of $18.3 million for the six months ended June 30, 2011 increased 7.0% compared to $17.1 million during the 2010 period. The increase was the result of additional payments to content producers and revenue share to our founding members and affiliates directly related to the increased revenue generated by the Fathom Consumer division.</w:t>
      </w:r>
    </w:p>
    <w:p>
      <w:pPr>
        <w:spacing w:after="0" w:line="51" w:lineRule="exact"/>
        <w:rPr>
          <w:sz w:val="20"/>
          <w:szCs w:val="20"/>
          <w:color w:val="auto"/>
        </w:rPr>
      </w:pPr>
    </w:p>
    <w:p>
      <w:pPr>
        <w:ind w:left="460" w:right="20"/>
        <w:spacing w:after="0" w:line="262" w:lineRule="auto"/>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of $9.7 million for the six months ended June 30, 2011 were consistent with the $9.7 million for the six months ended July 1, 2010 due to lower maintenance costs related to the transition to digital cinema projectors offset by costs associated with aging network equipment in theatres that have yet to install the new higher quality digital cinema equipment.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line="310" w:lineRule="auto"/>
        <w:rPr>
          <w:sz w:val="20"/>
          <w:szCs w:val="20"/>
          <w:color w:val="auto"/>
        </w:rPr>
      </w:pPr>
      <w:r>
        <w:rPr>
          <w:rFonts w:ascii="Times New Roman" w:cs="Times New Roman" w:eastAsia="Times New Roman" w:hAnsi="Times New Roman"/>
          <w:sz w:val="16"/>
          <w:szCs w:val="16"/>
          <w:u w:val="single" w:color="auto"/>
          <w:color w:val="auto"/>
        </w:rPr>
        <w:t>Theatre access fees.</w:t>
      </w:r>
      <w:r>
        <w:rPr>
          <w:rFonts w:ascii="Times New Roman" w:cs="Times New Roman" w:eastAsia="Times New Roman" w:hAnsi="Times New Roman"/>
          <w:sz w:val="16"/>
          <w:szCs w:val="16"/>
          <w:color w:val="auto"/>
        </w:rPr>
        <w:t xml:space="preserve"> Theatre access fees were $26.9 million for the six months ended June 30, 2011 compared to $26.3 million for the comparable 2010 period. The 2.3% increase for the first six months of 2011 versus the first six months of 2010 was the result of the annual 5% increase per digital screen and additional costs associated with our access to the higher quality digital cinema equipment, offset by a 4.7% decrease in founding member attendance.</w:t>
      </w:r>
    </w:p>
    <w:p>
      <w:pPr>
        <w:spacing w:after="0" w:line="16" w:lineRule="exact"/>
        <w:rPr>
          <w:sz w:val="20"/>
          <w:szCs w:val="20"/>
          <w:color w:val="auto"/>
        </w:rPr>
      </w:pPr>
    </w:p>
    <w:p>
      <w:pPr>
        <w:jc w:val="both"/>
        <w:ind w:left="460" w:right="140"/>
        <w:spacing w:after="0" w:line="310" w:lineRule="auto"/>
        <w:rPr>
          <w:sz w:val="20"/>
          <w:szCs w:val="20"/>
          <w:color w:val="auto"/>
        </w:rPr>
      </w:pPr>
      <w:r>
        <w:rPr>
          <w:rFonts w:ascii="Times New Roman" w:cs="Times New Roman" w:eastAsia="Times New Roman" w:hAnsi="Times New Roman"/>
          <w:sz w:val="16"/>
          <w:szCs w:val="16"/>
          <w:u w:val="single" w:color="auto"/>
          <w:color w:val="auto"/>
        </w:rPr>
        <w:t>Selling and marketing costs.</w:t>
      </w:r>
      <w:r>
        <w:rPr>
          <w:rFonts w:ascii="Times New Roman" w:cs="Times New Roman" w:eastAsia="Times New Roman" w:hAnsi="Times New Roman"/>
          <w:sz w:val="16"/>
          <w:szCs w:val="16"/>
          <w:color w:val="auto"/>
        </w:rPr>
        <w:t xml:space="preserve"> Selling and marketing costs increased to $29.5 million for the six months ended June 30, 2011 compared to $27.2 million for the six months ended July 1, 2010, an increase of 8.5%. This increase was primarily due to higher personnel costs including increased sales commissions for our regional and Fathom Consumer business, as well as an $0.8 million increase in non-cash share-based compensation expense.</w:t>
      </w:r>
    </w:p>
    <w:p>
      <w:pPr>
        <w:spacing w:after="0" w:line="16" w:lineRule="exact"/>
        <w:rPr>
          <w:sz w:val="20"/>
          <w:szCs w:val="20"/>
          <w:color w:val="auto"/>
        </w:rPr>
      </w:pPr>
    </w:p>
    <w:p>
      <w:pPr>
        <w:ind w:left="460"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for the six months ended June 30, 2011 were $16.9 million compared to $15.2 million for the 2010 period. The 11.2% increase in the six month period ended June 30, 2011 as compared to the six month period ended July 1, 2010 is primarily due to increased personnel costs of $2.2 million which included additional personnel associated with the growth of our business and a $1.6 million increase in non-cash share-based compensation, offset by lower professional services.</w:t>
      </w:r>
    </w:p>
    <w:p>
      <w:pPr>
        <w:spacing w:after="0" w:line="55"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Depreciation and amortization expense increased $0.6 million to $8.9 million for the first six months of 2011 compared to $8.3 million for the same period in 2010 as a result of increased amortization expense recognized on additional intangible assets recorded related to the annual and special Common Unit Adjustment. We expect full year 2011 depreciation and amortization to increase over 2010 due to the increases in amortization of the intangible assets that were recorded during 2011.</w:t>
      </w:r>
    </w:p>
    <w:p>
      <w:pPr>
        <w:spacing w:after="0" w:line="134"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generated for the six months ended June 30, 2011 increased 37.9% to $8.0 million compared to net income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July 1, 2010 of $5.8 million. The increase was due primarily to a $5.4 million decrease in the charge related to the change in derivative fair value and a $2.9 million decrease in the net income attributable to noncontrolling interests, offset by a $4.5 million decrease in operating income. The change in derivative fair value resulted in a pre-tax non-cash charge of $0.8 million for the six months ended June 30, 2011 compared to a pre-tax non-cash charge of $6.2 million for the six months ended July 1, 2010, due to the change in the fair value of an interest rate hedge associated with our senior secured credit facility from decreases in market interest rates. The increase of $1.1 million to $4.7 million for the six months ended June 30, 2011 in the provision for income taxes is due primarily to higher pretax income. Noncontrolling interest expense decreased $2.9 million for the six months ended June 30, 2011 due to the impact of the redemption of common membership units during the second quarter of 2010 impacting the allocation of overall higher net income to NCM, LLC (see Note 6 to the unaudited condensed consolidated financial statements included elsewhere in this document).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92" w:lineRule="exact"/>
        <w:rPr>
          <w:sz w:val="20"/>
          <w:szCs w:val="20"/>
          <w:color w:val="auto"/>
        </w:rPr>
      </w:pPr>
    </w:p>
    <w:p>
      <w:pPr>
        <w:ind w:right="40" w:firstLine="456"/>
        <w:spacing w:after="0" w:line="287" w:lineRule="auto"/>
        <w:rPr>
          <w:sz w:val="20"/>
          <w:szCs w:val="20"/>
          <w:color w:val="auto"/>
        </w:rPr>
      </w:pPr>
      <w:r>
        <w:rPr>
          <w:rFonts w:ascii="Times New Roman" w:cs="Times New Roman" w:eastAsia="Times New Roman" w:hAnsi="Times New Roman"/>
          <w:sz w:val="16"/>
          <w:szCs w:val="16"/>
          <w:color w:val="auto"/>
        </w:rPr>
        <w:t>The current macro-economic environment, and continued late breaking national television scatter advertising market in general, present uncertainties that could impact our results of operations, including the timing and amount of spending from our advertising clients and collections of accounts receivable. However, the impact to our business associated with these issues is mitigated somewhat due to factors including the growth in our advertising client base, the effectiveness of cinema advertising relative to other advertising mediums, and the effectiveness and increasing scale of our national network and the related increase in salable advertising impressions and Fathom live broadcast locations. During the third and fourth quarter of 2010, we added several new affiliate theatres to our national network including: Metropolitan Theatres Corporation, Great Escape Theatres and RC Theatres. In the first half of 2011 we have added Consolidated Theatres acquired by Regal in 2008, as well as several new affiliates including Rave Cinemas, LLC and Showplex Cinemas, Inc. During the third quarter of 2011 we will add Digital Cinema Destinations, Corp., VSS Southern Theatres and Coming Attractions. In total, these contracted new founding member and affiliate theatres that have joined or will join our network, are expected to add nearly 47 million new attendees on a full-year pro-forma basis, which we expect may result in up to 650 million new salable national advertising impressions. Our sales force either has integrated or will integrate these additional impressions into the advertising sales process during the remainder of 2011 and we expect that these attendees will then be additive to our revenue, operating income and cash flow. We are discussing network affiliate relationships with other theatre circuits that could be added during the remainder of 2011 or thereafter. We believe that the continued growth of our network will continue to strengthen our selling proposition and competitive positioning versus other national advertising platforms.</w:t>
      </w:r>
    </w:p>
    <w:p>
      <w:pPr>
        <w:spacing w:after="0" w:line="329"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color w:val="auto"/>
        </w:rPr>
        <w:t xml:space="preserve">Under the ESAs, up to 90 seconds of the </w:t>
      </w:r>
      <w:r>
        <w:rPr>
          <w:rFonts w:ascii="Times New Roman" w:cs="Times New Roman" w:eastAsia="Times New Roman" w:hAnsi="Times New Roman"/>
          <w:sz w:val="18"/>
          <w:szCs w:val="18"/>
          <w:i w:val="1"/>
          <w:iCs w:val="1"/>
          <w:color w:val="auto"/>
        </w:rPr>
        <w:t>FirstLook</w:t>
      </w:r>
      <w:r>
        <w:rPr>
          <w:rFonts w:ascii="Times New Roman" w:cs="Times New Roman" w:eastAsia="Times New Roman" w:hAnsi="Times New Roman"/>
          <w:sz w:val="18"/>
          <w:szCs w:val="18"/>
          <w:color w:val="auto"/>
        </w:rPr>
        <w:t xml:space="preserve"> program can be sold to our founding members to satisfy their on-screen advertising commitments under their beverage concessionaire agreements. During 2011 and in 2010, we sold 60 seconds to our founding members. We expect to continue to sell 60 seconds of time to the founding members in the remainder of 2011 and for the foreseeable future.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remain involved in discussions with the founding member circuits to explore a restructuring of the Fathom Events business relationship. The discussions are on-going and we do not know how the existing relationship might be changed or if it will be changed. Any change to the Fathom Events business relationship with the founding members would likely have to be approved by a special independent committee of NCM, Inc’s board, nine of NCM Inc’s ten director and a majority of all independent directors.</w:t>
      </w:r>
    </w:p>
    <w:p>
      <w:pPr>
        <w:spacing w:after="0" w:line="136"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In July 2011 we amended our credit facility agreement and completed a private placement of $200 million in aggregate principal amount of 7.875% Senior Notes due in 2021. A portion of the proceeds were used to prepay $175 million of unhedged outstanding term loan borrowings under our senior secured credit facility. In conjunction with this bond placement we also restructured our existing revolving credit agreement by expanding the availability from $80 million to $119 million and extending the term from February 13, 2013 to December 31, 2014. As a result of these transactions, we have significantly extended the maturities of our debt structure as well as increased our liquidity. Due to the higher interest rate on the bonds versus our senior secured credit facility term loan, we expect our interest expense on borrowings to increase by $5.8 million for second half of 2011 compared to the second half of 2010.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of June 30, 2011, our cash, cash equivalents and short-term investments balance was $64.4 million, a decrease of $18.5 million compared to the balance of $82.9 million as of December 30, 2010. Compared to the balance at July 1, 2010 of $55.9 million, the balance at June 30, 2011 increased $8.5 million. At June 30, 2011, we had an additional $45.0 million of borrowing availability on our revolving credit facility for total liquidity availability of $109.4 million compared to $112.9 million at December 30, 2010. At July 1, 2010, our total liquidity availability was $83.9 million. Our cash balances will fluctuate due to the seasonality of our business and related timing of collections of accounts receivable balances and operating expenditure payments, as well as available cash payments (as defined) to NCM LLC’s founding members, interest payments on our term loan and principal payments on debt, income tax payments, tax sharing payments to our founding members and quarterly dividends to NCM, Inc’s common shareholders. Our net debt balances (debt balance net of cash, cash equivalents and short-term investments balance) decreased $25.5 million compared to the balance at July 1, 2010.</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generated and used cash as follows (in millions):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60" w:type="dxa"/>
            <w:vAlign w:val="bottom"/>
          </w:tcPr>
          <w:p>
            <w:pPr>
              <w:spacing w:after="0"/>
              <w:rPr>
                <w:sz w:val="13"/>
                <w:szCs w:val="13"/>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r>
      <w:tr>
        <w:trPr>
          <w:trHeight w:val="149"/>
        </w:trPr>
        <w:tc>
          <w:tcPr>
            <w:tcW w:w="3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3860" w:type="dxa"/>
            <w:vAlign w:val="bottom"/>
          </w:tcPr>
          <w:p>
            <w:pPr>
              <w:spacing w:after="0"/>
              <w:rPr>
                <w:sz w:val="14"/>
                <w:szCs w:val="14"/>
                <w:color w:val="auto"/>
              </w:rPr>
            </w:pPr>
          </w:p>
        </w:tc>
        <w:tc>
          <w:tcPr>
            <w:tcW w:w="3660" w:type="dxa"/>
            <w:vAlign w:val="bottom"/>
            <w:gridSpan w:val="4"/>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w w:val="95"/>
              </w:rPr>
              <w:t>June 30, 2011</w:t>
            </w:r>
          </w:p>
        </w:tc>
        <w:tc>
          <w:tcPr>
            <w:tcW w:w="1160" w:type="dxa"/>
            <w:vAlign w:val="bottom"/>
            <w:gridSpan w:val="4"/>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5"/>
              </w:rPr>
              <w:t>July 1, 2010</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2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Investing cash flow</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w:t>
            </w:r>
          </w:p>
        </w:tc>
      </w:tr>
    </w:tbl>
    <w:p>
      <w:pPr>
        <w:spacing w:after="0" w:line="184"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The increase in cash provided by operating activities for the six months ended June 30, 2011 versus the six months ended</w:t>
      </w:r>
    </w:p>
    <w:p>
      <w:pPr>
        <w:spacing w:after="0" w:line="25" w:lineRule="exact"/>
        <w:rPr>
          <w:rFonts w:ascii="Times New Roman" w:cs="Times New Roman" w:eastAsia="Times New Roman" w:hAnsi="Times New Roman"/>
          <w:sz w:val="18"/>
          <w:szCs w:val="18"/>
          <w:color w:val="auto"/>
        </w:rPr>
      </w:pPr>
    </w:p>
    <w:p>
      <w:pPr>
        <w:ind w:left="9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1, 2010 was primarily due to the increase in operating income, the timing of normal operating expenses, as well as the timing of the collection of accounts receivable balances offset by the timing of payments for income taxes and taxes due under the tax sharing agreement.</w:t>
      </w:r>
    </w:p>
    <w:p>
      <w:pPr>
        <w:spacing w:after="0" w:line="46" w:lineRule="exact"/>
        <w:rPr>
          <w:rFonts w:ascii="Times New Roman" w:cs="Times New Roman" w:eastAsia="Times New Roman" w:hAnsi="Times New Roman"/>
          <w:sz w:val="18"/>
          <w:szCs w:val="18"/>
          <w:color w:val="auto"/>
        </w:rPr>
      </w:pPr>
    </w:p>
    <w:p>
      <w:pPr>
        <w:ind w:left="900" w:right="60" w:hanging="325"/>
        <w:spacing w:after="0" w:line="26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cash used for investing cash flows for the six months ended June 30, 2011 decreased slightly compared to the level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investing cash flow for the six months ended July 1, 2010. The decrease is a combination of the level of capital expenditures, which are offset by the proceeds from the sale of fixed assets, and the use of cash to purchase short term investments consistent with our investment policy.</w:t>
      </w:r>
    </w:p>
    <w:p>
      <w:pPr>
        <w:spacing w:after="0" w:line="43" w:lineRule="exact"/>
        <w:rPr>
          <w:rFonts w:ascii="Times New Roman" w:cs="Times New Roman" w:eastAsia="Times New Roman" w:hAnsi="Times New Roman"/>
          <w:sz w:val="18"/>
          <w:szCs w:val="18"/>
          <w:color w:val="auto"/>
        </w:rPr>
      </w:pPr>
    </w:p>
    <w:p>
      <w:pPr>
        <w:ind w:left="900" w:right="100" w:hanging="325"/>
        <w:spacing w:after="0" w:line="26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The change in financing cash flows for the six months ended June 30, 2011 versus the six months ended July 1, 2010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an increase in our quarterly dividend offset by a decrease in net repayments on our revolving credit agreement in 2011 as compared to 2010.</w:t>
      </w:r>
    </w:p>
    <w:p>
      <w:pPr>
        <w:spacing w:after="0" w:line="12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Sources of capital and capital requirements. </w:t>
      </w:r>
      <w:r>
        <w:rPr>
          <w:rFonts w:ascii="Times New Roman" w:cs="Times New Roman" w:eastAsia="Times New Roman" w:hAnsi="Times New Roman"/>
          <w:sz w:val="18"/>
          <w:szCs w:val="18"/>
          <w:color w:val="auto"/>
        </w:rPr>
        <w:t>NCM, Inc.’s primary source of liquidity and capital resources are available cash distributions from NCM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NCM LLC’s primary sources of liquidity and capital resources are its operating activities and availability under its senior secured revolving credit facility. Refer to Note 11 to the unaudited condensed consolidated financial statements included elsewhere in this document and “–Known Trends and Uncertainties” above for a detailed discussion of the debt transactions in the third quarter of 2011.</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experienced in advertising revenues, changes in interest on borrowings and to a lesser extent theatre attendance. NCM LLC is required pursuant to the terms of its operating agreement to distribute its available cash, as defined in the operating agreement, to its members (the founding members and NCM, Inc.). The available cash distribution to the members of NCM LLC for the six months ended June 30, 2011 was $54.3 million, of which $26.4 million was distributed to NCM, Inc. NCM, Inc. will use cash received from the available cash distributions to fund income taxes, payments associated with the tax sharing agreement with the founding members and current and future dividends as declared by the board of directors, including a dividend declared in July 2011 of $0.22 per share (approximately $12 million) which will be paid on September 1, 2011. Distributions from NCM LLC and NCM, Inc. cash balances should be sufficient to fund NCM, Inc.’s tax sharing payments to the founding member circuits, income taxes and its regular dividend for the foreseeable future at the discretion of the board of directors dependent on anticipated cash needs, overall financial condition, future prospects for earnings, available cash and cash flows as well as other relevant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filed for the fiscal year ended December 30, 2010 and incorporated by reference herein. As of June 30, 2011, there were no significant changes in those critical accounting estimates.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For a discussion of the related-party transactions, see the information provided under Note 4 to the unaudited condensed consolidated financial statements included elsewhere in this document.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30, 2010 and incorporated by reference herein. We do not believe these arrangements are material to our current or future financial condition, results of operations, liquidity, capital resources or capital expenditures.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as of June 30, 2011, however in July 2011 we completed a restructuring of our indebtedness. Refer to Note 11 to the unaudited condensed consolidated financial statements included elsewhere in this document and “–Known Trends and Uncertainties” above for a detailed discussion of the debt transactions in the third quarter of 2011.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2"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Our revenue and operating results are seasonal in nature, coinciding with the timing of marketing expenditures by our advertising clients and to a lesser extent the attendance patterns within the film exhibition industry. Advertising expenditures and theatre attendance tend to be higher during the second, third, and fourth fiscal quarters and are correlated to theatre attendance levels and new product releases and advertising client marketing priorities and cycles.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 The following table reflects the quarterly percentage of total revenue for the fiscal years ended 2009 and 2010.</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240" w:type="dxa"/>
            <w:vAlign w:val="bottom"/>
          </w:tcPr>
          <w:p>
            <w:pPr>
              <w:spacing w:after="0"/>
              <w:rPr>
                <w:sz w:val="13"/>
                <w:szCs w:val="13"/>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8"/>
              </w:rPr>
              <w:t>Second</w:t>
            </w: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Fourth</w:t>
            </w:r>
          </w:p>
        </w:tc>
        <w:tc>
          <w:tcPr>
            <w:tcW w:w="0" w:type="dxa"/>
            <w:vAlign w:val="bottom"/>
          </w:tcPr>
          <w:p>
            <w:pPr>
              <w:spacing w:after="0"/>
              <w:rPr>
                <w:sz w:val="1"/>
                <w:szCs w:val="1"/>
                <w:color w:val="auto"/>
              </w:rPr>
            </w:pPr>
          </w:p>
        </w:tc>
      </w:tr>
      <w:tr>
        <w:trPr>
          <w:trHeight w:val="165"/>
        </w:trPr>
        <w:tc>
          <w:tcPr>
            <w:tcW w:w="65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38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89"/>
              </w:rPr>
              <w:t>Quarter</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Quarter</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2009</w:t>
            </w: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24.4%</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8"/>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FY 2010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w:t>
            </w:r>
          </w:p>
        </w:tc>
        <w:tc>
          <w:tcPr>
            <w:tcW w:w="13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23.2%</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u w:val="single" w:color="auto"/>
          <w:color w:val="auto"/>
        </w:rPr>
        <w:t>Quantitative and Qualitative Disclosures About Market Risk</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primary market risk to which we are exposed is interest rate risk. We have entered into variable-to-fixed interest rate swap arrangements economically hedging $550.0 million of the $725.0 million term loan outstanding at June 30, 2011 at a fixed interest rate of 6.484%. For a discussion of market risks, see Item 7A. “Quantitative and Qualitative Disclosures About Market Risk” contained in our annual report on Form 10-K for the fiscal year ended December 30, 2010 and incorporated by reference herein. At June 30, 2011, the current interest rates on that debt are lower than those implicit in the hedge, thus a 100 basis point fluctuation in market interest rates would have the effect of increasing or decreasing our cash interest expense by approximately $2.1 million for an annual period on a total of $210.0 million of unhedged debt (which includes $35.0 million outstanding on our revolver). Because each of our interest rate swaps was in a liability position at June 30, 2011, we are not currently exposed to counterparty risk related to the swaps. Due to the debt restructuring, beginning in the third quarter of 2011 we will be exposed to only the interest rate risk on the outstanding revolver balance as the remaining term loan of $550.0 million is subject to the interest rate swap arrangements described above and the $200.0 million in aggregate principal amount of 7.875% senior notes due in 2021 will be at a fixed rate. Refer to Note 11 to the unaudited condensed consolidated financial statements included elsewhere in this document and “–Known Trends and Uncertainties” above for a detailed discussion of the debt transactions in the third quarter of 2011.</w:t>
      </w:r>
    </w:p>
    <w:p>
      <w:pPr>
        <w:spacing w:after="0" w:line="2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u w:val="single" w:color="auto"/>
          <w:color w:val="auto"/>
        </w:rPr>
        <w:t>Controls and Procedures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June 30, 2011,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June 30, 2011 were effective.</w:t>
      </w:r>
    </w:p>
    <w:p>
      <w:pPr>
        <w:spacing w:after="0" w:line="14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controls over financial reporting that occurred during the quarter ended June 30, 2011 that have materially affected, or are reasonably likely to materially affect, the Company’s internal controls over financial reporting.</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u w:val="single" w:color="auto"/>
          <w:color w:val="auto"/>
        </w:rPr>
        <w:t>Legal Proceedings</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u w:val="single" w:color="auto"/>
          <w:color w:val="auto"/>
        </w:rPr>
        <w:t>Risk Factors</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There have been no material changes from risk factors as previously disclosed in our annual report on Form 10-K filed with the SEC on February 25, 2011 for the fiscal year ended December 30, 2010.</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u w:val="single" w:color="auto"/>
          <w:color w:val="auto"/>
        </w:rPr>
        <w:t>Unregistered Sales of Equity Securities and Use of Proceeds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Issuer Purchases of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(c)</w:t>
            </w: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89"/>
              </w:rPr>
              <w:t>(a)</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color w:val="auto"/>
                <w:w w:val="95"/>
              </w:rPr>
              <w:t>Total Number of</w:t>
            </w: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7"/>
              </w:rPr>
              <w:t>(d)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87"/>
              </w:rPr>
              <w:t>Total</w:t>
            </w:r>
          </w:p>
        </w:tc>
        <w:tc>
          <w:tcPr>
            <w:tcW w:w="12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97"/>
              </w:rPr>
              <w:t>(b)</w:t>
            </w:r>
          </w:p>
        </w:tc>
        <w:tc>
          <w:tcPr>
            <w:tcW w:w="192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color w:val="auto"/>
                <w:w w:val="96"/>
              </w:rPr>
              <w:t>Shares</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8"/>
              </w:rPr>
              <w:t>Maximum Number (or</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color w:val="auto"/>
                <w:w w:val="95"/>
              </w:rPr>
              <w:t>Number</w:t>
            </w:r>
          </w:p>
        </w:tc>
        <w:tc>
          <w:tcPr>
            <w:tcW w:w="12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92"/>
              </w:rPr>
              <w:t>Average</w:t>
            </w:r>
          </w:p>
        </w:tc>
        <w:tc>
          <w:tcPr>
            <w:tcW w:w="19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color w:val="auto"/>
                <w:w w:val="96"/>
              </w:rPr>
              <w:t>Purchased as</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5"/>
              </w:rPr>
              <w:t>Approximate Dollar Value)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85"/>
              </w:rPr>
              <w:t>of</w:t>
            </w:r>
          </w:p>
        </w:tc>
        <w:tc>
          <w:tcPr>
            <w:tcW w:w="12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97"/>
              </w:rPr>
              <w:t>Price</w:t>
            </w:r>
          </w:p>
        </w:tc>
        <w:tc>
          <w:tcPr>
            <w:tcW w:w="19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95"/>
              </w:rPr>
              <w:t>Part of Publicly</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6"/>
              </w:rPr>
              <w:t>Shares that may yet be</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2"/>
              </w:rPr>
              <w:t>Period</w:t>
            </w:r>
          </w:p>
        </w:tc>
        <w:tc>
          <w:tcPr>
            <w:tcW w:w="2720" w:type="dxa"/>
            <w:vAlign w:val="bottom"/>
            <w:vMerge w:val="restart"/>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color w:val="auto"/>
                <w:w w:val="96"/>
              </w:rPr>
              <w:t>Shares</w:t>
            </w:r>
          </w:p>
        </w:tc>
        <w:tc>
          <w:tcPr>
            <w:tcW w:w="12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rPr>
              <w:t>Paid Per</w:t>
            </w:r>
          </w:p>
        </w:tc>
        <w:tc>
          <w:tcPr>
            <w:tcW w:w="19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95"/>
              </w:rPr>
              <w:t>Announced Plans or</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Purchased under the Plans or</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380" w:type="dxa"/>
            <w:vAlign w:val="bottom"/>
            <w:gridSpan w:val="2"/>
          </w:tcPr>
          <w:p>
            <w:pPr>
              <w:jc w:val="center"/>
              <w:ind w:right="800"/>
              <w:spacing w:after="0" w:line="148" w:lineRule="exact"/>
              <w:rPr>
                <w:sz w:val="20"/>
                <w:szCs w:val="20"/>
                <w:color w:val="auto"/>
              </w:rPr>
            </w:pPr>
            <w:r>
              <w:rPr>
                <w:rFonts w:ascii="Times New Roman" w:cs="Times New Roman" w:eastAsia="Times New Roman" w:hAnsi="Times New Roman"/>
                <w:sz w:val="14"/>
                <w:szCs w:val="14"/>
                <w:color w:val="auto"/>
                <w:w w:val="93"/>
              </w:rPr>
              <w:t>Purchased</w:t>
            </w:r>
          </w:p>
        </w:tc>
        <w:tc>
          <w:tcPr>
            <w:tcW w:w="1280" w:type="dxa"/>
            <w:vAlign w:val="bottom"/>
            <w:gridSpan w:val="2"/>
          </w:tcPr>
          <w:p>
            <w:pPr>
              <w:jc w:val="center"/>
              <w:ind w:right="800"/>
              <w:spacing w:after="0" w:line="148" w:lineRule="exact"/>
              <w:rPr>
                <w:sz w:val="20"/>
                <w:szCs w:val="20"/>
                <w:color w:val="auto"/>
              </w:rPr>
            </w:pPr>
            <w:r>
              <w:rPr>
                <w:rFonts w:ascii="Times New Roman" w:cs="Times New Roman" w:eastAsia="Times New Roman" w:hAnsi="Times New Roman"/>
                <w:sz w:val="14"/>
                <w:szCs w:val="14"/>
                <w:color w:val="auto"/>
              </w:rPr>
              <w:t>Share</w:t>
            </w:r>
          </w:p>
        </w:tc>
        <w:tc>
          <w:tcPr>
            <w:tcW w:w="1920" w:type="dxa"/>
            <w:vAlign w:val="bottom"/>
            <w:gridSpan w:val="2"/>
          </w:tcPr>
          <w:p>
            <w:pPr>
              <w:jc w:val="center"/>
              <w:ind w:right="800"/>
              <w:spacing w:after="0" w:line="148" w:lineRule="exact"/>
              <w:rPr>
                <w:sz w:val="20"/>
                <w:szCs w:val="20"/>
                <w:color w:val="auto"/>
              </w:rPr>
            </w:pPr>
            <w:r>
              <w:rPr>
                <w:rFonts w:ascii="Times New Roman" w:cs="Times New Roman" w:eastAsia="Times New Roman" w:hAnsi="Times New Roman"/>
                <w:sz w:val="14"/>
                <w:szCs w:val="14"/>
                <w:color w:val="auto"/>
                <w:w w:val="96"/>
              </w:rPr>
              <w:t>Programs</w:t>
            </w:r>
          </w:p>
        </w:tc>
        <w:tc>
          <w:tcPr>
            <w:tcW w:w="17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w w:val="96"/>
              </w:rPr>
              <w:t>Programs</w:t>
            </w:r>
          </w:p>
        </w:tc>
        <w:tc>
          <w:tcPr>
            <w:tcW w:w="0" w:type="dxa"/>
            <w:vAlign w:val="bottom"/>
          </w:tcPr>
          <w:p>
            <w:pPr>
              <w:spacing w:after="0"/>
              <w:rPr>
                <w:sz w:val="1"/>
                <w:szCs w:val="1"/>
                <w:color w:val="auto"/>
              </w:rPr>
            </w:pPr>
          </w:p>
        </w:tc>
      </w:tr>
      <w:tr>
        <w:trPr>
          <w:trHeight w:val="203"/>
        </w:trPr>
        <w:tc>
          <w:tcPr>
            <w:tcW w:w="51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April 1, 2011 through April 28, 2011</w:t>
            </w: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8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ind w:left="1320"/>
              <w:spacing w:after="0" w:line="203" w:lineRule="exact"/>
              <w:rPr>
                <w:sz w:val="20"/>
                <w:szCs w:val="20"/>
                <w:color w:val="auto"/>
              </w:rPr>
            </w:pPr>
            <w:r>
              <w:rPr>
                <w:rFonts w:ascii="Times New Roman" w:cs="Times New Roman" w:eastAsia="Times New Roman" w:hAnsi="Times New Roman"/>
                <w:sz w:val="18"/>
                <w:szCs w:val="18"/>
                <w:color w:val="auto"/>
                <w:w w:val="90"/>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29, 2011 through May 26, 2011</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27, 2011 through June 30, 2011 (1)</w:t>
            </w: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567</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$17.71</w:t>
            </w:r>
          </w:p>
        </w:tc>
        <w:tc>
          <w:tcPr>
            <w:tcW w:w="7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400" w:hanging="452"/>
        <w:spacing w:after="0" w:line="27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delivered to the Company from restricted stock held by Company employees upon vesting for purpose of funding the recipient’s tax withholding obligations.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u w:val="single" w:color="auto"/>
          <w:color w:val="auto"/>
        </w:rPr>
        <w:t>Defaults Upon Senior Securities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u w:val="single" w:color="auto"/>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u w:val="single" w:color="auto"/>
          <w:color w:val="auto"/>
        </w:rPr>
        <w:t>Other Information</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3"/>
              </w:rPr>
              <w:t>Exhibits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40" w:type="dxa"/>
            <w:vAlign w:val="bottom"/>
          </w:tcPr>
          <w:p>
            <w:pPr>
              <w:spacing w:after="0"/>
              <w:rPr>
                <w:sz w:val="17"/>
                <w:szCs w:val="17"/>
                <w:color w:val="auto"/>
              </w:rPr>
            </w:pPr>
          </w:p>
        </w:tc>
      </w:tr>
      <w:tr>
        <w:trPr>
          <w:trHeight w:val="372"/>
        </w:trPr>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Reference</w:t>
            </w:r>
          </w:p>
        </w:tc>
        <w:tc>
          <w:tcPr>
            <w:tcW w:w="240" w:type="dxa"/>
            <w:vAlign w:val="bottom"/>
            <w:gridSpan w:val="2"/>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9040" w:type="dxa"/>
            <w:vAlign w:val="bottom"/>
          </w:tcPr>
          <w:p>
            <w:pPr>
              <w:spacing w:after="0"/>
              <w:rPr>
                <w:sz w:val="24"/>
                <w:szCs w:val="24"/>
                <w:color w:val="auto"/>
              </w:rPr>
            </w:pPr>
          </w:p>
        </w:tc>
      </w:tr>
      <w:tr>
        <w:trPr>
          <w:trHeight w:val="3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w:t>
            </w:r>
          </w:p>
        </w:tc>
      </w:tr>
      <w:tr>
        <w:trPr>
          <w:trHeight w:val="3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Common Unit Adjustment Agreement dated as of February 13, 2007, by and among National CineMedia, Inc., National CineMedia, LLC,</w:t>
            </w:r>
          </w:p>
        </w:tc>
      </w:tr>
      <w:tr>
        <w:trPr>
          <w:trHeight w:val="216"/>
        </w:trPr>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Regal CineMedia Holdings, LLC, American Multi-Cinema, Inc., Cinemark Media, Inc, Regal Cinemas, Inc. and Cinemark USA, Inc.</w:t>
            </w:r>
          </w:p>
        </w:tc>
      </w:tr>
      <w:tr>
        <w:trPr>
          <w:trHeight w:val="228"/>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 treatment granted as to certain portions, which portions were omitted and filed separately with the Commission.)</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CineMedia, Inc. 2011 Performance Bonus Plan</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CineMedia, Inc. 2007 Equity Incentive Plan, as amended</w:t>
            </w:r>
          </w:p>
        </w:tc>
      </w:tr>
      <w:tr>
        <w:trPr>
          <w:trHeight w:val="3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Amendment to Credit Agreement dated June 20, 2011, by and among National CineMedia, LLC, Barclays Bank PLC, as</w:t>
            </w:r>
          </w:p>
        </w:tc>
      </w:tr>
      <w:tr>
        <w:trPr>
          <w:trHeight w:val="228"/>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agent and the Lenders party thereto</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13a-14(a) Certification of Chief Executive Officer.</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13a-14(a) Certification of Chief Financial Officer.</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w:t>
            </w:r>
          </w:p>
        </w:tc>
      </w:tr>
      <w:tr>
        <w:trPr>
          <w:trHeight w:val="3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materials from the Quarterly Report on Form 10-Q of National CineMedia, Inc. for the quarter ended June 30, 2011,</w:t>
            </w:r>
          </w:p>
        </w:tc>
      </w:tr>
      <w:tr>
        <w:trPr>
          <w:trHeight w:val="216"/>
        </w:trPr>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 the Condensed Consolidated Balance Sheets, (ii) the Condensed</w:t>
            </w:r>
          </w:p>
        </w:tc>
      </w:tr>
      <w:tr>
        <w:trPr>
          <w:trHeight w:val="228"/>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Operations, (iii) the Condensed Consolidated Statement of Cash Flows, (iv) the Condensed Consolidated</w:t>
            </w:r>
          </w:p>
        </w:tc>
      </w:tr>
    </w:tbl>
    <w:p>
      <w:pPr>
        <w:ind w:left="1680" w:right="60"/>
        <w:spacing w:after="0" w:line="261" w:lineRule="auto"/>
        <w:rPr>
          <w:sz w:val="20"/>
          <w:szCs w:val="20"/>
          <w:color w:val="auto"/>
        </w:rPr>
      </w:pPr>
      <w:r>
        <w:rPr>
          <w:rFonts w:ascii="Times New Roman" w:cs="Times New Roman" w:eastAsia="Times New Roman" w:hAnsi="Times New Roman"/>
          <w:sz w:val="18"/>
          <w:szCs w:val="18"/>
          <w:color w:val="auto"/>
        </w:rPr>
        <w:t>Statements of Equity/(Deficit) and Comprehensive Income, and (v) the Notes to Condensed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580" w:right="140" w:hanging="572"/>
        <w:spacing w:after="0" w:line="255"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57" w:lineRule="exact"/>
        <w:rPr>
          <w:sz w:val="20"/>
          <w:szCs w:val="20"/>
          <w:color w:val="auto"/>
        </w:rPr>
      </w:pPr>
    </w:p>
    <w:p>
      <w:pPr>
        <w:ind w:left="580" w:hanging="572"/>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NCM, Inc’s Form 10-Q (File No. 001-33296) filed on May 10, 2011.</w:t>
      </w:r>
    </w:p>
    <w:p>
      <w:pPr>
        <w:spacing w:after="0" w:line="2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4.2 from the Registrant’s Registration Statement on Form S-8 (File No. 333-140652) filed on February 13, 2007.</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10.6 to NCM, Inc.’s Current Report on Form 8-K (File No. 001-33296) filed on February 16, 2007.</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from NCM Inc.’s Current Report on Form 8-K (File No. 001-33296) filed on May 2, 2011.</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from NCM Inc.’s Current Report on Form 8-K (File No. 001-33296) filed on May 2, 2011.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NATIONAL CINEMEDIA, INC.</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740" w:val="left"/>
          <w:tab w:leader="none" w:pos="6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4, 2011</w:t>
      </w:r>
      <w:r>
        <w:rPr>
          <w:sz w:val="20"/>
          <w:szCs w:val="20"/>
          <w:color w:val="auto"/>
        </w:rPr>
        <w:tab/>
      </w:r>
      <w:r>
        <w:rPr>
          <w:rFonts w:ascii="Times New Roman" w:cs="Times New Roman" w:eastAsia="Times New Roman" w:hAnsi="Times New Roman"/>
          <w:sz w:val="16"/>
          <w:szCs w:val="16"/>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687768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Kurt C. Hall</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3" w:lineRule="exact"/>
        <w:rPr>
          <w:sz w:val="20"/>
          <w:szCs w:val="20"/>
          <w:color w:val="auto"/>
        </w:rPr>
      </w:pPr>
    </w:p>
    <w:p>
      <w:pPr>
        <w:spacing w:after="0"/>
        <w:tabs>
          <w:tab w:leader="none" w:pos="740" w:val="left"/>
          <w:tab w:leader="none" w:pos="6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4, 2011</w:t>
      </w:r>
      <w:r>
        <w:rPr>
          <w:sz w:val="20"/>
          <w:szCs w:val="20"/>
          <w:color w:val="auto"/>
        </w:rPr>
        <w:tab/>
      </w:r>
      <w:r>
        <w:rPr>
          <w:rFonts w:ascii="Times New Roman" w:cs="Times New Roman" w:eastAsia="Times New Roman" w:hAnsi="Times New Roman"/>
          <w:sz w:val="16"/>
          <w:szCs w:val="16"/>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687768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Gary W. Ferrera</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THE CREDIT AGREEMENT</w:t>
      </w:r>
    </w:p>
    <w:p>
      <w:pPr>
        <w:spacing w:after="0" w:line="171" w:lineRule="exact"/>
        <w:rPr>
          <w:sz w:val="20"/>
          <w:szCs w:val="20"/>
          <w:color w:val="auto"/>
        </w:rPr>
      </w:pPr>
    </w:p>
    <w:p>
      <w:pPr>
        <w:ind w:right="40" w:firstLine="91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AMENDMENT NO. 2 TO THE CREDIT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June 20, 2011 among National CineMedia,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several banks and other financial institutions or entities from time to time parties to this Amendment, Barclays Bank PLC (as successor to Lehman Commercial Paper Inc.),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other parties listed on the signature pages hereto. Capitalized terms not otherwise defined in this Amendment have the same meanings as specified in the Credit Agreement (as defined below).</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pacing w:after="0" w:line="173" w:lineRule="exact"/>
        <w:rPr>
          <w:sz w:val="20"/>
          <w:szCs w:val="20"/>
          <w:color w:val="auto"/>
        </w:rPr>
      </w:pPr>
    </w:p>
    <w:p>
      <w:pPr>
        <w:ind w:right="40" w:firstLine="921"/>
        <w:spacing w:after="0" w:line="275" w:lineRule="auto"/>
        <w:tabs>
          <w:tab w:leader="none" w:pos="11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Administrative Agent and the Lenders are party to the Credit Agreement dated as of February 13, 2007 (as the same may have been amended, supplemented or otherwise modified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right="120" w:firstLine="921"/>
        <w:spacing w:after="0" w:line="258" w:lineRule="auto"/>
        <w:tabs>
          <w:tab w:leader="none" w:pos="11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Administrative Agent, the Required Lenders, the Revolving Credit Lenders and Lehman Commercial Paper, Inc. (“</w:t>
      </w:r>
      <w:r>
        <w:rPr>
          <w:rFonts w:ascii="Times New Roman" w:cs="Times New Roman" w:eastAsia="Times New Roman" w:hAnsi="Times New Roman"/>
          <w:sz w:val="18"/>
          <w:szCs w:val="18"/>
          <w:u w:val="single" w:color="auto"/>
          <w:color w:val="auto"/>
        </w:rPr>
        <w:t>Lehman</w:t>
      </w:r>
      <w:r>
        <w:rPr>
          <w:rFonts w:ascii="Times New Roman" w:cs="Times New Roman" w:eastAsia="Times New Roman" w:hAnsi="Times New Roman"/>
          <w:sz w:val="18"/>
          <w:szCs w:val="18"/>
          <w:color w:val="auto"/>
        </w:rPr>
        <w:t>”) are party to the Amendment, Resignation, Waiver, Consent and Appointment Agreement entered into as of March 31, 2010, whereby, amongst other things, the Revolving Credit Commitments of Lehman were reduced to zero ($0.00) and the outstanding principal amount of Revolving Credit Loans held by Lehman at such time (the “</w:t>
      </w:r>
      <w:r>
        <w:rPr>
          <w:rFonts w:ascii="Times New Roman" w:cs="Times New Roman" w:eastAsia="Times New Roman" w:hAnsi="Times New Roman"/>
          <w:sz w:val="18"/>
          <w:szCs w:val="18"/>
          <w:u w:val="single" w:color="auto"/>
          <w:color w:val="auto"/>
        </w:rPr>
        <w:t>Lehman Revolving Credit Loans</w:t>
      </w:r>
      <w:r>
        <w:rPr>
          <w:rFonts w:ascii="Times New Roman" w:cs="Times New Roman" w:eastAsia="Times New Roman" w:hAnsi="Times New Roman"/>
          <w:sz w:val="18"/>
          <w:szCs w:val="18"/>
          <w:color w:val="auto"/>
        </w:rPr>
        <w:t>”) were to be paid on the Final Revolving Termination Date (as defined therein).</w:t>
      </w:r>
    </w:p>
    <w:p>
      <w:pPr>
        <w:spacing w:after="0" w:line="136"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and each party to this Amendment designated as a “Replacement Revolving Credit Lender” on its signature page hereto (each, a</w:t>
      </w:r>
    </w:p>
    <w:p>
      <w:pPr>
        <w:spacing w:after="0" w:line="4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Credit Lender</w:t>
      </w:r>
      <w:r>
        <w:rPr>
          <w:rFonts w:ascii="Times New Roman" w:cs="Times New Roman" w:eastAsia="Times New Roman" w:hAnsi="Times New Roman"/>
          <w:sz w:val="18"/>
          <w:szCs w:val="18"/>
          <w:color w:val="auto"/>
        </w:rPr>
        <w:t>”) wish to establish new Replacement Revolving Credit Commitments (as defined below) on the terms set forth herein to replace in full the Revolving Credit Commitments under the Credit Agreement.</w:t>
      </w:r>
    </w:p>
    <w:p>
      <w:pPr>
        <w:spacing w:after="0" w:line="132" w:lineRule="exact"/>
        <w:rPr>
          <w:sz w:val="20"/>
          <w:szCs w:val="20"/>
          <w:color w:val="auto"/>
        </w:rPr>
      </w:pPr>
    </w:p>
    <w:p>
      <w:pPr>
        <w:ind w:firstLine="921"/>
        <w:spacing w:after="0" w:line="275" w:lineRule="auto"/>
        <w:tabs>
          <w:tab w:leader="none" w:pos="11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Required Lenders party hereto have agreed to amend the Credit Agreement to effect the changes described above and other changes as hereinafter set forth.</w:t>
      </w:r>
    </w:p>
    <w:p>
      <w:pPr>
        <w:spacing w:after="0" w:line="120" w:lineRule="exact"/>
        <w:rPr>
          <w:sz w:val="20"/>
          <w:szCs w:val="20"/>
          <w:color w:val="auto"/>
        </w:rPr>
      </w:pPr>
    </w:p>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receipt and sufficiency of which is hereby acknowledged), the parties hereto hereby agree as follows:</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Replacement Revolving Credit Facility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Subject to the satisfaction of the conditions set forth in Section 3 of this Amendment, there is hereby established, effective as of the Amendment No. 2 Effective Date (as defined below), replacement Revolving Credit Commitments under the Credit Agreement (the “</w:t>
      </w:r>
      <w:r>
        <w:rPr>
          <w:rFonts w:ascii="Times New Roman" w:cs="Times New Roman" w:eastAsia="Times New Roman" w:hAnsi="Times New Roman"/>
          <w:sz w:val="18"/>
          <w:szCs w:val="18"/>
          <w:u w:val="single" w:color="auto"/>
          <w:color w:val="auto"/>
        </w:rPr>
        <w:t>Replacement Revolving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and the loans extended thereunder, together with the Lehman Revolving Credit Loans (the “</w:t>
      </w:r>
      <w:r>
        <w:rPr>
          <w:rFonts w:ascii="Times New Roman" w:cs="Times New Roman" w:eastAsia="Times New Roman" w:hAnsi="Times New Roman"/>
          <w:sz w:val="18"/>
          <w:szCs w:val="18"/>
          <w:u w:val="single" w:color="auto"/>
          <w:color w:val="auto"/>
        </w:rPr>
        <w:t>Replacement Revolving Credit Loans</w:t>
      </w:r>
      <w:r>
        <w:rPr>
          <w:rFonts w:ascii="Times New Roman" w:cs="Times New Roman" w:eastAsia="Times New Roman" w:hAnsi="Times New Roman"/>
          <w:sz w:val="18"/>
          <w:szCs w:val="18"/>
          <w:color w:val="auto"/>
        </w:rPr>
        <w:t xml:space="preserve">”). The amount of the Replacement Revolving Credit Commitments or Replacement Revolving Credit Loans of each Replacement Revolving Credit Lender shall be the amount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opposite such Replacement Revolving Credit Lender’s name.</w:t>
      </w:r>
    </w:p>
    <w:p>
      <w:pPr>
        <w:spacing w:after="0" w:line="139" w:lineRule="exact"/>
        <w:rPr>
          <w:sz w:val="20"/>
          <w:szCs w:val="20"/>
          <w:color w:val="auto"/>
        </w:rPr>
      </w:pPr>
    </w:p>
    <w:p>
      <w:pPr>
        <w:ind w:right="360" w:firstLine="913"/>
        <w:spacing w:after="0" w:line="339" w:lineRule="auto"/>
        <w:rPr>
          <w:sz w:val="20"/>
          <w:szCs w:val="20"/>
          <w:color w:val="auto"/>
        </w:rPr>
      </w:pPr>
      <w:r>
        <w:rPr>
          <w:rFonts w:ascii="Times New Roman" w:cs="Times New Roman" w:eastAsia="Times New Roman" w:hAnsi="Times New Roman"/>
          <w:sz w:val="16"/>
          <w:szCs w:val="16"/>
          <w:color w:val="auto"/>
        </w:rPr>
        <w:t>Subject to the satisfaction of the conditions set forth in Section 3 of this Amendment, the Replacement Revolving Credit Commitments and the Replacement Revolving Credit Loans shall become effective and available (other than the Lehman Revolving Credit Loans) on a fully revolving basis during</w:t>
      </w:r>
    </w:p>
    <w:p>
      <w:pPr>
        <w:sectPr>
          <w:pgSz w:w="11900" w:h="16838" w:orient="portrait"/>
          <w:cols w:equalWidth="0" w:num="1">
            <w:col w:w="11420"/>
          </w:cols>
          <w:pgMar w:left="240" w:top="123" w:right="239" w:bottom="1440" w:gutter="0" w:footer="0" w:header="0"/>
        </w:sectPr>
      </w:pPr>
    </w:p>
    <w:bookmarkStart w:id="32" w:name="page33"/>
    <w:bookmarkEnd w:id="32"/>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period from and including the Amendment No. 2 Effective Date until December 31, 2014 or, if such day is not a Business Day, the next preceding Business Day (the “</w:t>
      </w:r>
      <w:r>
        <w:rPr>
          <w:rFonts w:ascii="Times New Roman" w:cs="Times New Roman" w:eastAsia="Times New Roman" w:hAnsi="Times New Roman"/>
          <w:sz w:val="18"/>
          <w:szCs w:val="18"/>
          <w:u w:val="single" w:color="auto"/>
          <w:color w:val="auto"/>
        </w:rPr>
        <w:t>Replacement Revolving Credit Termination Date</w:t>
      </w:r>
      <w:r>
        <w:rPr>
          <w:rFonts w:ascii="Times New Roman" w:cs="Times New Roman" w:eastAsia="Times New Roman" w:hAnsi="Times New Roman"/>
          <w:sz w:val="18"/>
          <w:szCs w:val="18"/>
          <w:color w:val="auto"/>
        </w:rPr>
        <w:t>”). The Replacement Revolving Credit Commitments and the Replacement Revolving Credit Loans are collectively referred to as the “</w:t>
      </w:r>
      <w:r>
        <w:rPr>
          <w:rFonts w:ascii="Times New Roman" w:cs="Times New Roman" w:eastAsia="Times New Roman" w:hAnsi="Times New Roman"/>
          <w:sz w:val="18"/>
          <w:szCs w:val="18"/>
          <w:u w:val="single" w:color="auto"/>
          <w:color w:val="auto"/>
        </w:rPr>
        <w:t>Replacement Revolving Credit Facility</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Subject to the amendments to the Credit Agreement set forth in Section 2 below, the terms and conditions applicable to the Replacement Revolving Credit Facility, the Replacement Revolving Credit Commitments and the Replacement Revolving Credit Loans shall be identical to the provisions of the Credit Agreement applicable to the Revolving Credit Facility, the Revolving Credit Commitments and Revolving Credit Loans, and, with respect to matters arising following the Amendment No. 2 Effective Date, references in the Credit Agreement and the other Loan Documents to “Revolving Credit Commitment,” “Revolving Credit Facility,” “Revolving Credit Loan,” “Revolving Credit Lender” and “Revolving Credit Termination Date” shall apply to the rights and obligations of the Loan Parties and the Replacement Revolving Credit Lenders under the Replacement Revolving Credit Facility as though such terms referred to the “Replacement Revolving Credit Commitments,” the “Replacement Revolving Credit Facility,” the “Replacement Revolving Credit Loans,” the “Replacement Revolving Credit Lenders” and the “Replacement Revolving Credit Termination Date”.</w:t>
      </w:r>
    </w:p>
    <w:p>
      <w:pPr>
        <w:spacing w:after="0" w:line="138"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Any Letters of Credit and Swing Line Loans outstanding under the Revolving Credit Facility immediately prior to the Amendment No. 2 Effective Date shall automatically be deemed to be issued and outstanding under the Replacement Revolving Credit Facility from and after the Amendment No. 2 Effective Date.</w:t>
      </w:r>
    </w:p>
    <w:p>
      <w:pPr>
        <w:spacing w:after="0" w:line="132" w:lineRule="exact"/>
        <w:rPr>
          <w:sz w:val="20"/>
          <w:szCs w:val="20"/>
          <w:color w:val="auto"/>
        </w:rPr>
      </w:pPr>
    </w:p>
    <w:p>
      <w:pPr>
        <w:ind w:right="80" w:firstLine="913"/>
        <w:spacing w:after="0" w:line="254" w:lineRule="auto"/>
        <w:rPr>
          <w:sz w:val="20"/>
          <w:szCs w:val="20"/>
          <w:color w:val="auto"/>
        </w:rPr>
      </w:pPr>
      <w:r>
        <w:rPr>
          <w:rFonts w:ascii="Times New Roman" w:cs="Times New Roman" w:eastAsia="Times New Roman" w:hAnsi="Times New Roman"/>
          <w:sz w:val="18"/>
          <w:szCs w:val="18"/>
          <w:color w:val="auto"/>
        </w:rPr>
        <w:t>Any Revolving Credit Loans and participations in Letters of Credit and Swing Line Loans outstanding under the Revolving Credit Facility immediately prior to the Amendment No. 2 Effective Date (excluding the Lehman Revolving Credit Loans) shall be reallocated on such date in accordance with the aggregate Revolving Credit Commitments after giving effect to the Amendment No. 2 Effective Date (the “</w:t>
      </w:r>
      <w:r>
        <w:rPr>
          <w:rFonts w:ascii="Times New Roman" w:cs="Times New Roman" w:eastAsia="Times New Roman" w:hAnsi="Times New Roman"/>
          <w:sz w:val="18"/>
          <w:szCs w:val="18"/>
          <w:u w:val="single" w:color="auto"/>
          <w:color w:val="auto"/>
        </w:rPr>
        <w:t>Amendment No. 2 Effective Date Reallocation</w:t>
      </w:r>
      <w:r>
        <w:rPr>
          <w:rFonts w:ascii="Times New Roman" w:cs="Times New Roman" w:eastAsia="Times New Roman" w:hAnsi="Times New Roman"/>
          <w:sz w:val="18"/>
          <w:szCs w:val="18"/>
          <w:color w:val="auto"/>
        </w:rPr>
        <w:t>”). It is understood and agreed that prior to the earlier of (x) the Replacement Revolving Credit Termination Date or (y) such other date as the Replacement Revolving Credit Commitments shall be terminated in full, no prepayments of Replacement Revolving Credit Loans shall be made in respect of the outstanding Replacement Revolving Credit Loans held by Lehman and that Lehman’s ratable share of any such prepayment shall be allocated to the other Replacement Revolving Credit Lenders in accordance with their respective Revolving Credit Percentages.</w:t>
      </w:r>
    </w:p>
    <w:p>
      <w:pPr>
        <w:spacing w:after="0" w:line="141" w:lineRule="exact"/>
        <w:rPr>
          <w:sz w:val="20"/>
          <w:szCs w:val="20"/>
          <w:color w:val="auto"/>
        </w:rPr>
      </w:pPr>
    </w:p>
    <w:p>
      <w:pPr>
        <w:ind w:right="460" w:firstLine="913"/>
        <w:spacing w:after="0" w:line="27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The Credit Agreement is, effective as of the Amendment No. 2 Effective Date (as hereinafter defined) and subject to the satisfaction of the conditions precedent set forth in Section 3 hereof, hereby amended as follows:</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 Section 1.1 of the Credit Agreement is hereby amended to add the following new definitions in the appropriate alphabetical position:</w:t>
      </w:r>
    </w:p>
    <w:p>
      <w:pPr>
        <w:spacing w:after="0" w:line="90" w:lineRule="exact"/>
        <w:rPr>
          <w:sz w:val="20"/>
          <w:szCs w:val="20"/>
          <w:color w:val="auto"/>
        </w:rPr>
      </w:pPr>
    </w:p>
    <w:p>
      <w:pPr>
        <w:ind w:left="920" w:right="40" w:firstLine="42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Amendment No. 2 to this Agreement, dated as of June 20, 2011 among the Borrower, the Lenders party thereto and the Administrative Agent.</w:t>
      </w:r>
    </w:p>
    <w:p>
      <w:pPr>
        <w:spacing w:after="0" w:line="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 the date in which each of the conditions in Section 3 of Amendment No. 2 have been satisfied.</w:t>
      </w:r>
    </w:p>
    <w:p>
      <w:pPr>
        <w:spacing w:after="0" w:line="9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Unsecured Indebtedness</w:t>
      </w:r>
      <w:r>
        <w:rPr>
          <w:rFonts w:ascii="Times New Roman" w:cs="Times New Roman" w:eastAsia="Times New Roman" w:hAnsi="Times New Roman"/>
          <w:sz w:val="18"/>
          <w:szCs w:val="18"/>
          <w:color w:val="auto"/>
        </w:rPr>
        <w:t>”: as defined in Section 7.2(o).”</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4" w:right="279" w:bottom="1440" w:gutter="0" w:footer="0" w:header="0"/>
        </w:sectPr>
      </w:pPr>
    </w:p>
    <w:bookmarkStart w:id="33" w:name="page34"/>
    <w:bookmarkEnd w:id="33"/>
    <w:p>
      <w:pPr>
        <w:ind w:left="700" w:hanging="239"/>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definition of “Available Cash” in the Credit Agreement is hereby amended as follows:</w:t>
      </w:r>
    </w:p>
    <w:p>
      <w:pPr>
        <w:spacing w:after="0" w:line="90"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following words at the end of clause (xiv) thereof:</w:t>
      </w:r>
    </w:p>
    <w:p>
      <w:pPr>
        <w:spacing w:after="0" w:line="90" w:lineRule="exact"/>
        <w:rPr>
          <w:sz w:val="20"/>
          <w:szCs w:val="20"/>
          <w:color w:val="auto"/>
        </w:rPr>
      </w:pPr>
    </w:p>
    <w:p>
      <w:pPr>
        <w:ind w:left="1040"/>
        <w:spacing w:after="0" w:line="258" w:lineRule="auto"/>
        <w:rPr>
          <w:sz w:val="20"/>
          <w:szCs w:val="20"/>
          <w:color w:val="auto"/>
        </w:rPr>
      </w:pPr>
      <w:r>
        <w:rPr>
          <w:rFonts w:ascii="Times New Roman" w:cs="Times New Roman" w:eastAsia="Times New Roman" w:hAnsi="Times New Roman"/>
          <w:sz w:val="18"/>
          <w:szCs w:val="18"/>
          <w:color w:val="auto"/>
        </w:rPr>
        <w:t>“, minus any Agreed Increase in Available Cash in such period relating to a Specified Capital Expenditure, plus any Agreed Decrease in Available Cash in such period relating to a Specified Capital Expenditure; provided that the aggregate amount of all Agreed Decreases in Available Cash relating to any Specified Capital Expenditure for all fiscal quarters must equal the Agreed Increase in Available Cash relating to such Specified Capital Expenditure prior to the Term Loan Maturity Date”; and</w:t>
      </w:r>
    </w:p>
    <w:p>
      <w:pPr>
        <w:spacing w:after="0" w:line="55" w:lineRule="exact"/>
        <w:rPr>
          <w:sz w:val="20"/>
          <w:szCs w:val="20"/>
          <w:color w:val="auto"/>
        </w:rPr>
      </w:pPr>
    </w:p>
    <w:p>
      <w:pPr>
        <w:ind w:left="1140" w:hanging="259"/>
        <w:spacing w:after="0"/>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word “and” at the end of clause (B) in the proviso in the first paragraph thereof, replacing the period at the end of clause</w:t>
      </w:r>
    </w:p>
    <w:p>
      <w:pPr>
        <w:spacing w:after="0" w:line="21" w:lineRule="exact"/>
        <w:rPr>
          <w:rFonts w:ascii="Times New Roman" w:cs="Times New Roman" w:eastAsia="Times New Roman" w:hAnsi="Times New Roman"/>
          <w:sz w:val="18"/>
          <w:szCs w:val="18"/>
          <w:color w:val="auto"/>
        </w:rPr>
      </w:pPr>
    </w:p>
    <w:p>
      <w:pPr>
        <w:ind w:left="740" w:hanging="279"/>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with the phrase “; and” and inserting the following new clause (D) at the end thereof:</w:t>
      </w:r>
    </w:p>
    <w:p>
      <w:pPr>
        <w:spacing w:after="0" w:line="78" w:lineRule="exact"/>
        <w:rPr>
          <w:sz w:val="20"/>
          <w:szCs w:val="20"/>
          <w:color w:val="auto"/>
        </w:rPr>
      </w:pPr>
    </w:p>
    <w:p>
      <w:pPr>
        <w:ind w:left="1040" w:right="40"/>
        <w:spacing w:after="0" w:line="275" w:lineRule="auto"/>
        <w:rPr>
          <w:sz w:val="20"/>
          <w:szCs w:val="20"/>
          <w:color w:val="auto"/>
        </w:rPr>
      </w:pPr>
      <w:r>
        <w:rPr>
          <w:rFonts w:ascii="Times New Roman" w:cs="Times New Roman" w:eastAsia="Times New Roman" w:hAnsi="Times New Roman"/>
          <w:sz w:val="18"/>
          <w:szCs w:val="18"/>
          <w:color w:val="auto"/>
        </w:rPr>
        <w:t>“(D) proceeds of or any payments made with or out of the proceeds of any Indebtedness incurred pursuant to Sections 7.2(k), (n) or (o) shall not be taken in account in determining Available Cash.”</w:t>
      </w:r>
    </w:p>
    <w:p>
      <w:pPr>
        <w:spacing w:after="0" w:line="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(iii) by adding the following at the end of the first paragraph thereof:</w:t>
      </w:r>
    </w:p>
    <w:p>
      <w:pPr>
        <w:spacing w:after="0" w:line="90" w:lineRule="exact"/>
        <w:rPr>
          <w:sz w:val="20"/>
          <w:szCs w:val="20"/>
          <w:color w:val="auto"/>
        </w:rPr>
      </w:pPr>
    </w:p>
    <w:p>
      <w:pPr>
        <w:ind w:left="1040"/>
        <w:spacing w:after="0" w:line="253" w:lineRule="auto"/>
        <w:rPr>
          <w:sz w:val="20"/>
          <w:szCs w:val="20"/>
          <w:color w:val="auto"/>
        </w:rPr>
      </w:pPr>
      <w:r>
        <w:rPr>
          <w:rFonts w:ascii="Times New Roman" w:cs="Times New Roman" w:eastAsia="Times New Roman" w:hAnsi="Times New Roman"/>
          <w:sz w:val="18"/>
          <w:szCs w:val="18"/>
          <w:color w:val="auto"/>
        </w:rPr>
        <w:t>For purposes of clause (xiv) of this definition of Available Cash: (a) the term “Agreed Increase in Available Cash” means, with respect to any Specified Capital Expenditure, the amount of the increase in Available Cash in the fiscal quarter in which such Capital Expenditure is made that was agreed to among the Borrower and the members of the Borrower, such amount not to exceed the amount of such Specified Capital Expenditure; (b) the term “Specified Capital Expenditure” means any Capital Expenditure with respect to which (and to the extent that) the Borrower has agreed with the members of the Borrower to an Agreed Increase in Available Cash in the fiscal quarter in which such Capital Expenditure is made and to one or more Agreed Decreases in Available Cash in one or more fiscal quarters during the term of this Agreement; and (c) the term “Agreed Decrease in Available Cash” means, with respect to any Specified Capital Expenditure, the amount of the decrease in Available Cash in any quarter that was agreed to among the Borrower and the members of the Borrower; provided that the aggregate amount of all such Agreed Decreases in Available Cash for any Specified Capital Expenditure shall not exceed the amount of such Specified Capital Expenditure.</w:t>
      </w:r>
    </w:p>
    <w:p>
      <w:pPr>
        <w:spacing w:after="0" w:line="60" w:lineRule="exact"/>
        <w:rPr>
          <w:sz w:val="20"/>
          <w:szCs w:val="20"/>
          <w:color w:val="auto"/>
        </w:rPr>
      </w:pPr>
    </w:p>
    <w:p>
      <w:pPr>
        <w:ind w:left="680" w:hanging="237"/>
        <w:spacing w:after="0"/>
        <w:tabs>
          <w:tab w:leader="none" w:pos="6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definition of “Commitment Fee Rate” in the Credit Agreement is hereby amended by replacing the percentage “0.375%” with the percentage</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“0.50%”.</w:t>
      </w:r>
    </w:p>
    <w:p>
      <w:pPr>
        <w:spacing w:after="0" w:line="77" w:lineRule="exact"/>
        <w:rPr>
          <w:rFonts w:ascii="Times New Roman" w:cs="Times New Roman" w:eastAsia="Times New Roman" w:hAnsi="Times New Roman"/>
          <w:sz w:val="16"/>
          <w:szCs w:val="16"/>
          <w:color w:val="auto"/>
        </w:rPr>
      </w:pPr>
    </w:p>
    <w:p>
      <w:pPr>
        <w:ind w:right="360" w:firstLine="443"/>
        <w:spacing w:after="0" w:line="275" w:lineRule="auto"/>
        <w:tabs>
          <w:tab w:leader="none" w:pos="6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“Consolidated Senior Secured Debt” in the Credit Agreement is hereby amended by inserting the parenthetical “(other than Subordinated Debt and Permitted Unsecured Indebtedness)” in lieu of the parenthetical “(other than Subordinated Debt)” therein.</w:t>
      </w:r>
    </w:p>
    <w:p>
      <w:pPr>
        <w:spacing w:after="0" w:line="38" w:lineRule="exact"/>
        <w:rPr>
          <w:rFonts w:ascii="Times New Roman" w:cs="Times New Roman" w:eastAsia="Times New Roman" w:hAnsi="Times New Roman"/>
          <w:sz w:val="18"/>
          <w:szCs w:val="18"/>
          <w:color w:val="auto"/>
        </w:rPr>
      </w:pPr>
    </w:p>
    <w:p>
      <w:pPr>
        <w:ind w:right="300" w:firstLine="443"/>
        <w:spacing w:after="0" w:line="275" w:lineRule="auto"/>
        <w:tabs>
          <w:tab w:leader="none" w:pos="6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“Loan Documents” in the Credit Agreement is hereby amended by inserting the words “Amendment No. 2,” after the words “this Agreement”.</w:t>
      </w:r>
    </w:p>
    <w:p>
      <w:pPr>
        <w:spacing w:after="0" w:line="38" w:lineRule="exact"/>
        <w:rPr>
          <w:rFonts w:ascii="Times New Roman" w:cs="Times New Roman" w:eastAsia="Times New Roman" w:hAnsi="Times New Roman"/>
          <w:sz w:val="18"/>
          <w:szCs w:val="18"/>
          <w:color w:val="auto"/>
        </w:rPr>
      </w:pPr>
    </w:p>
    <w:p>
      <w:pPr>
        <w:ind w:right="340" w:firstLine="443"/>
        <w:spacing w:after="0" w:line="262"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“Revolving Credit Commitment” in the Credit Agreement is hereby amended by (i) deleting the phrase “Schedule 1 to the Lender Addendum delivered by such Lender” and substituting therefor the phrase “Schedule 1 to Amendment No. 2” and (ii) deleting the last sentence thereof in its entirety.</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700" w:top="274" w:right="259" w:bottom="1440" w:gutter="0" w:footer="0" w:header="0"/>
        </w:sectPr>
      </w:pPr>
    </w:p>
    <w:bookmarkStart w:id="34" w:name="page35"/>
    <w:bookmarkEnd w:id="34"/>
    <w:p>
      <w:pPr>
        <w:ind w:left="460" w:right="140" w:firstLine="443"/>
        <w:spacing w:after="0" w:line="275" w:lineRule="auto"/>
        <w:tabs>
          <w:tab w:leader="none" w:pos="11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definition of “Revolving Credit Termination Date” in the Credit Agreement is hereby amended by replacing the words “February 13, 2013” with the words “December 31, 2014”.</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2.25(b) of the Credit Agreement is hereby amended by replacing the amount of “$200,000,000” with the amount of “$161,000,000”.</w:t>
      </w:r>
    </w:p>
    <w:p>
      <w:pPr>
        <w:spacing w:after="0" w:line="90" w:lineRule="exact"/>
        <w:rPr>
          <w:rFonts w:ascii="Times New Roman" w:cs="Times New Roman" w:eastAsia="Times New Roman" w:hAnsi="Times New Roman"/>
          <w:sz w:val="18"/>
          <w:szCs w:val="18"/>
          <w:color w:val="auto"/>
        </w:rPr>
      </w:pPr>
    </w:p>
    <w:p>
      <w:pPr>
        <w:ind w:left="460" w:firstLine="443"/>
        <w:spacing w:after="0" w:line="275" w:lineRule="auto"/>
        <w:tabs>
          <w:tab w:leader="none" w:pos="11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7.2 of the Credit Agreement is hereby amended by deleting the word “and” at the end of clause (m) thereof, replacing the period at the end of clause (n) thereof with the phrase “; and” and inserting the following new clause (o) at the end thereof:</w:t>
      </w:r>
    </w:p>
    <w:p>
      <w:pPr>
        <w:spacing w:after="0" w:line="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“(o) unsecured Indebtedness of the Borrower (“</w:t>
      </w:r>
      <w:r>
        <w:rPr>
          <w:rFonts w:ascii="Times New Roman" w:cs="Times New Roman" w:eastAsia="Times New Roman" w:hAnsi="Times New Roman"/>
          <w:sz w:val="16"/>
          <w:szCs w:val="16"/>
          <w:u w:val="single" w:color="auto"/>
          <w:color w:val="auto"/>
        </w:rPr>
        <w:t>Permitted Unsecured Indebtedness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such Permitted Unsecured Indebtedness</w:t>
      </w:r>
    </w:p>
    <w:p>
      <w:pPr>
        <w:spacing w:after="0" w:line="44" w:lineRule="exact"/>
        <w:rPr>
          <w:sz w:val="20"/>
          <w:szCs w:val="20"/>
          <w:color w:val="auto"/>
        </w:rPr>
      </w:pPr>
    </w:p>
    <w:p>
      <w:pPr>
        <w:ind w:left="920" w:firstLine="1"/>
        <w:spacing w:after="0" w:line="253" w:lineRule="auto"/>
        <w:tabs>
          <w:tab w:leader="none" w:pos="12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mature prior to the date which is at least six months after the Term Loan Maturity Date and (B) has no scheduled amortization or payments of principal prior to the Term Loan Maturity Date and (ii) (A) both immediately prior to and after giving effect thereto, no Default or Event of Default shall exist or result therefrom and (B) after giving effect to the incurrence or issuance of such Indebtedness on the date thereof, the Consolidated Total Leverage Ratio (calculated using Consolidated Total Debt, other than Subordinated Debt) of the Borrower and its Subsidiaries on such date shall not exceed 5.75 to 1.0.”</w:t>
      </w:r>
    </w:p>
    <w:p>
      <w:pPr>
        <w:spacing w:after="0" w:line="58"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7.8 of the Credit Agreement is hereby amended by (i) restating clause (t) thereof in its entirety to read as follows:</w:t>
      </w:r>
    </w:p>
    <w:p>
      <w:pPr>
        <w:spacing w:after="0" w:line="90" w:lineRule="exact"/>
        <w:rPr>
          <w:sz w:val="20"/>
          <w:szCs w:val="20"/>
          <w:color w:val="auto"/>
        </w:rPr>
      </w:pPr>
    </w:p>
    <w:p>
      <w:pPr>
        <w:ind w:left="920" w:right="660" w:firstLine="420"/>
        <w:spacing w:after="0" w:line="275" w:lineRule="auto"/>
        <w:rPr>
          <w:sz w:val="20"/>
          <w:szCs w:val="20"/>
          <w:color w:val="auto"/>
        </w:rPr>
      </w:pPr>
      <w:r>
        <w:rPr>
          <w:rFonts w:ascii="Times New Roman" w:cs="Times New Roman" w:eastAsia="Times New Roman" w:hAnsi="Times New Roman"/>
          <w:sz w:val="18"/>
          <w:szCs w:val="18"/>
          <w:color w:val="auto"/>
        </w:rPr>
        <w:t>“(t) in addition to Investments otherwise expressly permitted by Sections 7.8(a) through (s), Investments by the Borrower or any of its Subsidiaries in an aggregate amount (valued at cost) not to exceed $25,000,000 during the term of this Agreement; 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 inserting the following new clause (u) at the end thereof:</w:t>
      </w:r>
    </w:p>
    <w:p>
      <w:pPr>
        <w:spacing w:after="0" w:line="90" w:lineRule="exact"/>
        <w:rPr>
          <w:sz w:val="20"/>
          <w:szCs w:val="20"/>
          <w:color w:val="auto"/>
        </w:rPr>
      </w:pPr>
    </w:p>
    <w:p>
      <w:pPr>
        <w:ind w:left="920" w:right="340" w:firstLine="420"/>
        <w:spacing w:after="0" w:line="334" w:lineRule="auto"/>
        <w:rPr>
          <w:sz w:val="20"/>
          <w:szCs w:val="20"/>
          <w:color w:val="auto"/>
        </w:rPr>
      </w:pPr>
      <w:r>
        <w:rPr>
          <w:rFonts w:ascii="Times New Roman" w:cs="Times New Roman" w:eastAsia="Times New Roman" w:hAnsi="Times New Roman"/>
          <w:sz w:val="16"/>
          <w:szCs w:val="16"/>
          <w:color w:val="auto"/>
        </w:rPr>
        <w:t>“(u) in addition to Investments otherwise expressly permitted by this Section, Investments by the Borrower or any of its Subsidiaries made after the Amendment No. 2 Effective Date in an aggregate amount (valued at cost) not to exceed $35,000,000 at any one time outstanding.”.</w:t>
      </w:r>
    </w:p>
    <w:p>
      <w:pPr>
        <w:spacing w:after="0" w:line="1" w:lineRule="exact"/>
        <w:rPr>
          <w:sz w:val="20"/>
          <w:szCs w:val="20"/>
          <w:color w:val="auto"/>
        </w:rPr>
      </w:pPr>
    </w:p>
    <w:p>
      <w:pPr>
        <w:ind w:left="460" w:right="40" w:firstLine="443"/>
        <w:spacing w:after="0" w:line="275" w:lineRule="auto"/>
        <w:tabs>
          <w:tab w:leader="none" w:pos="11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7.6 of the Credit Agreement is hereby amended by deleting the word “and” at the end of clause (i) thereof, replacing the period at the end of clause (j) thereof with the phrase “; and” and inserting the following new clause (k) at the end thereof:</w:t>
      </w:r>
    </w:p>
    <w:p>
      <w:pPr>
        <w:spacing w:after="0" w:line="39" w:lineRule="exact"/>
        <w:rPr>
          <w:sz w:val="20"/>
          <w:szCs w:val="20"/>
          <w:color w:val="auto"/>
        </w:rPr>
      </w:pPr>
    </w:p>
    <w:p>
      <w:pPr>
        <w:ind w:left="920" w:right="20" w:firstLine="420"/>
        <w:spacing w:after="0" w:line="253" w:lineRule="auto"/>
        <w:rPr>
          <w:sz w:val="20"/>
          <w:szCs w:val="20"/>
          <w:color w:val="auto"/>
        </w:rPr>
      </w:pPr>
      <w:r>
        <w:rPr>
          <w:rFonts w:ascii="Times New Roman" w:cs="Times New Roman" w:eastAsia="Times New Roman" w:hAnsi="Times New Roman"/>
          <w:sz w:val="18"/>
          <w:szCs w:val="18"/>
          <w:color w:val="auto"/>
        </w:rPr>
        <w:t>“(k) (x) repurchases of Capital Stock deemed to occur upon the exercise of stock options or the grant, vesting or payment of other equity compensation awards if the Capital Stock represents all or a portion of the exercise price thereof or is to pay related withholding taxes upon exercise of options or upon the grant, vesting or payment of other equity compensation awards (whether such Capital Stock is withheld from the Capital Stock otherwise issuable or is delivered by the holder of the option or other award in satisfaction of any obligation), including, without limitation, repurchases of Capital Stock in connection with equity compensation described in Section 3.5(c) of the Borrower LLC Operating Agreement (as in effect on the Amendment No. 2 Effective Date), and (y) Restricted Payments by the Borrower to allow the payment of cash in lieu of the issuance of fractional Capital Stock upon the exercise of options or warrants, upon the conversion or exchange of Capital Stock of the Borrower or in connection with the common unit adjustment pursuant to Section 4(b) of the Common Unit Adjustment Agreement (as in effect on the Amendment No. 2 Effective Date).”.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35" w:name="page36"/>
    <w:bookmarkEnd w:id="35"/>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Conditions to Effectiveness of Amendment No. 2</w:t>
      </w:r>
      <w:r>
        <w:rPr>
          <w:rFonts w:ascii="Times New Roman" w:cs="Times New Roman" w:eastAsia="Times New Roman" w:hAnsi="Times New Roman"/>
          <w:sz w:val="18"/>
          <w:szCs w:val="18"/>
          <w:color w:val="auto"/>
        </w:rPr>
        <w:t>. This Amendment shall become effective on the date (the “</w:t>
      </w:r>
      <w:r>
        <w:rPr>
          <w:rFonts w:ascii="Times New Roman" w:cs="Times New Roman" w:eastAsia="Times New Roman" w:hAnsi="Times New Roman"/>
          <w:sz w:val="18"/>
          <w:szCs w:val="18"/>
          <w:u w:val="single" w:color="auto"/>
          <w:color w:val="auto"/>
        </w:rPr>
        <w:t>Amendment No. 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when, and only when, the following conditions shall have been satisfied:</w:t>
      </w:r>
    </w:p>
    <w:p>
      <w:pPr>
        <w:spacing w:after="0" w:line="159" w:lineRule="exact"/>
        <w:rPr>
          <w:sz w:val="20"/>
          <w:szCs w:val="20"/>
          <w:color w:val="auto"/>
        </w:rPr>
      </w:pPr>
    </w:p>
    <w:p>
      <w:pPr>
        <w:jc w:val="both"/>
        <w:ind w:right="440" w:firstLine="921"/>
        <w:spacing w:after="0" w:line="262" w:lineRule="auto"/>
        <w:tabs>
          <w:tab w:leader="none" w:pos="11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Amendment executed by a Responsible Officer of the Borrower and the requisite Lenders constituting Required Lenders or, as to any of the Lenders, written evidence reasonably satisfactory to the Administrative Agent that such Lender has executed this Amendment.</w:t>
      </w:r>
    </w:p>
    <w:p>
      <w:pPr>
        <w:spacing w:after="0" w:line="132" w:lineRule="exact"/>
        <w:rPr>
          <w:rFonts w:ascii="Times New Roman" w:cs="Times New Roman" w:eastAsia="Times New Roman" w:hAnsi="Times New Roman"/>
          <w:sz w:val="18"/>
          <w:szCs w:val="18"/>
          <w:color w:val="auto"/>
        </w:rPr>
      </w:pPr>
    </w:p>
    <w:p>
      <w:pPr>
        <w:ind w:right="680" w:firstLine="921"/>
        <w:spacing w:after="0" w:line="275" w:lineRule="auto"/>
        <w:tabs>
          <w:tab w:leader="none" w:pos="11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have received evidence that all fees and expenses of the Agents for which invoices have been presented (including the reasonable fees and expenses of counsel to the Administrative Agent) shall have been paid.</w:t>
      </w:r>
    </w:p>
    <w:p>
      <w:pPr>
        <w:spacing w:after="0" w:line="119" w:lineRule="exact"/>
        <w:rPr>
          <w:rFonts w:ascii="Times New Roman" w:cs="Times New Roman" w:eastAsia="Times New Roman" w:hAnsi="Times New Roman"/>
          <w:sz w:val="18"/>
          <w:szCs w:val="18"/>
          <w:color w:val="auto"/>
        </w:rPr>
      </w:pPr>
    </w:p>
    <w:p>
      <w:pPr>
        <w:ind w:right="40" w:firstLine="921"/>
        <w:spacing w:after="0" w:line="275" w:lineRule="auto"/>
        <w:tabs>
          <w:tab w:leader="none" w:pos="11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results of a recent lien search in each of the jurisdictions where the Loan Parties are organized, and such search shall reveal no liens on any of the assets of the Loan Party, except for Liens permitted by Section 7.3 of the Credit Agreement.</w:t>
      </w:r>
    </w:p>
    <w:p>
      <w:pPr>
        <w:spacing w:after="0" w:line="119" w:lineRule="exact"/>
        <w:rPr>
          <w:rFonts w:ascii="Times New Roman" w:cs="Times New Roman" w:eastAsia="Times New Roman" w:hAnsi="Times New Roman"/>
          <w:sz w:val="18"/>
          <w:szCs w:val="18"/>
          <w:color w:val="auto"/>
        </w:rPr>
      </w:pPr>
    </w:p>
    <w:p>
      <w:pPr>
        <w:ind w:firstLine="921"/>
        <w:spacing w:after="0" w:line="256" w:lineRule="auto"/>
        <w:tabs>
          <w:tab w:leader="none" w:pos="11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(including, without limitation, any Uniform Commercial Code financing statement) required by the Security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7.3 of the Credit Agreement), shall have been filed, registered or recorded or shall have been delivered to the Administrative Agent in proper form for filing, registration or recordation.</w:t>
      </w:r>
    </w:p>
    <w:p>
      <w:pPr>
        <w:spacing w:after="0" w:line="138" w:lineRule="exact"/>
        <w:rPr>
          <w:rFonts w:ascii="Times New Roman" w:cs="Times New Roman" w:eastAsia="Times New Roman" w:hAnsi="Times New Roman"/>
          <w:sz w:val="18"/>
          <w:szCs w:val="18"/>
          <w:color w:val="auto"/>
        </w:rPr>
      </w:pPr>
    </w:p>
    <w:p>
      <w:pPr>
        <w:ind w:right="60" w:firstLine="921"/>
        <w:spacing w:after="0" w:line="262" w:lineRule="auto"/>
        <w:tabs>
          <w:tab w:leader="none" w:pos="11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executed legal opinion of Holme Roberts &amp; Owen LLP, counsel to the Borrower, substantially in the form as delivered on the Closing Date. Such legal opinion shall cover such other matters incident to the transactions contemplated by this Amendment as the Administrative Agent may reasonably require and shall be addressed to the Administrative Agent and the Lenders.</w:t>
      </w:r>
    </w:p>
    <w:p>
      <w:pPr>
        <w:spacing w:after="0" w:line="132" w:lineRule="exact"/>
        <w:rPr>
          <w:rFonts w:ascii="Times New Roman" w:cs="Times New Roman" w:eastAsia="Times New Roman" w:hAnsi="Times New Roman"/>
          <w:sz w:val="18"/>
          <w:szCs w:val="18"/>
          <w:color w:val="auto"/>
        </w:rPr>
      </w:pPr>
    </w:p>
    <w:p>
      <w:pPr>
        <w:ind w:right="340" w:firstLine="921"/>
        <w:spacing w:after="0" w:line="275" w:lineRule="auto"/>
        <w:tabs>
          <w:tab w:leader="none" w:pos="11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solvency certificate from the chief financial officer of the Borrower substantially in the form delivered on the Closing Date.</w:t>
      </w:r>
    </w:p>
    <w:p>
      <w:pPr>
        <w:spacing w:after="0" w:line="119" w:lineRule="exact"/>
        <w:rPr>
          <w:rFonts w:ascii="Times New Roman" w:cs="Times New Roman" w:eastAsia="Times New Roman" w:hAnsi="Times New Roman"/>
          <w:sz w:val="18"/>
          <w:szCs w:val="18"/>
          <w:color w:val="auto"/>
        </w:rPr>
      </w:pPr>
    </w:p>
    <w:p>
      <w:pPr>
        <w:ind w:right="100" w:firstLine="921"/>
        <w:spacing w:after="0" w:line="293" w:lineRule="auto"/>
        <w:tabs>
          <w:tab w:leader="none" w:pos="116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Administrative shall have received a certificate of the Borrower dated as of the Amendment No. 2 Effective Date signed by a Responsible Officer of the Borrower, certifying on behalf of the Borrower that, (i) the representations and warranties of the Borrower contained in Section 4 of the Credit Agreement and in any other Loan Document, are true and correct in all material respects as if made on and as of the Amendment No. 2 Effective Date, except to the extent that such representations and warranties specifically refer to an earlier date, in which case they were true and correct in all material respects as of such earlier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each reference to the Credit Agreement therein shall be deemed to be a reference to the Credit Agreement after giving effect to this Amendment and (ii) after giving effect to this Amendment, no Default or Event of Default has occurred and is continuing.</w:t>
      </w:r>
    </w:p>
    <w:p>
      <w:pPr>
        <w:spacing w:after="0" w:line="110" w:lineRule="exact"/>
        <w:rPr>
          <w:rFonts w:ascii="Times New Roman" w:cs="Times New Roman" w:eastAsia="Times New Roman" w:hAnsi="Times New Roman"/>
          <w:sz w:val="16"/>
          <w:szCs w:val="16"/>
          <w:color w:val="auto"/>
        </w:rPr>
      </w:pPr>
    </w:p>
    <w:p>
      <w:pPr>
        <w:ind w:right="140" w:firstLine="921"/>
        <w:spacing w:after="0" w:line="262" w:lineRule="auto"/>
        <w:tabs>
          <w:tab w:leader="none" w:pos="11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 a copy of the certificate or articles of incorporation or organization, including all amendments thereto, of each Loan Party, certified, if applicable, as of a recent date by the Secretary of State of the state of its organization, and a certificate as to the good standing (where relevant) of each Loan Party as of a recent date, from such Secretary of State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4"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similar Governmental Authority and (ii) a certificate of a Responsible Officer of each Loan Party dated the Amendment No. 2 Effective Date and certifying</w:t>
      </w:r>
    </w:p>
    <w:p>
      <w:pPr>
        <w:spacing w:after="0" w:line="44" w:lineRule="exact"/>
        <w:rPr>
          <w:sz w:val="20"/>
          <w:szCs w:val="20"/>
          <w:color w:val="auto"/>
        </w:rPr>
      </w:pPr>
    </w:p>
    <w:p>
      <w:pPr>
        <w:ind w:right="180" w:firstLine="8"/>
        <w:spacing w:after="0" w:line="281" w:lineRule="auto"/>
        <w:tabs>
          <w:tab w:leader="none" w:pos="28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attached thereto is a true and complete copy of the by-laws or operating (or limited liability company) agreement of such Loan Party as in effect on the Amendment No. 2 Effective Date, (B) that attached thereto is a true and complete copy of resolutions duly adopted by the manager (or equivalent governing body) of such Loan Party authorizing the execution, delivery and performance of the Loan Documents to which such Person is a party and, in the case of the Borrower, the borrowings under the Credit Agreement, and that such resolutions have not been modified, rescinded or amended and are in full force and effect,</w:t>
      </w:r>
    </w:p>
    <w:p>
      <w:pPr>
        <w:spacing w:after="0" w:line="2" w:lineRule="exact"/>
        <w:rPr>
          <w:rFonts w:ascii="Times New Roman" w:cs="Times New Roman" w:eastAsia="Times New Roman" w:hAnsi="Times New Roman"/>
          <w:sz w:val="16"/>
          <w:szCs w:val="16"/>
          <w:color w:val="auto"/>
        </w:rPr>
      </w:pPr>
    </w:p>
    <w:p>
      <w:pPr>
        <w:ind w:right="100" w:firstLine="8"/>
        <w:spacing w:after="0" w:line="254" w:lineRule="auto"/>
        <w:tabs>
          <w:tab w:leader="none" w:pos="2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certificate or articles of incorporation or organization of such Loan Party have not been amended since the date of the last amendment thereto shown on the certificate of good standing furnished pursuant to clause (i) above, and (D) as to the incumbency and specimen signature of each officer executing any Loan Document on behalf of such Loan Party and countersigned by another officer as to the incumbency and specimen signature of the Responsible Officer executing the certificate pursuant to clause (ii) above.</w:t>
      </w:r>
    </w:p>
    <w:p>
      <w:pPr>
        <w:spacing w:after="0" w:line="137" w:lineRule="exact"/>
        <w:rPr>
          <w:rFonts w:ascii="Times New Roman" w:cs="Times New Roman" w:eastAsia="Times New Roman" w:hAnsi="Times New Roman"/>
          <w:sz w:val="18"/>
          <w:szCs w:val="18"/>
          <w:color w:val="auto"/>
        </w:rPr>
      </w:pPr>
    </w:p>
    <w:p>
      <w:pPr>
        <w:ind w:right="200" w:firstLine="921"/>
        <w:spacing w:after="0" w:line="262" w:lineRule="auto"/>
        <w:tabs>
          <w:tab w:leader="none" w:pos="112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Replacement Revolving Credit Lender shall have received, if requested at least two Business Days in advance of the Amendment No. 2 Effective Date, a Revolving Credit Note payable to the order of such Replacement Revolving Credit Lender duly executed by the Borrower in substantially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to the Credit Agreement, as applicable, in each case as modified by this Amendment.</w:t>
      </w:r>
    </w:p>
    <w:p>
      <w:pPr>
        <w:spacing w:after="0" w:line="132" w:lineRule="exact"/>
        <w:rPr>
          <w:rFonts w:ascii="Times New Roman" w:cs="Times New Roman" w:eastAsia="Times New Roman" w:hAnsi="Times New Roman"/>
          <w:sz w:val="18"/>
          <w:szCs w:val="18"/>
          <w:color w:val="auto"/>
        </w:rPr>
      </w:pPr>
    </w:p>
    <w:p>
      <w:pPr>
        <w:jc w:val="both"/>
        <w:ind w:right="260" w:firstLine="921"/>
        <w:spacing w:after="0" w:line="262" w:lineRule="auto"/>
        <w:tabs>
          <w:tab w:leader="none" w:pos="112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executes a counterpart to this Amendment as a “Consenting Lender” or an “Extending and Consenting Lender” on or before 3:00 p.m., New York City time, on June 15, 2011 shall have been paid an amendment fee in an amount equal to 0.25% of the sum of such Lender’s Revolving Credit Commitment and outstanding Term Loans as of such date.</w:t>
      </w:r>
    </w:p>
    <w:p>
      <w:pPr>
        <w:spacing w:after="0" w:line="132" w:lineRule="exact"/>
        <w:rPr>
          <w:rFonts w:ascii="Times New Roman" w:cs="Times New Roman" w:eastAsia="Times New Roman" w:hAnsi="Times New Roman"/>
          <w:sz w:val="18"/>
          <w:szCs w:val="18"/>
          <w:color w:val="auto"/>
        </w:rPr>
      </w:pPr>
    </w:p>
    <w:p>
      <w:pPr>
        <w:ind w:right="80" w:firstLine="921"/>
        <w:spacing w:after="0" w:line="262" w:lineRule="auto"/>
        <w:tabs>
          <w:tab w:leader="none" w:pos="116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Credit Lender that executes a counterpart to this Amendment as an “Extending and Consenting Lender” on or before 3:00 p.m., New York City time, on June 15, 2011 shall have been paid an additional extension fee in an amount equal to 0.75% of such Lender’s Revolving Credit Commitment that is being replaced by Replacement Revolving Credit Commitments as of such date.</w:t>
      </w:r>
    </w:p>
    <w:p>
      <w:pPr>
        <w:spacing w:after="0" w:line="132" w:lineRule="exact"/>
        <w:rPr>
          <w:rFonts w:ascii="Times New Roman" w:cs="Times New Roman" w:eastAsia="Times New Roman" w:hAnsi="Times New Roman"/>
          <w:sz w:val="18"/>
          <w:szCs w:val="18"/>
          <w:color w:val="auto"/>
        </w:rPr>
      </w:pPr>
    </w:p>
    <w:p>
      <w:pPr>
        <w:ind w:firstLine="921"/>
        <w:spacing w:after="0" w:line="339" w:lineRule="auto"/>
        <w:tabs>
          <w:tab w:leader="none" w:pos="1123"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have issued senior unsecured notes on or prior to July 27, 2011 (the “</w:t>
      </w:r>
      <w:r>
        <w:rPr>
          <w:rFonts w:ascii="Times New Roman" w:cs="Times New Roman" w:eastAsia="Times New Roman" w:hAnsi="Times New Roman"/>
          <w:sz w:val="16"/>
          <w:szCs w:val="16"/>
          <w:u w:val="single" w:color="auto"/>
          <w:color w:val="auto"/>
        </w:rPr>
        <w:t>Senior Unsecured Notes</w:t>
      </w:r>
      <w:r>
        <w:rPr>
          <w:rFonts w:ascii="Times New Roman" w:cs="Times New Roman" w:eastAsia="Times New Roman" w:hAnsi="Times New Roman"/>
          <w:sz w:val="16"/>
          <w:szCs w:val="16"/>
          <w:color w:val="auto"/>
        </w:rPr>
        <w:t>”), and a portion of the proceeds of such Senior Unsecured Notes shall be used to prepay the Term Loans, on a pro rata basis, in an aggregate principal amount of not less than $175,000,000.</w:t>
      </w:r>
    </w:p>
    <w:p>
      <w:pPr>
        <w:spacing w:after="0" w:line="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Borrower represents and warrants to the Administrative Agent and the Lenders that:</w:t>
      </w:r>
    </w:p>
    <w:p>
      <w:pPr>
        <w:spacing w:after="0" w:line="171" w:lineRule="exact"/>
        <w:rPr>
          <w:sz w:val="20"/>
          <w:szCs w:val="20"/>
          <w:color w:val="auto"/>
        </w:rPr>
      </w:pPr>
    </w:p>
    <w:p>
      <w:pPr>
        <w:ind w:right="40" w:firstLine="921"/>
        <w:spacing w:after="0" w:line="262" w:lineRule="auto"/>
        <w:tabs>
          <w:tab w:leader="none" w:pos="11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each of its Subsidiaries (i) is duly organized, validly existing and in good standing under the laws of the jurisdiction of its organization and (ii) has all requisite limited liability company or other organizational power and authority, and the legal right, to execute and deliver this Amendment and perform its obligations under this Amendment and the Loan Documents to which it is a party.</w:t>
      </w:r>
    </w:p>
    <w:p>
      <w:pPr>
        <w:spacing w:after="0" w:line="132" w:lineRule="exact"/>
        <w:rPr>
          <w:rFonts w:ascii="Times New Roman" w:cs="Times New Roman" w:eastAsia="Times New Roman" w:hAnsi="Times New Roman"/>
          <w:sz w:val="18"/>
          <w:szCs w:val="18"/>
          <w:color w:val="auto"/>
        </w:rPr>
      </w:pPr>
    </w:p>
    <w:p>
      <w:pPr>
        <w:ind w:firstLine="921"/>
        <w:spacing w:after="0" w:line="296" w:lineRule="auto"/>
        <w:tabs>
          <w:tab w:leader="none" w:pos="115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by the Borrower of this Amendment and the performance under this Amendment and the Loan Documents, (i) are within the Borrower’s power, (ii) have been duly authorized by all necessary organizational action, (iii) is in compliance with all Requirements of Law except to the extent that the failure to comply therewith would not, in the aggregate, reasonably be expected to have a Material Adverse Effect and (iv) will not conflict with or result in any breach or contravention of, or the creation of any Lien under (other than as permitted by Section 7.3 of the Credit Agreement), or require any payment to be made under any Contractual Obligation to which the Borrower is a party or affecting the Borrower or the Properties of the Borrower.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4" w:right="279" w:bottom="1440" w:gutter="0" w:footer="0" w:header="0"/>
        </w:sectPr>
      </w:pPr>
    </w:p>
    <w:bookmarkStart w:id="37" w:name="page38"/>
    <w:bookmarkEnd w:id="37"/>
    <w:p>
      <w:pPr>
        <w:ind w:right="120" w:firstLine="921"/>
        <w:spacing w:after="0" w:line="258" w:lineRule="auto"/>
        <w:tabs>
          <w:tab w:leader="none" w:pos="11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 authorization, filing, notice or other action by, or notice to, or filing with, any Governmental Authority or any other Person is necessary or required on or in respect of any Loan Party in connection with the execution, delivery or performance by, or enforcement against, the Borrower of this Amendment except those consents, authorizations, filings, notices or other actions, the failure of which to obtain or make, would not reasonably be expected to have a Material Adverse Effect.</w:t>
      </w:r>
    </w:p>
    <w:p>
      <w:pPr>
        <w:spacing w:after="0" w:line="136" w:lineRule="exact"/>
        <w:rPr>
          <w:rFonts w:ascii="Times New Roman" w:cs="Times New Roman" w:eastAsia="Times New Roman" w:hAnsi="Times New Roman"/>
          <w:sz w:val="18"/>
          <w:szCs w:val="18"/>
          <w:color w:val="auto"/>
        </w:rPr>
      </w:pPr>
    </w:p>
    <w:p>
      <w:pPr>
        <w:ind w:right="40" w:firstLine="921"/>
        <w:spacing w:after="0" w:line="258" w:lineRule="auto"/>
        <w:tabs>
          <w:tab w:leader="none" w:pos="11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executed and delivered by the Borrower. This Amendment constitutes a legal, valid and binding obligation of the Borrower, enforceable against the Borrower in accordance with its terms, except as such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36"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Each Lender that executes a counterpart to this Amendment as a “Consenting Lender” or as an “Extending and Consenting Lender” hereby waives (i) the applicability of the provisions of Section 2.21 of the Credit Agreement with respect to any prepayment of Term Loans or Revolving Credit Loans resulting from the issuance of the Senior Unsecured Notes as contemplated by Section 3(l) hereof and (ii) any breach of or in connection with Section 7.6 of the Credit Agreement resulting from any repurchase of Capital Stock of the Borrower of the type described in Section 7.6(k)(x) of the Credit Agreement (as amended hereby) that has occurred or has been deemed to have occurred prior to the Amendment No. 2 Effective Date. Each Lender that executes a counterpart to this Amendment as an “Extending and Consenting Lender” hereby agrees the applicability of the provisions of Section 2.21 of the Credit Agreement shall be waived with respect to the Amendment No. 2 Effective Date Reallocation.</w:t>
      </w:r>
    </w:p>
    <w:p>
      <w:pPr>
        <w:spacing w:after="0" w:line="141"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Reference to and Effect on the Credit Agreement and the Loan Documents</w:t>
      </w:r>
      <w:r>
        <w:rPr>
          <w:rFonts w:ascii="Times New Roman" w:cs="Times New Roman" w:eastAsia="Times New Roman" w:hAnsi="Times New Roman"/>
          <w:sz w:val="18"/>
          <w:szCs w:val="18"/>
          <w:color w:val="auto"/>
        </w:rPr>
        <w:t>. (a) On and after the effectiveness of this Amendment,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by this Amendment.</w:t>
      </w:r>
    </w:p>
    <w:p>
      <w:pPr>
        <w:spacing w:after="0" w:line="136" w:lineRule="exact"/>
        <w:rPr>
          <w:sz w:val="20"/>
          <w:szCs w:val="20"/>
          <w:color w:val="auto"/>
        </w:rPr>
      </w:pPr>
    </w:p>
    <w:p>
      <w:pPr>
        <w:ind w:right="180" w:firstLine="921"/>
        <w:spacing w:after="0" w:line="262" w:lineRule="auto"/>
        <w:tabs>
          <w:tab w:leader="none" w:pos="11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as specifically amended by this Amendment, is and shall continue to be in full force and effect and is hereby in all respects ratified and confirmed. Without limiting the generality of the foregoing, the Security Documents and all of the Collateral described therein do and shall continue to secure the payment of all Obligations of the Loan Parties under the Loan Documents, in each case as amended by this Amendment.</w:t>
      </w:r>
    </w:p>
    <w:p>
      <w:pPr>
        <w:spacing w:after="0" w:line="132" w:lineRule="exact"/>
        <w:rPr>
          <w:rFonts w:ascii="Times New Roman" w:cs="Times New Roman" w:eastAsia="Times New Roman" w:hAnsi="Times New Roman"/>
          <w:sz w:val="18"/>
          <w:szCs w:val="18"/>
          <w:color w:val="auto"/>
        </w:rPr>
      </w:pPr>
    </w:p>
    <w:p>
      <w:pPr>
        <w:ind w:right="360" w:firstLine="921"/>
        <w:spacing w:after="0" w:line="262" w:lineRule="auto"/>
        <w:tabs>
          <w:tab w:leader="none" w:pos="11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32" w:lineRule="exact"/>
        <w:rPr>
          <w:rFonts w:ascii="Times New Roman" w:cs="Times New Roman" w:eastAsia="Times New Roman" w:hAnsi="Times New Roman"/>
          <w:sz w:val="18"/>
          <w:szCs w:val="18"/>
          <w:color w:val="auto"/>
        </w:rPr>
      </w:pPr>
    </w:p>
    <w:p>
      <w:pPr>
        <w:jc w:val="both"/>
        <w:ind w:right="220" w:firstLine="921"/>
        <w:spacing w:after="0" w:line="258" w:lineRule="auto"/>
        <w:tabs>
          <w:tab w:leader="none" w:pos="11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 ratifies and reaffirms all of its payment and performance obligations, contingent or otherwise, under each of the Loan Documents (as amended hereby) to which it is a party and (ii) ratifies and reaffirms each grant of a lien on, or security interest in, its property made pursuant to the Loan Documents (including, without limitation, the grant of security made by the Borrower pursuant to the Guarantee and Collateral Agreement) and confirms that such liens and security interests continue to secure the Obligations under the Loan Documents, subject to the terms thereof.</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38" w:name="page39"/>
    <w:bookmarkEnd w:id="38"/>
    <w:p>
      <w:pPr>
        <w:ind w:firstLine="91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xml:space="preserve"> The Borrower agrees to pay all reasonable and documented out-of-pocket costs and expenses of the Administrative Agent in connection with the preparation, execution, delivery and administration of this Amendment and the other instruments and documents to be delivered hereunder (including, without limitation, the reasonable fees and expenses of counsel for the Administrative Agent) in accordance with the terms of Section 10.5 of the Credit Agreement.</w:t>
      </w:r>
    </w:p>
    <w:p>
      <w:pPr>
        <w:spacing w:after="0" w:line="136"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or other electronic delivery (e.g., “pdf”) shall be effective as delivery of a manually executed counterpart of this Amendment.</w:t>
      </w:r>
    </w:p>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 of the State of New York.</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39" w:name="page40"/>
    <w:bookmarkEnd w:id="39"/>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BANK PLC,</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Craig J. Malloy</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Craig J.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Director</w:t>
      </w:r>
    </w:p>
    <w:p>
      <w:pPr>
        <w:sectPr>
          <w:pgSz w:w="11900" w:h="16838" w:orient="portrait"/>
          <w:cols w:equalWidth="0" w:num="1">
            <w:col w:w="9019"/>
          </w:cols>
          <w:pgMar w:left="1440" w:top="274" w:right="1440" w:bottom="1440" w:gutter="0" w:footer="0" w:header="0"/>
        </w:sectPr>
      </w:pPr>
    </w:p>
    <w:bookmarkStart w:id="40" w:name="page41"/>
    <w:bookmarkEnd w:id="40"/>
    <w:p>
      <w:pPr>
        <w:ind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Amendment to be executed by their respective officers thereunto duly authorized, as of the date first above written,</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NATIONAL CINEMEDIA, LLC, as Borrower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National CineMedia, Inc., a Delaware corporation, its</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Manager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Gary W. Ferrera</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Garry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EVP &amp; CFO</w:t>
      </w:r>
    </w:p>
    <w:p>
      <w:pPr>
        <w:sectPr>
          <w:pgSz w:w="11900" w:h="16838" w:orient="portrait"/>
          <w:cols w:equalWidth="0" w:num="1">
            <w:col w:w="11240"/>
          </w:cols>
          <w:pgMar w:left="240" w:top="274" w:right="419" w:bottom="1440" w:gutter="0" w:footer="0" w:header="0"/>
        </w:sectPr>
      </w:pPr>
    </w:p>
    <w:bookmarkStart w:id="41" w:name="page42"/>
    <w:bookmarkEnd w:id="41"/>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EXTENDING AND CONSENTING LENDERS:</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as an Extending and Consenting Lender and Replacement</w:t>
      </w:r>
    </w:p>
    <w:p>
      <w:pPr>
        <w:spacing w:after="0" w:line="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Revolving Credit Lender</w:t>
      </w:r>
    </w:p>
    <w:p>
      <w:pPr>
        <w:spacing w:after="0" w:line="2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Craig J. Malloy</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Craig J.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-130175</wp:posOffset>
            </wp:positionV>
            <wp:extent cx="26327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Amount of Replacement Revolving Credit Commitments:</w:t>
      </w:r>
    </w:p>
    <w:p>
      <w:pPr>
        <w:spacing w:after="0" w:line="23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$20,000,000</w:t>
      </w:r>
    </w:p>
    <w:p>
      <w:pPr>
        <w:sectPr>
          <w:pgSz w:w="11900" w:h="16838" w:orient="portrait"/>
          <w:cols w:equalWidth="0" w:num="1">
            <w:col w:w="9720"/>
          </w:cols>
          <w:pgMar w:left="1440" w:top="274" w:right="739" w:bottom="1440" w:gutter="0" w:footer="0" w:header="0"/>
        </w:sectPr>
      </w:pPr>
    </w:p>
    <w:bookmarkStart w:id="42" w:name="page43"/>
    <w:bookmarkEnd w:id="42"/>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EXTENDING AND CONSENTING LENDERS;</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JPMorgan Chase Bank, N.A., as an Extending and Consenting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Lender and Replacement Revolving Credit Lender</w:t>
      </w:r>
    </w:p>
    <w:p>
      <w:pPr>
        <w:spacing w:after="0" w:line="2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John G. Kowalczuk</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John G.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-130175</wp:posOffset>
            </wp:positionV>
            <wp:extent cx="26327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Amount of Replacement Revolving Credit Commitments:</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$25,000,000</w:t>
      </w:r>
    </w:p>
    <w:p>
      <w:pPr>
        <w:sectPr>
          <w:pgSz w:w="11900" w:h="16838" w:orient="portrait"/>
          <w:cols w:equalWidth="0" w:num="1">
            <w:col w:w="10040"/>
          </w:cols>
          <w:pgMar w:left="1440" w:top="274" w:right="419" w:bottom="1440" w:gutter="0" w:footer="0" w:header="0"/>
        </w:sectPr>
      </w:pPr>
    </w:p>
    <w:bookmarkStart w:id="43" w:name="page44"/>
    <w:bookmarkEnd w:id="43"/>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EXTENDING AND 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Lehman Commercial Paper Inc.</w:t>
      </w:r>
    </w:p>
    <w:p>
      <w:pPr>
        <w:spacing w:after="0" w:line="1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an Extending and</w:t>
      </w: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Consenting Lender and Replacement Revolving Credit Lender</w:t>
      </w:r>
    </w:p>
    <w:p>
      <w:pPr>
        <w:spacing w:after="0" w:line="2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Scott Goldsmith</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Scott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-129540</wp:posOffset>
            </wp:positionV>
            <wp:extent cx="2718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9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Amount of Replacement Revolving Credit Commitments:</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$14,000,000</w:t>
      </w:r>
    </w:p>
    <w:p>
      <w:pPr>
        <w:sectPr>
          <w:pgSz w:w="11900" w:h="16838" w:orient="portrait"/>
          <w:cols w:equalWidth="0" w:num="1">
            <w:col w:w="10060"/>
          </w:cols>
          <w:pgMar w:left="1440" w:top="274" w:right="399" w:bottom="1440" w:gutter="0" w:footer="0" w:header="0"/>
        </w:sectPr>
      </w:pPr>
    </w:p>
    <w:bookmarkStart w:id="44" w:name="page45"/>
    <w:bookmarkEnd w:id="44"/>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EXTENDING AND CONSENTING LENDERS</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Credit Suisse AG, Cayman Islands Branch, as an Extending and</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Consenting Lender and Replacement Revolving Credit Lender</w:t>
      </w:r>
    </w:p>
    <w:p>
      <w:pPr>
        <w:spacing w:after="0" w:line="2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Bill O’Daly</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Bill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Kevin Buddhdew</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Kevin Buddhdew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Associate</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Amount of Replacement Revolving Credit Commitments:</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$20,000,000.00</w:t>
      </w:r>
    </w:p>
    <w:p>
      <w:pPr>
        <w:sectPr>
          <w:pgSz w:w="11900" w:h="16838" w:orient="portrait"/>
          <w:cols w:equalWidth="0" w:num="1">
            <w:col w:w="10160"/>
          </w:cols>
          <w:pgMar w:left="1440" w:top="274" w:right="299" w:bottom="1440" w:gutter="0" w:footer="0" w:header="0"/>
        </w:sectPr>
      </w:pPr>
    </w:p>
    <w:bookmarkStart w:id="45" w:name="page46"/>
    <w:bookmarkEnd w:id="45"/>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EXTENDING AND CONSENTING LENDERS:</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MORGAN STANLEY SENIOR FUNDING, INC., as an</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Extending and Consenting Lender and Replacement Revolving</w:t>
      </w:r>
    </w:p>
    <w:p>
      <w:pPr>
        <w:spacing w:after="0" w:line="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Credit Lender</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Sherrese Clarke</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Sherrese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-129540</wp:posOffset>
            </wp:positionV>
            <wp:extent cx="2718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9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Amount of Replacement Revolving Credit Commitments:</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$20,000,000</w:t>
      </w:r>
    </w:p>
    <w:p>
      <w:pPr>
        <w:sectPr>
          <w:pgSz w:w="11900" w:h="16838" w:orient="portrait"/>
          <w:cols w:equalWidth="0" w:num="1">
            <w:col w:w="10100"/>
          </w:cols>
          <w:pgMar w:left="1440" w:top="274" w:right="359" w:bottom="1440" w:gutter="0" w:footer="0" w:header="0"/>
        </w:sectPr>
      </w:pPr>
    </w:p>
    <w:bookmarkStart w:id="46" w:name="page47"/>
    <w:bookmarkEnd w:id="46"/>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REPLACEMENT REVOLVING CREDIT LENDER:</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Kevin Smith</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Kevin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-129540</wp:posOffset>
            </wp:positionV>
            <wp:extent cx="2718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Katherine Mogg</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Katherine Mogg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-129540</wp:posOffset>
            </wp:positionV>
            <wp:extent cx="2718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9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Amount of Replacement Revolving Credit Commitments:</w:t>
      </w:r>
    </w:p>
    <w:p>
      <w:pPr>
        <w:spacing w:after="0" w:line="23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$20.0MM</w:t>
      </w:r>
    </w:p>
    <w:p>
      <w:pPr>
        <w:sectPr>
          <w:pgSz w:w="11900" w:h="16838" w:orient="portrait"/>
          <w:cols w:equalWidth="0" w:num="1">
            <w:col w:w="9720"/>
          </w:cols>
          <w:pgMar w:left="1440" w:top="274" w:right="739" w:bottom="1440" w:gutter="0" w:footer="0" w:header="0"/>
        </w:sectPr>
      </w:pPr>
    </w:p>
    <w:bookmarkStart w:id="47" w:name="page48"/>
    <w:bookmarkEnd w:id="4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1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Eaton Vance CDO VIII, Ltd.</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as </w:t>
      </w:r>
      <w:r>
        <w:rPr>
          <w:rFonts w:ascii="Times New Roman" w:cs="Times New Roman" w:eastAsia="Times New Roman" w:hAnsi="Times New Roman"/>
          <w:sz w:val="16"/>
          <w:szCs w:val="16"/>
          <w:color w:val="auto"/>
        </w:rPr>
        <w:t>a Consenting</w:t>
      </w:r>
    </w:p>
    <w:p>
      <w:pPr>
        <w:spacing w:after="0" w:line="4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Leader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Michael B Botthof</w:t>
      </w:r>
    </w:p>
    <w:p>
      <w:pPr>
        <w:spacing w:after="0" w:line="23" w:lineRule="exact"/>
        <w:rPr>
          <w:sz w:val="20"/>
          <w:szCs w:val="20"/>
          <w:color w:val="auto"/>
        </w:rPr>
      </w:pPr>
    </w:p>
    <w:p>
      <w:pPr>
        <w:ind w:left="7232"/>
        <w:spacing w:after="0"/>
        <w:rPr>
          <w:sz w:val="20"/>
          <w:szCs w:val="20"/>
          <w:color w:val="auto"/>
        </w:rPr>
      </w:pPr>
      <w:r>
        <w:rPr>
          <w:rFonts w:ascii="Times New Roman" w:cs="Times New Roman" w:eastAsia="Times New Roman" w:hAnsi="Times New Roman"/>
          <w:sz w:val="18"/>
          <w:szCs w:val="18"/>
          <w:color w:val="auto"/>
        </w:rPr>
        <w:t>Name Michael B Botthof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-130175</wp:posOffset>
            </wp:positionV>
            <wp:extent cx="2718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32"/>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4" w:lineRule="exact"/>
        <w:rPr>
          <w:sz w:val="20"/>
          <w:szCs w:val="20"/>
          <w:color w:val="auto"/>
        </w:rPr>
      </w:pPr>
    </w:p>
    <w:p>
      <w:pPr>
        <w:ind w:left="452" w:hanging="452"/>
        <w:spacing w:after="0"/>
        <w:tabs>
          <w:tab w:leader="none" w:pos="452"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32"/>
          </w:cols>
          <w:pgMar w:left="248" w:top="274" w:right="719" w:bottom="1440" w:gutter="0" w:footer="0" w:header="0"/>
        </w:sectPr>
      </w:pPr>
    </w:p>
    <w:bookmarkStart w:id="48" w:name="page49"/>
    <w:bookmarkEnd w:id="4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1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Eaton Vance CDO X, PLC</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By: Eaton Vance Management As Investment Advisor.</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as </w:t>
      </w:r>
      <w:r>
        <w:rPr>
          <w:rFonts w:ascii="Times New Roman" w:cs="Times New Roman" w:eastAsia="Times New Roman" w:hAnsi="Times New Roman"/>
          <w:sz w:val="16"/>
          <w:szCs w:val="16"/>
          <w:color w:val="auto"/>
        </w:rPr>
        <w:t>a Consenting</w:t>
      </w:r>
    </w:p>
    <w:p>
      <w:pPr>
        <w:spacing w:after="0" w:line="4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Leader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Michael B. Botthof</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Michael B Botthof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4" w:lineRule="exact"/>
        <w:rPr>
          <w:sz w:val="20"/>
          <w:szCs w:val="20"/>
          <w:color w:val="auto"/>
        </w:rPr>
      </w:pPr>
    </w:p>
    <w:p>
      <w:pPr>
        <w:ind w:left="452" w:hanging="452"/>
        <w:spacing w:after="0"/>
        <w:tabs>
          <w:tab w:leader="none" w:pos="452"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32"/>
          </w:cols>
          <w:pgMar w:left="248" w:top="274" w:right="719" w:bottom="1440" w:gutter="0" w:footer="0" w:header="0"/>
        </w:sectPr>
      </w:pPr>
    </w:p>
    <w:bookmarkStart w:id="49" w:name="page50"/>
    <w:bookmarkEnd w:id="4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1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Eaton Vance CDO IX, Ltd</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By: Eaton Vance Management As Investment Advisor.</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as </w:t>
      </w:r>
      <w:r>
        <w:rPr>
          <w:rFonts w:ascii="Times New Roman" w:cs="Times New Roman" w:eastAsia="Times New Roman" w:hAnsi="Times New Roman"/>
          <w:sz w:val="16"/>
          <w:szCs w:val="16"/>
          <w:color w:val="auto"/>
        </w:rPr>
        <w:t>a Consenting</w:t>
      </w:r>
    </w:p>
    <w:p>
      <w:pPr>
        <w:spacing w:after="0" w:line="4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Leader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Michael B. Botthof</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Michael B Botthof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4" w:lineRule="exact"/>
        <w:rPr>
          <w:sz w:val="20"/>
          <w:szCs w:val="20"/>
          <w:color w:val="auto"/>
        </w:rPr>
      </w:pPr>
    </w:p>
    <w:p>
      <w:pPr>
        <w:ind w:left="452" w:hanging="452"/>
        <w:spacing w:after="0"/>
        <w:tabs>
          <w:tab w:leader="none" w:pos="452"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32"/>
          </w:cols>
          <w:pgMar w:left="248" w:top="274" w:right="719" w:bottom="1440" w:gutter="0" w:footer="0" w:header="0"/>
        </w:sectPr>
      </w:pPr>
    </w:p>
    <w:bookmarkStart w:id="50" w:name="page51"/>
    <w:bookmarkEnd w:id="5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1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Eaton Vance Senior</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Floating-Rate Trust</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By: Eaton Vance Management As Investment Advisor.</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as </w:t>
      </w:r>
      <w:r>
        <w:rPr>
          <w:rFonts w:ascii="Times New Roman" w:cs="Times New Roman" w:eastAsia="Times New Roman" w:hAnsi="Times New Roman"/>
          <w:sz w:val="16"/>
          <w:szCs w:val="16"/>
          <w:color w:val="auto"/>
        </w:rPr>
        <w:t>a Consenting</w:t>
      </w:r>
    </w:p>
    <w:p>
      <w:pPr>
        <w:spacing w:after="0" w:line="4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Leader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Michael B. Botthof</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Michael B Botthof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4" w:lineRule="exact"/>
        <w:rPr>
          <w:sz w:val="20"/>
          <w:szCs w:val="20"/>
          <w:color w:val="auto"/>
        </w:rPr>
      </w:pPr>
    </w:p>
    <w:p>
      <w:pPr>
        <w:ind w:left="452" w:hanging="452"/>
        <w:spacing w:after="0"/>
        <w:tabs>
          <w:tab w:leader="none" w:pos="452"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32"/>
          </w:cols>
          <w:pgMar w:left="248" w:top="274" w:right="719" w:bottom="1440" w:gutter="0" w:footer="0" w:header="0"/>
        </w:sectPr>
      </w:pPr>
    </w:p>
    <w:bookmarkStart w:id="51" w:name="page52"/>
    <w:bookmarkEnd w:id="51"/>
    <w:p>
      <w:pPr>
        <w:ind w:left="727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CONSENTING LENDERS: </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Eaton Vance Floating-Rate Income Trust</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By: Eaton Vance Management As Investment Advisor.</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[please print or type name of institution],</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as </w:t>
      </w:r>
      <w:r>
        <w:rPr>
          <w:rFonts w:ascii="Times New Roman" w:cs="Times New Roman" w:eastAsia="Times New Roman" w:hAnsi="Times New Roman"/>
          <w:sz w:val="18"/>
          <w:szCs w:val="18"/>
          <w:color w:val="auto"/>
        </w:rPr>
        <w:t>a Consenting Leader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B. Botthof</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B Botthof</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52" w:name="page53"/>
    <w:bookmarkEnd w:id="5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Eaton Vance Medallion Floating-Rate Income Portfolio</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By: Eaton Vance Management As Investment Advisor.</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[please print or type name of institution],</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as </w:t>
      </w:r>
      <w:r>
        <w:rPr>
          <w:rFonts w:ascii="Times New Roman" w:cs="Times New Roman" w:eastAsia="Times New Roman" w:hAnsi="Times New Roman"/>
          <w:sz w:val="18"/>
          <w:szCs w:val="18"/>
          <w:color w:val="auto"/>
        </w:rPr>
        <w:t>a Consenting Leader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B. Botthof</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B Botthof</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53" w:name="page54"/>
    <w:bookmarkEnd w:id="5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Eaton Vance Senior Income Trust</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Eaton Vance Management</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Investment Advisor</w:t>
      </w:r>
    </w:p>
    <w:p>
      <w:pPr>
        <w:spacing w:after="0" w:line="25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[please print or type name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B. Botthof</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B Botthof</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54" w:name="page55"/>
    <w:bookmarkEnd w:id="5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Eaton Vance Short Duration Diversified Income Fund By: Eaton</w:t>
      </w:r>
    </w:p>
    <w:p>
      <w:pPr>
        <w:spacing w:after="0" w:line="4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Vance Management As Investment Advisor</w:t>
      </w:r>
    </w:p>
    <w:p>
      <w:pPr>
        <w:spacing w:after="0" w:line="238"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[please print or type name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B. Botthof</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B Botthof</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55" w:name="page56"/>
    <w:bookmarkEnd w:id="5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Eaton Institutional Senior Loan Fund</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Eaton Vance Management</w:t>
      </w:r>
    </w:p>
    <w:p>
      <w:pPr>
        <w:spacing w:after="0" w:line="117"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Investment Advisor</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[please print or type name of institution],</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as </w:t>
      </w:r>
      <w:r>
        <w:rPr>
          <w:rFonts w:ascii="Times New Roman" w:cs="Times New Roman" w:eastAsia="Times New Roman" w:hAnsi="Times New Roman"/>
          <w:sz w:val="18"/>
          <w:szCs w:val="18"/>
          <w:color w:val="auto"/>
        </w:rPr>
        <w:t>a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B. Botthof</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B Botthof</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56" w:name="page57"/>
    <w:bookmarkEnd w:id="5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1"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b w:val="1"/>
          <w:bCs w:val="1"/>
          <w:color w:val="auto"/>
        </w:rPr>
        <w:t>EATON VANCE</w:t>
      </w:r>
    </w:p>
    <w:p>
      <w:pPr>
        <w:spacing w:after="0" w:line="9"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b w:val="1"/>
          <w:bCs w:val="1"/>
          <w:color w:val="auto"/>
        </w:rPr>
        <w:t>Limited Duration Income Fund</w:t>
      </w:r>
    </w:p>
    <w:p>
      <w:pPr>
        <w:spacing w:after="0" w:line="9"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b w:val="1"/>
          <w:bCs w:val="1"/>
          <w:color w:val="auto"/>
        </w:rPr>
        <w:t>By: Eaton Vance Management</w:t>
      </w:r>
    </w:p>
    <w:p>
      <w:pPr>
        <w:spacing w:after="0" w:line="9"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b w:val="1"/>
          <w:bCs w:val="1"/>
          <w:color w:val="auto"/>
        </w:rPr>
        <w:t>As Investment Advisor</w:t>
      </w:r>
    </w:p>
    <w:p>
      <w:pPr>
        <w:spacing w:after="0" w:line="25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[please print or type name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as </w:t>
      </w:r>
      <w:r>
        <w:rPr>
          <w:rFonts w:ascii="Times New Roman" w:cs="Times New Roman" w:eastAsia="Times New Roman" w:hAnsi="Times New Roman"/>
          <w:sz w:val="18"/>
          <w:szCs w:val="18"/>
          <w:color w:val="auto"/>
        </w:rPr>
        <w:t>a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B. Botthof</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B Botthof</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57" w:name="page58"/>
    <w:bookmarkEnd w:id="5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b w:val="1"/>
          <w:bCs w:val="1"/>
          <w:color w:val="auto"/>
        </w:rPr>
        <w:t>GRAYSON &amp; Co</w:t>
      </w:r>
    </w:p>
    <w:p>
      <w:pPr>
        <w:spacing w:after="0" w:line="23"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Boston Management and Research</w:t>
      </w:r>
    </w:p>
    <w:p>
      <w:pPr>
        <w:spacing w:after="0" w:line="9"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color w:val="auto"/>
        </w:rPr>
        <w:t>As Investment Advisory</w:t>
      </w:r>
    </w:p>
    <w:p>
      <w:pPr>
        <w:spacing w:after="0" w:line="25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B. Botthof</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B Botthof</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58" w:name="page59"/>
    <w:bookmarkEnd w:id="5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Met Investors Series Trust Met/Eaton Vance Floating Rate</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Portfolio by Eaton Vance Management As Investment Sub-</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Advisor</w:t>
      </w:r>
    </w:p>
    <w:p>
      <w:pPr>
        <w:spacing w:after="0" w:line="238"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[please print or type name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B. Botthof</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B Botthof</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59" w:name="page60"/>
    <w:bookmarkEnd w:id="5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Riversource Variable Series Trust-Variable Portfolio</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Eaton Vance Floating Rate Income Fund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Eaton Vance Management As Investment Advisory</w:t>
      </w:r>
    </w:p>
    <w:p>
      <w:pPr>
        <w:spacing w:after="0" w:line="21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B. Botthof</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B Botthof</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60" w:name="page61"/>
    <w:bookmarkEnd w:id="6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b w:val="1"/>
          <w:bCs w:val="1"/>
          <w:color w:val="auto"/>
        </w:rPr>
        <w:t>SENIOR DEBTTPORTFOLIO</w:t>
      </w:r>
    </w:p>
    <w:p>
      <w:pPr>
        <w:spacing w:after="0" w:line="23"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b w:val="1"/>
          <w:bCs w:val="1"/>
          <w:color w:val="auto"/>
        </w:rPr>
        <w:t>By: Boston Management and Research</w:t>
      </w:r>
    </w:p>
    <w:p>
      <w:pPr>
        <w:spacing w:after="0" w:line="9"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b w:val="1"/>
          <w:bCs w:val="1"/>
          <w:color w:val="auto"/>
        </w:rPr>
        <w:t>as Investment Advisor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as </w:t>
      </w:r>
      <w:r>
        <w:rPr>
          <w:rFonts w:ascii="Times New Roman" w:cs="Times New Roman" w:eastAsia="Times New Roman" w:hAnsi="Times New Roman"/>
          <w:sz w:val="18"/>
          <w:szCs w:val="18"/>
          <w:color w:val="auto"/>
        </w:rPr>
        <w:t>a Consenting</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B. Botthof</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B Botthof</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61" w:name="page62"/>
    <w:bookmarkEnd w:id="6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Citibank, N.A.,</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Scott R. Evan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Scott R. Evan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314" w:lineRule="exact"/>
        <w:rPr>
          <w:sz w:val="20"/>
          <w:szCs w:val="20"/>
          <w:color w:val="auto"/>
        </w:rPr>
      </w:pPr>
    </w:p>
    <w:p>
      <w:pPr>
        <w:ind w:left="452" w:hanging="452"/>
        <w:spacing w:after="0"/>
        <w:tabs>
          <w:tab w:leader="none" w:pos="452"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62" w:name="page63"/>
    <w:bookmarkEnd w:id="6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LATITUDE CLO I, LTD,</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Kirk Wallace</w:t>
      </w:r>
    </w:p>
    <w:p>
      <w:pPr>
        <w:spacing w:after="0" w:line="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Name: Kirk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-130175</wp:posOffset>
            </wp:positionV>
            <wp:extent cx="2718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jc w:val="both"/>
        <w:ind w:left="7192"/>
        <w:spacing w:after="0"/>
        <w:tabs>
          <w:tab w:leader="none" w:pos="7752"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2" w:lineRule="exact"/>
        <w:rPr>
          <w:sz w:val="20"/>
          <w:szCs w:val="20"/>
          <w:color w:val="auto"/>
        </w:rPr>
      </w:pPr>
    </w:p>
    <w:p>
      <w:pPr>
        <w:ind w:left="452" w:hanging="452"/>
        <w:spacing w:after="0"/>
        <w:tabs>
          <w:tab w:leader="none" w:pos="452"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63" w:name="page64"/>
    <w:bookmarkEnd w:id="6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LATITUDE CLO II, LTD,</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Kirk Wallace</w:t>
      </w:r>
    </w:p>
    <w:p>
      <w:pPr>
        <w:spacing w:after="0" w:line="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Name: Kirk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-130175</wp:posOffset>
            </wp:positionV>
            <wp:extent cx="2718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jc w:val="both"/>
        <w:ind w:left="7192"/>
        <w:spacing w:after="0"/>
        <w:tabs>
          <w:tab w:leader="none" w:pos="7752"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2" w:lineRule="exact"/>
        <w:rPr>
          <w:sz w:val="20"/>
          <w:szCs w:val="20"/>
          <w:color w:val="auto"/>
        </w:rPr>
      </w:pPr>
    </w:p>
    <w:p>
      <w:pPr>
        <w:ind w:left="452" w:hanging="452"/>
        <w:spacing w:after="0"/>
        <w:tabs>
          <w:tab w:leader="none" w:pos="452"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64" w:name="page65"/>
    <w:bookmarkEnd w:id="6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LATITUDE CLO III, LTD, as a Consenting Lender</w:t>
      </w:r>
    </w:p>
    <w:p>
      <w:pPr>
        <w:spacing w:after="0" w:line="248"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Kirk Wallace</w:t>
      </w:r>
    </w:p>
    <w:p>
      <w:pPr>
        <w:spacing w:after="0" w:line="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Name: Kirk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-130175</wp:posOffset>
            </wp:positionV>
            <wp:extent cx="2718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192"/>
        <w:spacing w:after="0"/>
        <w:tabs>
          <w:tab w:leader="none" w:pos="7752"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21" w:lineRule="exact"/>
        <w:rPr>
          <w:sz w:val="20"/>
          <w:szCs w:val="20"/>
          <w:color w:val="auto"/>
        </w:rPr>
      </w:pPr>
    </w:p>
    <w:p>
      <w:pPr>
        <w:ind w:left="452" w:hanging="452"/>
        <w:spacing w:after="0"/>
        <w:tabs>
          <w:tab w:leader="none" w:pos="452"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472"/>
          </w:cols>
          <w:pgMar w:left="248" w:top="274" w:right="1179" w:bottom="1440" w:gutter="0" w:footer="0" w:header="0"/>
        </w:sectPr>
      </w:pPr>
    </w:p>
    <w:bookmarkStart w:id="65" w:name="page66"/>
    <w:bookmarkEnd w:id="6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CONSEMTING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Deutsche Bank AG, London</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[please print or type name of institution],</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Nicholas Wilmglay</w:t>
      </w:r>
    </w:p>
    <w:p>
      <w:pPr>
        <w:spacing w:after="0" w:line="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Name: Nicholas Wilmglay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-130175</wp:posOffset>
            </wp:positionV>
            <wp:extent cx="2718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192"/>
        <w:spacing w:after="0"/>
        <w:tabs>
          <w:tab w:leader="none" w:pos="7752"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21" w:lineRule="exact"/>
        <w:rPr>
          <w:sz w:val="20"/>
          <w:szCs w:val="20"/>
          <w:color w:val="auto"/>
        </w:rPr>
      </w:pPr>
    </w:p>
    <w:p>
      <w:pPr>
        <w:ind w:left="452" w:hanging="452"/>
        <w:spacing w:after="0"/>
        <w:tabs>
          <w:tab w:leader="none" w:pos="452" w:val="left"/>
        </w:tabs>
        <w:numPr>
          <w:ilvl w:val="0"/>
          <w:numId w:val="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 prepared to be Existing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66" w:name="page67"/>
    <w:bookmarkEnd w:id="6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LightPoint CLO, III, Ltd.,</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Neuberger Berman Fixed Income LLC as collateral manager</w:t>
      </w:r>
    </w:p>
    <w:p>
      <w:pPr>
        <w:spacing w:after="0" w:line="24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Colin Donlan</w:t>
      </w:r>
    </w:p>
    <w:p>
      <w:pPr>
        <w:spacing w:after="0" w:line="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Name: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-130175</wp:posOffset>
            </wp:positionV>
            <wp:extent cx="2718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192"/>
        <w:spacing w:after="0"/>
        <w:tabs>
          <w:tab w:leader="none" w:pos="7752"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52" w:hanging="452"/>
        <w:spacing w:after="0"/>
        <w:tabs>
          <w:tab w:leader="none" w:pos="452"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52"/>
          </w:cols>
          <w:pgMar w:left="248" w:top="274" w:right="299" w:bottom="1440" w:gutter="0" w:footer="0" w:header="0"/>
        </w:sectPr>
      </w:pPr>
    </w:p>
    <w:bookmarkStart w:id="67" w:name="page68"/>
    <w:bookmarkEnd w:id="6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u w:val="single" w:color="auto"/>
          <w:color w:val="auto"/>
        </w:rPr>
        <w:t>LightPoint CLQ IV, Ltd.</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Neuberger Berman Fixed Income LLC as collateral manager</w:t>
      </w:r>
    </w:p>
    <w:p>
      <w:pPr>
        <w:spacing w:after="0" w:line="24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Colin Donlan</w:t>
      </w:r>
    </w:p>
    <w:p>
      <w:pPr>
        <w:spacing w:after="0" w:line="23" w:lineRule="exact"/>
        <w:rPr>
          <w:sz w:val="20"/>
          <w:szCs w:val="20"/>
          <w:color w:val="auto"/>
        </w:rPr>
      </w:pPr>
    </w:p>
    <w:p>
      <w:pPr>
        <w:ind w:left="7132"/>
        <w:spacing w:after="0"/>
        <w:rPr>
          <w:sz w:val="20"/>
          <w:szCs w:val="20"/>
          <w:color w:val="auto"/>
        </w:rPr>
      </w:pPr>
      <w:r>
        <w:rPr>
          <w:rFonts w:ascii="Times New Roman" w:cs="Times New Roman" w:eastAsia="Times New Roman" w:hAnsi="Times New Roman"/>
          <w:sz w:val="18"/>
          <w:szCs w:val="18"/>
          <w:color w:val="auto"/>
        </w:rPr>
        <w:t>Name: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-130175</wp:posOffset>
            </wp:positionV>
            <wp:extent cx="2752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 w:lineRule="exact"/>
        <w:rPr>
          <w:sz w:val="20"/>
          <w:szCs w:val="20"/>
          <w:color w:val="auto"/>
        </w:rPr>
      </w:pPr>
    </w:p>
    <w:p>
      <w:pPr>
        <w:ind w:left="7132"/>
        <w:spacing w:after="0"/>
        <w:tabs>
          <w:tab w:leader="none" w:pos="7712"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52" w:hanging="452"/>
        <w:spacing w:after="0"/>
        <w:tabs>
          <w:tab w:leader="none" w:pos="452"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52"/>
          </w:cols>
          <w:pgMar w:left="248" w:top="274" w:right="299" w:bottom="1440" w:gutter="0" w:footer="0" w:header="0"/>
        </w:sectPr>
      </w:pPr>
    </w:p>
    <w:bookmarkStart w:id="68" w:name="page69"/>
    <w:bookmarkEnd w:id="6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u w:val="single" w:color="auto"/>
          <w:color w:val="auto"/>
        </w:rPr>
        <w:t>LightPoint CLQ IV, Ltd.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Neuberger Berman Fixed Income LLC as collateral manager</w:t>
      </w:r>
    </w:p>
    <w:p>
      <w:pPr>
        <w:spacing w:after="0" w:line="24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Colin Donlan</w:t>
      </w:r>
    </w:p>
    <w:p>
      <w:pPr>
        <w:spacing w:after="0" w:line="23" w:lineRule="exact"/>
        <w:rPr>
          <w:sz w:val="20"/>
          <w:szCs w:val="20"/>
          <w:color w:val="auto"/>
        </w:rPr>
      </w:pPr>
    </w:p>
    <w:p>
      <w:pPr>
        <w:ind w:left="7132"/>
        <w:spacing w:after="0"/>
        <w:rPr>
          <w:sz w:val="20"/>
          <w:szCs w:val="20"/>
          <w:color w:val="auto"/>
        </w:rPr>
      </w:pPr>
      <w:r>
        <w:rPr>
          <w:rFonts w:ascii="Times New Roman" w:cs="Times New Roman" w:eastAsia="Times New Roman" w:hAnsi="Times New Roman"/>
          <w:sz w:val="18"/>
          <w:szCs w:val="18"/>
          <w:color w:val="auto"/>
        </w:rPr>
        <w:t>Name: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-130175</wp:posOffset>
            </wp:positionV>
            <wp:extent cx="2752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 w:lineRule="exact"/>
        <w:rPr>
          <w:sz w:val="20"/>
          <w:szCs w:val="20"/>
          <w:color w:val="auto"/>
        </w:rPr>
      </w:pPr>
    </w:p>
    <w:p>
      <w:pPr>
        <w:ind w:left="7132"/>
        <w:spacing w:after="0"/>
        <w:tabs>
          <w:tab w:leader="none" w:pos="7712"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52" w:hanging="452"/>
        <w:spacing w:after="0"/>
        <w:tabs>
          <w:tab w:leader="none" w:pos="452"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52"/>
          </w:cols>
          <w:pgMar w:left="248" w:top="274" w:right="299" w:bottom="1440" w:gutter="0" w:footer="0" w:header="0"/>
        </w:sectPr>
      </w:pPr>
    </w:p>
    <w:bookmarkStart w:id="69" w:name="page70"/>
    <w:bookmarkEnd w:id="6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u w:val="single" w:color="auto"/>
          <w:color w:val="auto"/>
        </w:rPr>
        <w:t>LightPoint CLO VII, Ltd.</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Neuberger Berman Fixed Income LLC as collateral manager</w:t>
      </w:r>
    </w:p>
    <w:p>
      <w:pPr>
        <w:spacing w:after="0" w:line="24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Colin Donlan</w:t>
      </w:r>
    </w:p>
    <w:p>
      <w:pPr>
        <w:spacing w:after="0" w:line="23" w:lineRule="exact"/>
        <w:rPr>
          <w:sz w:val="20"/>
          <w:szCs w:val="20"/>
          <w:color w:val="auto"/>
        </w:rPr>
      </w:pPr>
    </w:p>
    <w:p>
      <w:pPr>
        <w:ind w:left="7132"/>
        <w:spacing w:after="0"/>
        <w:rPr>
          <w:sz w:val="20"/>
          <w:szCs w:val="20"/>
          <w:color w:val="auto"/>
        </w:rPr>
      </w:pPr>
      <w:r>
        <w:rPr>
          <w:rFonts w:ascii="Times New Roman" w:cs="Times New Roman" w:eastAsia="Times New Roman" w:hAnsi="Times New Roman"/>
          <w:sz w:val="18"/>
          <w:szCs w:val="18"/>
          <w:color w:val="auto"/>
        </w:rPr>
        <w:t>Name: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-130175</wp:posOffset>
            </wp:positionV>
            <wp:extent cx="27527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 w:lineRule="exact"/>
        <w:rPr>
          <w:sz w:val="20"/>
          <w:szCs w:val="20"/>
          <w:color w:val="auto"/>
        </w:rPr>
      </w:pPr>
    </w:p>
    <w:p>
      <w:pPr>
        <w:ind w:left="7132"/>
        <w:spacing w:after="0"/>
        <w:tabs>
          <w:tab w:leader="none" w:pos="7712"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52" w:hanging="452"/>
        <w:spacing w:after="0"/>
        <w:tabs>
          <w:tab w:leader="none" w:pos="452"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52"/>
          </w:cols>
          <w:pgMar w:left="248" w:top="274" w:right="299" w:bottom="1440" w:gutter="0" w:footer="0" w:header="0"/>
        </w:sectPr>
      </w:pPr>
    </w:p>
    <w:bookmarkStart w:id="70" w:name="page71"/>
    <w:bookmarkEnd w:id="7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u w:val="single" w:color="auto"/>
          <w:color w:val="auto"/>
        </w:rPr>
        <w:t>LtghtPointCLO VIII,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Neuberger Berman Fixed income LLC as collateral Manager</w:t>
      </w:r>
    </w:p>
    <w:p>
      <w:pPr>
        <w:spacing w:after="0" w:line="24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Colin Donlan</w:t>
      </w:r>
    </w:p>
    <w:p>
      <w:pPr>
        <w:spacing w:after="0" w:line="23" w:lineRule="exact"/>
        <w:rPr>
          <w:sz w:val="20"/>
          <w:szCs w:val="20"/>
          <w:color w:val="auto"/>
        </w:rPr>
      </w:pPr>
    </w:p>
    <w:p>
      <w:pPr>
        <w:ind w:left="7132"/>
        <w:spacing w:after="0"/>
        <w:rPr>
          <w:sz w:val="20"/>
          <w:szCs w:val="20"/>
          <w:color w:val="auto"/>
        </w:rPr>
      </w:pPr>
      <w:r>
        <w:rPr>
          <w:rFonts w:ascii="Times New Roman" w:cs="Times New Roman" w:eastAsia="Times New Roman" w:hAnsi="Times New Roman"/>
          <w:sz w:val="18"/>
          <w:szCs w:val="18"/>
          <w:color w:val="auto"/>
        </w:rPr>
        <w:t>Name: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-130175</wp:posOffset>
            </wp:positionV>
            <wp:extent cx="2752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 w:lineRule="exact"/>
        <w:rPr>
          <w:sz w:val="20"/>
          <w:szCs w:val="20"/>
          <w:color w:val="auto"/>
        </w:rPr>
      </w:pPr>
    </w:p>
    <w:p>
      <w:pPr>
        <w:ind w:left="7132"/>
        <w:spacing w:after="0"/>
        <w:tabs>
          <w:tab w:leader="none" w:pos="7712"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52" w:hanging="452"/>
        <w:spacing w:after="0"/>
        <w:tabs>
          <w:tab w:leader="none" w:pos="452" w:val="left"/>
        </w:tabs>
        <w:numPr>
          <w:ilvl w:val="0"/>
          <w:numId w:val="6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Only Lenders who approve the amendment but are not prepared to </w:t>
      </w:r>
      <w:r>
        <w:rPr>
          <w:rFonts w:ascii="Times New Roman" w:cs="Times New Roman" w:eastAsia="Times New Roman" w:hAnsi="Times New Roman"/>
          <w:sz w:val="18"/>
          <w:szCs w:val="18"/>
          <w:i w:val="1"/>
          <w:iCs w:val="1"/>
          <w:color w:val="auto"/>
        </w:rPr>
        <w:t>be-</w:t>
      </w:r>
      <w:r>
        <w:rPr>
          <w:rFonts w:ascii="Times New Roman" w:cs="Times New Roman" w:eastAsia="Times New Roman" w:hAnsi="Times New Roman"/>
          <w:sz w:val="18"/>
          <w:szCs w:val="18"/>
          <w:color w:val="auto"/>
        </w:rPr>
        <w:t xml:space="preserv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72"/>
          </w:cols>
          <w:pgMar w:left="248" w:top="274" w:right="279" w:bottom="1440" w:gutter="0" w:footer="0" w:header="0"/>
        </w:sectPr>
      </w:pPr>
    </w:p>
    <w:bookmarkStart w:id="71" w:name="page72"/>
    <w:bookmarkEnd w:id="7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117"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Airlie CLO 2006-I, Ltd.,</w:t>
      </w:r>
    </w:p>
    <w:p>
      <w:pPr>
        <w:spacing w:after="0" w:line="117"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Neuberger Berman Fixed Income LLC as collateral Manager</w:t>
      </w:r>
    </w:p>
    <w:p>
      <w:pPr>
        <w:spacing w:after="0" w:line="24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Colin Donlan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Colin Donlan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72" w:name="page73"/>
    <w:bookmarkEnd w:id="7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u w:val="single" w:color="auto"/>
          <w:color w:val="auto"/>
        </w:rPr>
        <w:t>Marquette US/European CLQ. Plc.</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Neuberger Berman Fixed Income LLC as collateral Manager</w:t>
      </w:r>
    </w:p>
    <w:p>
      <w:pPr>
        <w:spacing w:after="0" w:line="24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Colin Donlan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Colin Donlan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73" w:name="page74"/>
    <w:bookmarkEnd w:id="7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Yorkville CBNA Loan Funding, LLC</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Consenting Lender</w:t>
      </w:r>
    </w:p>
    <w:p>
      <w:pPr>
        <w:spacing w:after="0" w:line="24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Malia Baynes</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Malia Baynes</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112" w:lineRule="exact"/>
        <w:rPr>
          <w:sz w:val="20"/>
          <w:szCs w:val="20"/>
          <w:color w:val="auto"/>
        </w:rPr>
      </w:pPr>
    </w:p>
    <w:p>
      <w:pPr>
        <w:ind w:left="452" w:hanging="452"/>
        <w:spacing w:after="0"/>
        <w:tabs>
          <w:tab w:leader="none" w:pos="452" w:val="left"/>
        </w:tabs>
        <w:numPr>
          <w:ilvl w:val="0"/>
          <w:numId w:val="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74" w:name="page75"/>
    <w:bookmarkEnd w:id="7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Gateway CLO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Prudential Investment Management;, Inc., as</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Collateral Manager, as a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Brian Juliano</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Brian Juliano</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6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Only Lenders who approve the amendment but </w:t>
      </w:r>
      <w:r>
        <w:rPr>
          <w:rFonts w:ascii="Times New Roman" w:cs="Times New Roman" w:eastAsia="Times New Roman" w:hAnsi="Times New Roman"/>
          <w:sz w:val="18"/>
          <w:szCs w:val="18"/>
          <w:i w:val="1"/>
          <w:iCs w:val="1"/>
          <w:color w:val="auto"/>
        </w:rPr>
        <w:t>are</w:t>
      </w:r>
      <w:r>
        <w:rPr>
          <w:rFonts w:ascii="Times New Roman" w:cs="Times New Roman" w:eastAsia="Times New Roman" w:hAnsi="Times New Roman"/>
          <w:sz w:val="18"/>
          <w:szCs w:val="18"/>
          <w:color w:val="auto"/>
        </w:rPr>
        <w:t xml:space="preserv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75" w:name="page76"/>
    <w:bookmarkEnd w:id="7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37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Harch CLO DL Limited, 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4425315</wp:posOffset>
            </wp:positionH>
            <wp:positionV relativeFrom="paragraph">
              <wp:posOffset>-121920</wp:posOffset>
            </wp:positionV>
            <wp:extent cx="28213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2"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James DiDonato</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James DiDonato</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6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76" w:name="page77"/>
    <w:bookmarkEnd w:id="76"/>
    <w:p>
      <w:pPr>
        <w:ind w:left="703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CONSENTNG LENPERS: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Flagship CLO III</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Deutsche Investment Management Americas, Inc.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 xml:space="preserve">(as successor in interest to Deutsche Asset Management, </w:t>
      </w:r>
      <w:r>
        <w:rPr>
          <w:rFonts w:ascii="Times New Roman" w:cs="Times New Roman" w:eastAsia="Times New Roman" w:hAnsi="Times New Roman"/>
          <w:sz w:val="18"/>
          <w:szCs w:val="18"/>
          <w:i w:val="1"/>
          <w:iCs w:val="1"/>
          <w:color w:val="auto"/>
        </w:rPr>
        <w:t>Inc.),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226"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Eric S. Meyer</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Eric S Meyer,</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35"/>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Thomas R. Bouchard</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Thomas R. Bouchard</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6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77" w:name="page78"/>
    <w:bookmarkEnd w:id="77"/>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LEJNDERS: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Flagship CLO IV</w:t>
      </w:r>
    </w:p>
    <w:p>
      <w:pPr>
        <w:spacing w:after="0" w:line="2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By; Deutsche Investment Management Americas, Inc.</w:t>
      </w:r>
    </w:p>
    <w:p>
      <w:pPr>
        <w:spacing w:after="0" w:line="9" w:lineRule="exact"/>
        <w:rPr>
          <w:sz w:val="20"/>
          <w:szCs w:val="20"/>
          <w:color w:val="auto"/>
        </w:rPr>
      </w:pPr>
    </w:p>
    <w:p>
      <w:pPr>
        <w:ind w:left="7040"/>
        <w:spacing w:after="0"/>
        <w:tabs>
          <w:tab w:leader="none" w:pos="10200" w:val="left"/>
        </w:tabs>
        <w:rPr>
          <w:sz w:val="20"/>
          <w:szCs w:val="20"/>
          <w:color w:val="auto"/>
        </w:rPr>
      </w:pPr>
      <w:r>
        <w:rPr>
          <w:rFonts w:ascii="Times New Roman" w:cs="Times New Roman" w:eastAsia="Times New Roman" w:hAnsi="Times New Roman"/>
          <w:sz w:val="18"/>
          <w:szCs w:val="18"/>
          <w:color w:val="auto"/>
        </w:rPr>
        <w:t>(as successor in interest to Deutsche Asset</w:t>
      </w:r>
      <w:r>
        <w:rPr>
          <w:sz w:val="20"/>
          <w:szCs w:val="20"/>
          <w:color w:val="auto"/>
        </w:rPr>
        <w:tab/>
      </w:r>
      <w:r>
        <w:rPr>
          <w:rFonts w:ascii="Times New Roman" w:cs="Times New Roman" w:eastAsia="Times New Roman" w:hAnsi="Times New Roman"/>
          <w:sz w:val="16"/>
          <w:szCs w:val="16"/>
          <w:color w:val="auto"/>
        </w:rPr>
        <w:t>Management,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226"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Eric S. Meyer</w:t>
            </w:r>
          </w:p>
        </w:tc>
      </w:tr>
      <w:tr>
        <w:trPr>
          <w:trHeight w:val="196"/>
        </w:trPr>
        <w:tc>
          <w:tcPr>
            <w:tcW w:w="320" w:type="dxa"/>
            <w:vAlign w:val="bottom"/>
          </w:tcPr>
          <w:p>
            <w:pPr>
              <w:spacing w:after="0"/>
              <w:rPr>
                <w:sz w:val="17"/>
                <w:szCs w:val="17"/>
                <w:color w:val="auto"/>
              </w:rPr>
            </w:pPr>
          </w:p>
        </w:tc>
        <w:tc>
          <w:tcPr>
            <w:tcW w:w="42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Eric S Meyer,</w:t>
            </w:r>
          </w:p>
        </w:tc>
      </w:tr>
      <w:tr>
        <w:trPr>
          <w:trHeight w:val="228"/>
        </w:trPr>
        <w:tc>
          <w:tcPr>
            <w:tcW w:w="3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43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R. Bouchard</w:t>
            </w:r>
          </w:p>
        </w:tc>
      </w:tr>
      <w:tr>
        <w:trPr>
          <w:trHeight w:val="196"/>
        </w:trPr>
        <w:tc>
          <w:tcPr>
            <w:tcW w:w="320" w:type="dxa"/>
            <w:vAlign w:val="bottom"/>
          </w:tcPr>
          <w:p>
            <w:pPr>
              <w:spacing w:after="0"/>
              <w:rPr>
                <w:sz w:val="17"/>
                <w:szCs w:val="17"/>
                <w:color w:val="auto"/>
              </w:rPr>
            </w:pPr>
          </w:p>
        </w:tc>
        <w:tc>
          <w:tcPr>
            <w:tcW w:w="42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Name: Thomas R. Bouchard</w:t>
            </w:r>
          </w:p>
        </w:tc>
      </w:tr>
      <w:tr>
        <w:trPr>
          <w:trHeight w:val="228"/>
        </w:trPr>
        <w:tc>
          <w:tcPr>
            <w:tcW w:w="3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328" w:lineRule="exact"/>
        <w:rPr>
          <w:sz w:val="20"/>
          <w:szCs w:val="20"/>
          <w:color w:val="auto"/>
        </w:rPr>
      </w:pPr>
    </w:p>
    <w:p>
      <w:pPr>
        <w:ind w:left="460" w:hanging="452"/>
        <w:spacing w:after="0"/>
        <w:tabs>
          <w:tab w:leader="none" w:pos="460" w:val="left"/>
        </w:tabs>
        <w:numPr>
          <w:ilvl w:val="0"/>
          <w:numId w:val="6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w:t>
      </w:r>
    </w:p>
    <w:p>
      <w:pPr>
        <w:spacing w:after="0" w:line="7" w:lineRule="exact"/>
        <w:rPr>
          <w:rFonts w:ascii="Times New Roman" w:cs="Times New Roman" w:eastAsia="Times New Roman" w:hAnsi="Times New Roman"/>
          <w:sz w:val="22"/>
          <w:szCs w:val="22"/>
          <w:color w:val="auto"/>
          <w:vertAlign w:val="superscript"/>
        </w:rPr>
      </w:pP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8" w:name="page79"/>
    <w:bookmarkEnd w:id="7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Flagship CLO V</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Deutsche Investment Management Americas, Inc.</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successor in interest to Deutsche Asset Management, Inc.),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Eric S. Meyer</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Eric S Meyer,</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Thomas R. Bouchard</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Thomas R. Bouchard</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79" w:name="page80"/>
    <w:bookmarkEnd w:id="79"/>
    <w:tbl>
      <w:tblPr>
        <w:tblLayout w:type="fixed"/>
        <w:tblInd w:w="6852"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CONSENTING LENDERS:</w:t>
            </w:r>
          </w:p>
        </w:tc>
        <w:tc>
          <w:tcPr>
            <w:tcW w:w="900" w:type="dxa"/>
            <w:vAlign w:val="bottom"/>
          </w:tcPr>
          <w:p>
            <w:pPr>
              <w:spacing w:after="0"/>
              <w:rPr>
                <w:sz w:val="20"/>
                <w:szCs w:val="20"/>
                <w:color w:val="auto"/>
              </w:rPr>
            </w:pPr>
          </w:p>
        </w:tc>
      </w:tr>
      <w:tr>
        <w:trPr>
          <w:trHeight w:val="419"/>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Flagship CLO VI</w:t>
            </w:r>
          </w:p>
        </w:tc>
        <w:tc>
          <w:tcPr>
            <w:tcW w:w="900" w:type="dxa"/>
            <w:vAlign w:val="bottom"/>
          </w:tcPr>
          <w:p>
            <w:pPr>
              <w:spacing w:after="0"/>
              <w:rPr>
                <w:sz w:val="24"/>
                <w:szCs w:val="24"/>
                <w:color w:val="auto"/>
              </w:rPr>
            </w:pPr>
          </w:p>
        </w:tc>
      </w:tr>
      <w:tr>
        <w:trPr>
          <w:trHeight w:val="21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Deutsche Investment Management Americas,</w:t>
            </w: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 As</w:t>
            </w: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 Manager</w:t>
            </w:r>
          </w:p>
        </w:tc>
        <w:tc>
          <w:tcPr>
            <w:tcW w:w="900" w:type="dxa"/>
            <w:vAlign w:val="bottom"/>
          </w:tcPr>
          <w:p>
            <w:pPr>
              <w:spacing w:after="0"/>
              <w:rPr>
                <w:sz w:val="19"/>
                <w:szCs w:val="19"/>
                <w:color w:val="auto"/>
              </w:rPr>
            </w:pPr>
          </w:p>
        </w:tc>
      </w:tr>
      <w:tr>
        <w:trPr>
          <w:trHeight w:val="43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Eric S. Meyer</w:t>
            </w:r>
          </w:p>
        </w:tc>
        <w:tc>
          <w:tcPr>
            <w:tcW w:w="90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183"/>
        </w:trPr>
        <w:tc>
          <w:tcPr>
            <w:tcW w:w="36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Name: Eric S Meyer,</w:t>
            </w:r>
          </w:p>
        </w:tc>
        <w:tc>
          <w:tcPr>
            <w:tcW w:w="900" w:type="dxa"/>
            <w:vAlign w:val="bottom"/>
          </w:tcPr>
          <w:p>
            <w:pPr>
              <w:spacing w:after="0"/>
              <w:rPr>
                <w:sz w:val="15"/>
                <w:szCs w:val="15"/>
                <w:color w:val="auto"/>
              </w:rPr>
            </w:pP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900" w:type="dxa"/>
            <w:vAlign w:val="bottom"/>
          </w:tcPr>
          <w:p>
            <w:pPr>
              <w:spacing w:after="0"/>
              <w:rPr>
                <w:sz w:val="19"/>
                <w:szCs w:val="19"/>
                <w:color w:val="auto"/>
              </w:rPr>
            </w:pPr>
          </w:p>
        </w:tc>
      </w:tr>
      <w:tr>
        <w:trPr>
          <w:trHeight w:val="43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Thomas R. Bouchard</w:t>
            </w:r>
          </w:p>
        </w:tc>
        <w:tc>
          <w:tcPr>
            <w:tcW w:w="90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183"/>
        </w:trPr>
        <w:tc>
          <w:tcPr>
            <w:tcW w:w="36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Name: Thomas R. Bouchard</w:t>
            </w:r>
          </w:p>
        </w:tc>
        <w:tc>
          <w:tcPr>
            <w:tcW w:w="900" w:type="dxa"/>
            <w:vAlign w:val="bottom"/>
          </w:tcPr>
          <w:p>
            <w:pPr>
              <w:spacing w:after="0"/>
              <w:rPr>
                <w:sz w:val="15"/>
                <w:szCs w:val="15"/>
                <w:color w:val="auto"/>
              </w:rPr>
            </w:pP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900" w:type="dxa"/>
            <w:vAlign w:val="bottom"/>
          </w:tcPr>
          <w:p>
            <w:pPr>
              <w:spacing w:after="0"/>
              <w:rPr>
                <w:sz w:val="19"/>
                <w:szCs w:val="19"/>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52" w:hanging="452"/>
        <w:spacing w:after="0"/>
        <w:tabs>
          <w:tab w:leader="none" w:pos="452" w:val="left"/>
        </w:tabs>
        <w:numPr>
          <w:ilvl w:val="0"/>
          <w:numId w:val="6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2" w:right="239" w:bottom="1440" w:gutter="0" w:footer="0" w:header="0"/>
        </w:sectPr>
      </w:pPr>
    </w:p>
    <w:bookmarkStart w:id="80" w:name="page81"/>
    <w:bookmarkEnd w:id="80"/>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CIFC Funding 2006-1, Ltd.</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CIFC Funding 2006-IB,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CIFC Funding 2006-11,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CIFC Funding 2007-1,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CIFC Funding 2007-III,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CIFC Funding 2007-IV, Ltd.</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By: CIFC Investment Management LLC, its Collateral Manager</w:t>
      </w:r>
    </w:p>
    <w:p>
      <w:pPr>
        <w:spacing w:after="0" w:line="248" w:lineRule="exact"/>
        <w:rPr>
          <w:sz w:val="20"/>
          <w:szCs w:val="20"/>
          <w:color w:val="auto"/>
        </w:rPr>
      </w:pPr>
    </w:p>
    <w:p>
      <w:pPr>
        <w:ind w:left="5960"/>
        <w:spacing w:after="0"/>
        <w:tabs>
          <w:tab w:leader="none" w:pos="6440" w:val="left"/>
        </w:tabs>
        <w:rPr>
          <w:sz w:val="20"/>
          <w:szCs w:val="20"/>
          <w:color w:val="auto"/>
        </w:rPr>
      </w:pPr>
      <w:r>
        <w:rPr>
          <w:rFonts w:ascii="Times New Roman" w:cs="Times New Roman" w:eastAsia="Times New Roman" w:hAnsi="Times New Roman"/>
          <w:sz w:val="18"/>
          <w:szCs w:val="18"/>
          <w:color w:val="auto"/>
        </w:rPr>
        <w:t>By:</w:t>
        <w:tab/>
        <w:t>/s/ Rob Milton</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Rob 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-129540</wp:posOffset>
            </wp:positionV>
            <wp:extent cx="24098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Authorized Signatory</w:t>
      </w:r>
    </w:p>
    <w:p>
      <w:pPr>
        <w:sectPr>
          <w:pgSz w:w="11900" w:h="16838" w:orient="portrait"/>
          <w:cols w:equalWidth="0" w:num="1">
            <w:col w:w="10160"/>
          </w:cols>
          <w:pgMar w:left="1440" w:top="274" w:right="299" w:bottom="1440" w:gutter="0" w:footer="0" w:header="0"/>
        </w:sectPr>
      </w:pPr>
    </w:p>
    <w:bookmarkStart w:id="81" w:name="page82"/>
    <w:bookmarkEnd w:id="81"/>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Hewett’s Island CLO II, Ltd.</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xml:space="preserve">Hewett’s Island CLO III, </w:t>
      </w:r>
      <w:r>
        <w:rPr>
          <w:rFonts w:ascii="Times New Roman" w:cs="Times New Roman" w:eastAsia="Times New Roman" w:hAnsi="Times New Roman"/>
          <w:sz w:val="18"/>
          <w:szCs w:val="18"/>
          <w:b w:val="1"/>
          <w:bCs w:val="1"/>
          <w:color w:val="auto"/>
        </w:rPr>
        <w:t>Ltd.</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By:  CypressTree Investment Management, LLC, its Collateral</w:t>
      </w:r>
    </w:p>
    <w:p>
      <w:pPr>
        <w:spacing w:after="0" w:line="4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Manager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Rob Milton</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Rob 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-130175</wp:posOffset>
            </wp:positionV>
            <wp:extent cx="2718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100"/>
          </w:cols>
          <w:pgMar w:left="1440" w:top="274" w:right="359" w:bottom="1440" w:gutter="0" w:footer="0" w:header="0"/>
        </w:sectPr>
      </w:pPr>
    </w:p>
    <w:bookmarkStart w:id="82" w:name="page83"/>
    <w:bookmarkEnd w:id="82"/>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Primus CLO I, Ltd.</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Primus CLO II, Ltd.</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By: CypressTree Investment Management, LLC, its Subadviser</w:t>
      </w:r>
    </w:p>
    <w:p>
      <w:pPr>
        <w:spacing w:after="0" w:line="24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Rob Milton</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Rob 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-130175</wp:posOffset>
            </wp:positionV>
            <wp:extent cx="25126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160"/>
          </w:cols>
          <w:pgMar w:left="1440" w:top="274" w:right="299" w:bottom="1440" w:gutter="0" w:footer="0" w:header="0"/>
        </w:sectPr>
      </w:pPr>
    </w:p>
    <w:bookmarkStart w:id="83" w:name="page84"/>
    <w:bookmarkEnd w:id="83"/>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Forest Creek CLO, Ltd.</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Long Grove CLO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Market Square CLO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Cumberland II CLO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Marquette Park CLO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Bridgeport CLO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Schiller Park CLO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Burr Ridge CLO Plus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Bridgeport CLO II Ltd.</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By: Deerfield Capital Management LLC, its Collateral Manager</w:t>
      </w:r>
    </w:p>
    <w:p>
      <w:pPr>
        <w:spacing w:after="0" w:line="24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Glenn Duffy</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Glenn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-130175</wp:posOffset>
            </wp:positionV>
            <wp:extent cx="25126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200"/>
          </w:cols>
          <w:pgMar w:left="1440" w:top="274" w:right="259" w:bottom="1440" w:gutter="0" w:footer="0" w:header="0"/>
        </w:sectPr>
      </w:pPr>
    </w:p>
    <w:bookmarkStart w:id="84" w:name="page85"/>
    <w:bookmarkEnd w:id="84"/>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ColumbusNova CLO Ltd. 2006-I</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ColumbusNova CLO Ltd. 2006-II</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ColumbusNova CLO Ltd. 2007-I</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ColumbusNova CLO IV Ltd. 2007-II</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Columbus Nova Credit Investments</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color w:val="auto"/>
        </w:rPr>
        <w:t>Management, LLC, its Collateral Manager</w:t>
      </w:r>
    </w:p>
    <w:p>
      <w:pPr>
        <w:spacing w:after="0" w:line="24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Glenn Duffy</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Glenn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-130175</wp:posOffset>
            </wp:positionV>
            <wp:extent cx="25126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9019"/>
          </w:cols>
          <w:pgMar w:left="1440" w:top="274" w:right="1440" w:bottom="1440" w:gutter="0" w:footer="0" w:header="0"/>
        </w:sectPr>
      </w:pPr>
    </w:p>
    <w:bookmarkStart w:id="85" w:name="page86"/>
    <w:bookmarkEnd w:id="85"/>
    <w:p>
      <w:pPr>
        <w:ind w:left="71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b w:val="1"/>
          <w:bCs w:val="1"/>
          <w:color w:val="auto"/>
        </w:rPr>
        <w:t>1</w:t>
      </w:r>
    </w:p>
    <w:p>
      <w:pPr>
        <w:spacing w:after="0" w:line="387" w:lineRule="exact"/>
        <w:rPr>
          <w:sz w:val="20"/>
          <w:szCs w:val="20"/>
          <w:color w:val="auto"/>
        </w:rPr>
      </w:pPr>
    </w:p>
    <w:p>
      <w:pPr>
        <w:ind w:left="7152"/>
        <w:spacing w:after="0"/>
        <w:rPr>
          <w:sz w:val="20"/>
          <w:szCs w:val="20"/>
          <w:color w:val="auto"/>
        </w:rPr>
      </w:pPr>
      <w:r>
        <w:rPr>
          <w:rFonts w:ascii="Times New Roman" w:cs="Times New Roman" w:eastAsia="Times New Roman" w:hAnsi="Times New Roman"/>
          <w:sz w:val="18"/>
          <w:szCs w:val="18"/>
          <w:b w:val="1"/>
          <w:bCs w:val="1"/>
          <w:color w:val="auto"/>
        </w:rPr>
        <w:t xml:space="preserve">GENESIS CLO 2007-2 </w:t>
      </w:r>
      <w:r>
        <w:rPr>
          <w:rFonts w:ascii="Times New Roman" w:cs="Times New Roman" w:eastAsia="Times New Roman" w:hAnsi="Times New Roman"/>
          <w:sz w:val="18"/>
          <w:szCs w:val="18"/>
          <w:color w:val="auto"/>
        </w:rPr>
        <w:t>LTD by LLCP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-128905</wp:posOffset>
            </wp:positionV>
            <wp:extent cx="2735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7152"/>
        <w:spacing w:after="0"/>
        <w:rPr>
          <w:sz w:val="20"/>
          <w:szCs w:val="20"/>
          <w:color w:val="auto"/>
        </w:rPr>
      </w:pPr>
      <w:r>
        <w:rPr>
          <w:rFonts w:ascii="Times New Roman" w:cs="Times New Roman" w:eastAsia="Times New Roman" w:hAnsi="Times New Roman"/>
          <w:sz w:val="16"/>
          <w:szCs w:val="16"/>
          <w:color w:val="auto"/>
        </w:rPr>
        <w:t>Advisors LLC as Collateral Manager, as a</w:t>
      </w:r>
    </w:p>
    <w:p>
      <w:pPr>
        <w:spacing w:after="0" w:line="32" w:lineRule="exact"/>
        <w:rPr>
          <w:sz w:val="20"/>
          <w:szCs w:val="20"/>
          <w:color w:val="auto"/>
        </w:rPr>
      </w:pPr>
    </w:p>
    <w:p>
      <w:pPr>
        <w:ind w:left="71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Steve Hartman</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Steve Hartman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-129540</wp:posOffset>
            </wp:positionV>
            <wp:extent cx="2735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21" w:lineRule="exact"/>
        <w:rPr>
          <w:sz w:val="20"/>
          <w:szCs w:val="20"/>
          <w:color w:val="auto"/>
        </w:rPr>
      </w:pPr>
    </w:p>
    <w:p>
      <w:pPr>
        <w:ind w:left="452" w:hanging="452"/>
        <w:spacing w:after="0"/>
        <w:tabs>
          <w:tab w:leader="none" w:pos="452" w:val="left"/>
        </w:tabs>
        <w:numPr>
          <w:ilvl w:val="0"/>
          <w:numId w:val="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bat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2" w:right="1440" w:bottom="1440" w:gutter="0" w:footer="0" w:header="0"/>
        </w:sectPr>
      </w:pPr>
    </w:p>
    <w:bookmarkStart w:id="86" w:name="page87"/>
    <w:bookmarkEnd w:id="86"/>
    <w:p>
      <w:pPr>
        <w:ind w:left="7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38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Goldman Sachs Asset Management CLO,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-130175</wp:posOffset>
            </wp:positionV>
            <wp:extent cx="2735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Public Limited Company</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Goldman Sachs Asset Manager, L.P. as Manager, as a</w:t>
      </w:r>
    </w:p>
    <w:p>
      <w:pPr>
        <w:spacing w:after="0" w:line="2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Jose Garrido</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Jose Garrido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-129540</wp:posOffset>
            </wp:positionV>
            <wp:extent cx="2735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21" w:lineRule="exact"/>
        <w:rPr>
          <w:sz w:val="20"/>
          <w:szCs w:val="20"/>
          <w:color w:val="auto"/>
        </w:rPr>
      </w:pPr>
    </w:p>
    <w:p>
      <w:pPr>
        <w:ind w:left="460" w:hanging="452"/>
        <w:spacing w:after="0"/>
        <w:tabs>
          <w:tab w:leader="none" w:pos="460" w:val="left"/>
        </w:tabs>
        <w:numPr>
          <w:ilvl w:val="0"/>
          <w:numId w:val="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bat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240"/>
          </w:cols>
          <w:pgMar w:left="240" w:top="274" w:right="419" w:bottom="1440" w:gutter="0" w:footer="0" w:header="0"/>
        </w:sectPr>
      </w:pPr>
    </w:p>
    <w:bookmarkStart w:id="87" w:name="page88"/>
    <w:bookmarkEnd w:id="8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5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The Sumitomo Trust &amp; Banking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-115570</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New York Branch, as a Consenting Lender</w:t>
      </w:r>
    </w:p>
    <w:p>
      <w:pPr>
        <w:spacing w:after="0" w:line="249" w:lineRule="exact"/>
        <w:rPr>
          <w:sz w:val="20"/>
          <w:szCs w:val="20"/>
          <w:color w:val="auto"/>
        </w:rPr>
      </w:pPr>
    </w:p>
    <w:p>
      <w:pPr>
        <w:ind w:left="6852"/>
        <w:spacing w:after="0"/>
        <w:tabs>
          <w:tab w:leader="none" w:pos="7252"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Albert C. Tew II</w:t>
      </w:r>
    </w:p>
    <w:p>
      <w:pPr>
        <w:spacing w:after="0" w:line="23"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color w:val="auto"/>
        </w:rPr>
        <w:t>Name: Albert C. Tew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-130175</wp:posOffset>
            </wp:positionV>
            <wp:extent cx="26930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72"/>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21" w:lineRule="exact"/>
        <w:rPr>
          <w:sz w:val="20"/>
          <w:szCs w:val="20"/>
          <w:color w:val="auto"/>
        </w:rPr>
      </w:pPr>
    </w:p>
    <w:p>
      <w:pPr>
        <w:ind w:left="452" w:hanging="452"/>
        <w:spacing w:after="0"/>
        <w:tabs>
          <w:tab w:leader="none" w:pos="452" w:val="left"/>
        </w:tabs>
        <w:numPr>
          <w:ilvl w:val="0"/>
          <w:numId w:val="7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88" w:name="page89"/>
    <w:bookmarkEnd w:id="8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AVENUE CLO FUND, LIMITED</w:t>
      </w:r>
    </w:p>
    <w:p>
      <w:pPr>
        <w:spacing w:after="0" w:line="9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AVENUE CLO II, LIMITED</w:t>
      </w:r>
    </w:p>
    <w:p>
      <w:pPr>
        <w:spacing w:after="0" w:line="9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AVENUE CLO III, LIMITED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[please print or type name of institution],</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4" w:lineRule="exact"/>
        <w:rPr>
          <w:sz w:val="20"/>
          <w:szCs w:val="20"/>
          <w:color w:val="auto"/>
        </w:rPr>
      </w:pPr>
    </w:p>
    <w:tbl>
      <w:tblPr>
        <w:tblLayout w:type="fixed"/>
        <w:tblInd w:w="6852"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 Srirman Balakrishnan</w:t>
            </w:r>
          </w:p>
        </w:tc>
      </w:tr>
      <w:tr>
        <w:trPr>
          <w:trHeight w:val="195"/>
        </w:trPr>
        <w:tc>
          <w:tcPr>
            <w:tcW w:w="58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Name:</w:t>
            </w:r>
          </w:p>
        </w:tc>
        <w:tc>
          <w:tcPr>
            <w:tcW w:w="39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b w:val="1"/>
                <w:bCs w:val="1"/>
                <w:color w:val="auto"/>
              </w:rPr>
              <w:t>Srirman Balakrishnan</w:t>
            </w: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PORTFOLIO MANAGER</w:t>
            </w:r>
          </w:p>
        </w:tc>
      </w:tr>
    </w:tbl>
    <w:p>
      <w:pPr>
        <w:spacing w:after="0" w:line="112" w:lineRule="exact"/>
        <w:rPr>
          <w:sz w:val="20"/>
          <w:szCs w:val="20"/>
          <w:color w:val="auto"/>
        </w:rPr>
      </w:pPr>
    </w:p>
    <w:p>
      <w:pPr>
        <w:ind w:left="452" w:hanging="452"/>
        <w:spacing w:after="0"/>
        <w:tabs>
          <w:tab w:leader="none" w:pos="452" w:val="left"/>
        </w:tabs>
        <w:numPr>
          <w:ilvl w:val="0"/>
          <w:numId w:val="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Only Lenders who approve the amendment but are not prepared to </w:t>
      </w:r>
      <w:r>
        <w:rPr>
          <w:rFonts w:ascii="Times New Roman" w:cs="Times New Roman" w:eastAsia="Times New Roman" w:hAnsi="Times New Roman"/>
          <w:sz w:val="18"/>
          <w:szCs w:val="18"/>
          <w:i w:val="1"/>
          <w:iCs w:val="1"/>
          <w:color w:val="auto"/>
        </w:rPr>
        <w:t>be</w:t>
      </w:r>
      <w:r>
        <w:rPr>
          <w:rFonts w:ascii="Times New Roman" w:cs="Times New Roman" w:eastAsia="Times New Roman" w:hAnsi="Times New Roman"/>
          <w:sz w:val="18"/>
          <w:szCs w:val="18"/>
          <w:color w:val="auto"/>
        </w:rPr>
        <w:t xml:space="preserv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89" w:name="page90"/>
    <w:bookmarkEnd w:id="8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TRALEE CDO I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[please print or type name of institution],</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Consenting Lender</w:t>
      </w:r>
    </w:p>
    <w:p>
      <w:pPr>
        <w:spacing w:after="0" w:line="224" w:lineRule="exact"/>
        <w:rPr>
          <w:sz w:val="20"/>
          <w:szCs w:val="20"/>
          <w:color w:val="auto"/>
        </w:rPr>
      </w:pPr>
    </w:p>
    <w:tbl>
      <w:tblPr>
        <w:tblLayout w:type="fixed"/>
        <w:tblInd w:w="6852"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 Joseph Matteo</w:t>
            </w:r>
          </w:p>
        </w:tc>
      </w:tr>
      <w:tr>
        <w:trPr>
          <w:trHeight w:val="195"/>
        </w:trPr>
        <w:tc>
          <w:tcPr>
            <w:tcW w:w="58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Name:</w:t>
            </w:r>
          </w:p>
        </w:tc>
        <w:tc>
          <w:tcPr>
            <w:tcW w:w="39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b w:val="1"/>
                <w:bCs w:val="1"/>
                <w:color w:val="auto"/>
              </w:rPr>
              <w:t>Joseph Matteo</w:t>
            </w: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7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90" w:name="page91"/>
    <w:bookmarkEnd w:id="90"/>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Ballyrock CLO II Limited, By; Ballyrock Investment Advisors</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LLC, as Collateral Manager, as a Consenting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 Lisa Rymut</w:t>
            </w:r>
          </w:p>
        </w:tc>
      </w:tr>
      <w:tr>
        <w:trPr>
          <w:trHeight w:val="195"/>
        </w:trPr>
        <w:tc>
          <w:tcPr>
            <w:tcW w:w="58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Name:</w:t>
            </w:r>
          </w:p>
        </w:tc>
        <w:tc>
          <w:tcPr>
            <w:tcW w:w="39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b w:val="1"/>
                <w:bCs w:val="1"/>
                <w:color w:val="auto"/>
              </w:rPr>
              <w:t>Lisa Rymut</w:t>
            </w: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Assistant Treasurer</w:t>
            </w:r>
          </w:p>
        </w:tc>
      </w:tr>
    </w:tbl>
    <w:p>
      <w:pPr>
        <w:sectPr>
          <w:pgSz w:w="11900" w:h="16838" w:orient="portrait"/>
          <w:cols w:equalWidth="0" w:num="1">
            <w:col w:w="10220"/>
          </w:cols>
          <w:pgMar w:left="1440" w:top="274" w:right="239" w:bottom="1440" w:gutter="0" w:footer="0" w:header="0"/>
        </w:sectPr>
      </w:pPr>
    </w:p>
    <w:bookmarkStart w:id="91" w:name="page92"/>
    <w:bookmarkEnd w:id="91"/>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Ballyrock CLO III Limited, By: Ballyrock Investment Advisors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LLC, as Collateral Manager, as a Consenting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 Lisa Rymut</w:t>
            </w:r>
          </w:p>
        </w:tc>
      </w:tr>
      <w:tr>
        <w:trPr>
          <w:trHeight w:val="195"/>
        </w:trPr>
        <w:tc>
          <w:tcPr>
            <w:tcW w:w="58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Name:</w:t>
            </w:r>
          </w:p>
        </w:tc>
        <w:tc>
          <w:tcPr>
            <w:tcW w:w="39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b w:val="1"/>
                <w:bCs w:val="1"/>
                <w:color w:val="auto"/>
              </w:rPr>
              <w:t>Lisa Rymut</w:t>
            </w: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Assistant Treasurer</w:t>
            </w:r>
          </w:p>
        </w:tc>
      </w:tr>
    </w:tbl>
    <w:p>
      <w:pPr>
        <w:sectPr>
          <w:pgSz w:w="11900" w:h="16838" w:orient="portrait"/>
          <w:cols w:equalWidth="0" w:num="1">
            <w:col w:w="10220"/>
          </w:cols>
          <w:pgMar w:left="1440" w:top="274" w:right="239" w:bottom="1440" w:gutter="0" w:footer="0" w:header="0"/>
        </w:sectPr>
      </w:pPr>
    </w:p>
    <w:bookmarkStart w:id="92" w:name="page93"/>
    <w:bookmarkEnd w:id="92"/>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Ballyrock CLO 2006-1 Limited, By: Investment Advisors LLC,</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 xml:space="preserve">as </w:t>
      </w:r>
      <w:r>
        <w:rPr>
          <w:rFonts w:ascii="Times New Roman" w:cs="Times New Roman" w:eastAsia="Times New Roman" w:hAnsi="Times New Roman"/>
          <w:sz w:val="18"/>
          <w:szCs w:val="18"/>
          <w:color w:val="auto"/>
        </w:rPr>
        <w:t>Collateral Manager, as a Consenting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 Lisa Rymut</w:t>
            </w:r>
          </w:p>
        </w:tc>
      </w:tr>
      <w:tr>
        <w:trPr>
          <w:trHeight w:val="195"/>
        </w:trPr>
        <w:tc>
          <w:tcPr>
            <w:tcW w:w="58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Name:</w:t>
            </w:r>
          </w:p>
        </w:tc>
        <w:tc>
          <w:tcPr>
            <w:tcW w:w="39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b w:val="1"/>
                <w:bCs w:val="1"/>
                <w:color w:val="auto"/>
              </w:rPr>
              <w:t>Lisa Rymut</w:t>
            </w: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Assistant Treasurer</w:t>
            </w:r>
          </w:p>
        </w:tc>
      </w:tr>
    </w:tbl>
    <w:p>
      <w:pPr>
        <w:sectPr>
          <w:pgSz w:w="11900" w:h="16838" w:orient="portrait"/>
          <w:cols w:equalWidth="0" w:num="1">
            <w:col w:w="10220"/>
          </w:cols>
          <w:pgMar w:left="1440" w:top="274" w:right="239" w:bottom="1440" w:gutter="0" w:footer="0" w:header="0"/>
        </w:sectPr>
      </w:pPr>
    </w:p>
    <w:bookmarkStart w:id="93" w:name="page94"/>
    <w:bookmarkEnd w:id="93"/>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Ballyrock CLO 2006-2 Limited, By: Ballyrock investment</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Advisors LLC, as Collateral Manager, as a Consenting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 Lisa Rymut</w:t>
            </w:r>
          </w:p>
        </w:tc>
      </w:tr>
      <w:tr>
        <w:trPr>
          <w:trHeight w:val="195"/>
        </w:trPr>
        <w:tc>
          <w:tcPr>
            <w:tcW w:w="58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Name:</w:t>
            </w:r>
          </w:p>
        </w:tc>
        <w:tc>
          <w:tcPr>
            <w:tcW w:w="39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b w:val="1"/>
                <w:bCs w:val="1"/>
                <w:color w:val="auto"/>
              </w:rPr>
              <w:t>Lisa Rymut</w:t>
            </w:r>
          </w:p>
        </w:tc>
      </w:t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Assistant Treasurer</w:t>
            </w:r>
          </w:p>
        </w:tc>
      </w:tr>
    </w:tbl>
    <w:p>
      <w:pPr>
        <w:sectPr>
          <w:pgSz w:w="11900" w:h="16838" w:orient="portrait"/>
          <w:cols w:equalWidth="0" w:num="1">
            <w:col w:w="10220"/>
          </w:cols>
          <w:pgMar w:left="1440" w:top="274" w:right="239" w:bottom="1440" w:gutter="0" w:footer="0" w:header="0"/>
        </w:sectPr>
      </w:pPr>
    </w:p>
    <w:bookmarkStart w:id="94" w:name="page95"/>
    <w:bookmarkEnd w:id="9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Black Diamond CLO 2005-1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Black Diamond CLO 2005-1 Adviser,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As Its Collateral Manager</w:t>
      </w:r>
    </w:p>
    <w:p>
      <w:pPr>
        <w:spacing w:after="0" w:line="373" w:lineRule="exact"/>
        <w:rPr>
          <w:sz w:val="20"/>
          <w:szCs w:val="20"/>
          <w:color w:val="auto"/>
        </w:rPr>
      </w:pPr>
    </w:p>
    <w:p>
      <w:pPr>
        <w:ind w:left="723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-114300</wp:posOffset>
            </wp:positionV>
            <wp:extent cx="2718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6" w:lineRule="exact"/>
        <w:rPr>
          <w:sz w:val="20"/>
          <w:szCs w:val="20"/>
          <w:color w:val="auto"/>
        </w:rPr>
      </w:pPr>
    </w:p>
    <w:p>
      <w:pPr>
        <w:ind w:left="723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Stephen H. Deckoff</w:t>
      </w:r>
    </w:p>
    <w:p>
      <w:pPr>
        <w:spacing w:after="0" w:line="23" w:lineRule="exact"/>
        <w:rPr>
          <w:sz w:val="20"/>
          <w:szCs w:val="20"/>
          <w:color w:val="auto"/>
        </w:rPr>
      </w:pPr>
    </w:p>
    <w:p>
      <w:pPr>
        <w:ind w:left="7232"/>
        <w:spacing w:after="0"/>
        <w:rPr>
          <w:sz w:val="20"/>
          <w:szCs w:val="20"/>
          <w:color w:val="auto"/>
        </w:rPr>
      </w:pPr>
      <w:r>
        <w:rPr>
          <w:rFonts w:ascii="Times New Roman" w:cs="Times New Roman" w:eastAsia="Times New Roman" w:hAnsi="Times New Roman"/>
          <w:sz w:val="18"/>
          <w:szCs w:val="18"/>
          <w:color w:val="auto"/>
        </w:rPr>
        <w:t>Name: Stephen H. Deckoff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-130175</wp:posOffset>
            </wp:positionV>
            <wp:extent cx="2718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32"/>
        <w:spacing w:after="0"/>
        <w:rPr>
          <w:sz w:val="20"/>
          <w:szCs w:val="20"/>
          <w:color w:val="auto"/>
        </w:rPr>
      </w:pPr>
      <w:r>
        <w:rPr>
          <w:rFonts w:ascii="Times New Roman" w:cs="Times New Roman" w:eastAsia="Times New Roman" w:hAnsi="Times New Roman"/>
          <w:sz w:val="18"/>
          <w:szCs w:val="18"/>
          <w:color w:val="auto"/>
        </w:rPr>
        <w:t>Title:  Managing Principal</w:t>
      </w:r>
    </w:p>
    <w:p>
      <w:pPr>
        <w:spacing w:after="0" w:line="121" w:lineRule="exact"/>
        <w:rPr>
          <w:sz w:val="20"/>
          <w:szCs w:val="20"/>
          <w:color w:val="auto"/>
        </w:rPr>
      </w:pPr>
    </w:p>
    <w:p>
      <w:pPr>
        <w:ind w:left="452" w:hanging="452"/>
        <w:spacing w:after="0"/>
        <w:tabs>
          <w:tab w:leader="none" w:pos="452" w:val="left"/>
        </w:tabs>
        <w:numPr>
          <w:ilvl w:val="0"/>
          <w:numId w:val="7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172"/>
          </w:cols>
          <w:pgMar w:left="248" w:top="274" w:right="479" w:bottom="1440" w:gutter="0" w:footer="0" w:header="0"/>
        </w:sectPr>
      </w:pPr>
    </w:p>
    <w:bookmarkStart w:id="95" w:name="page96"/>
    <w:bookmarkEnd w:id="9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Genesis CLO 2007-1 Ltd.</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Consenting Lender</w:t>
      </w:r>
    </w:p>
    <w:p>
      <w:pPr>
        <w:spacing w:after="0" w:line="19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GLG Ore Hill LLC</w:t>
      </w:r>
      <w:r>
        <w:rPr>
          <w:rFonts w:ascii="Times New Roman" w:cs="Times New Roman" w:eastAsia="Times New Roman" w:hAnsi="Times New Roman"/>
          <w:sz w:val="22"/>
          <w:szCs w:val="22"/>
          <w:color w:val="auto"/>
          <w:vertAlign w:val="subscript"/>
        </w:rPr>
        <w:t>r</w:t>
      </w:r>
      <w:r>
        <w:rPr>
          <w:rFonts w:ascii="Times New Roman" w:cs="Times New Roman" w:eastAsia="Times New Roman" w:hAnsi="Times New Roman"/>
          <w:sz w:val="18"/>
          <w:szCs w:val="18"/>
          <w:color w:val="auto"/>
        </w:rPr>
        <w:t xml:space="preserve"> its Collateral Manager</w:t>
      </w:r>
    </w:p>
    <w:p>
      <w:pPr>
        <w:spacing w:after="0" w:line="238"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Marshall E. Sterns</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Marshall E. Stearns</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12" w:lineRule="exact"/>
        <w:rPr>
          <w:sz w:val="20"/>
          <w:szCs w:val="20"/>
          <w:color w:val="auto"/>
        </w:rPr>
      </w:pPr>
    </w:p>
    <w:p>
      <w:pPr>
        <w:ind w:left="452" w:hanging="452"/>
        <w:spacing w:after="0"/>
        <w:tabs>
          <w:tab w:leader="none" w:pos="452" w:val="left"/>
        </w:tabs>
        <w:numPr>
          <w:ilvl w:val="0"/>
          <w:numId w:val="7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96" w:name="page97"/>
    <w:bookmarkEnd w:id="9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Allied Irish Banks p.l.c., as a</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Jim Dennehy</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Jim Dennehy</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Edwin Holmes</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Edwin Holmes</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112" w:lineRule="exact"/>
        <w:rPr>
          <w:sz w:val="20"/>
          <w:szCs w:val="20"/>
          <w:color w:val="auto"/>
        </w:rPr>
      </w:pPr>
    </w:p>
    <w:p>
      <w:pPr>
        <w:ind w:left="452" w:hanging="452"/>
        <w:spacing w:after="0"/>
        <w:tabs>
          <w:tab w:leader="none" w:pos="452"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97" w:name="page98"/>
    <w:bookmarkEnd w:id="9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GULF STREAM-COMPASS CLO 2003-1,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GULF STREAM-COMPASS CLO 2004-1,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GULF STREAM-COMPASS CLO 2005-U,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GULF STREAM-SEXTANT CLO 2007-1,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GULF STREAM-COMPASS CLO 2007,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NEPTUNE FINANCE CCS, LTD.</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Gulf Stream Asset Management LLC</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25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Barry K. Love</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Barry K. Love</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Credit Officer</w:t>
            </w:r>
          </w:p>
        </w:tc>
      </w:tr>
    </w:tbl>
    <w:p>
      <w:pPr>
        <w:spacing w:after="0" w:line="112" w:lineRule="exact"/>
        <w:rPr>
          <w:sz w:val="20"/>
          <w:szCs w:val="20"/>
          <w:color w:val="auto"/>
        </w:rPr>
      </w:pPr>
    </w:p>
    <w:p>
      <w:pPr>
        <w:ind w:left="452" w:hanging="452"/>
        <w:spacing w:after="0"/>
        <w:tabs>
          <w:tab w:leader="none" w:pos="452" w:val="left"/>
        </w:tabs>
        <w:numPr>
          <w:ilvl w:val="0"/>
          <w:numId w:val="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98" w:name="page99"/>
    <w:bookmarkEnd w:id="9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Wells Fargo Principal Lending, LLC (f.k.a The Foothill Group,</w:t>
      </w:r>
    </w:p>
    <w:p>
      <w:pPr>
        <w:spacing w:after="0" w:line="4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LLC)</w:t>
      </w:r>
    </w:p>
    <w:p>
      <w:pPr>
        <w:spacing w:after="0" w:line="238"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Jack Salehian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Jack Salehian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7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99" w:name="page100"/>
    <w:bookmarkEnd w:id="9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Foothill CLO I,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The Foothill Group, Inc., as attorney-in-fact</w:t>
      </w:r>
    </w:p>
    <w:p>
      <w:pPr>
        <w:spacing w:after="0" w:line="225"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Jack Salehian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Jack Salehian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12" w:lineRule="exact"/>
        <w:rPr>
          <w:sz w:val="20"/>
          <w:szCs w:val="20"/>
          <w:color w:val="auto"/>
        </w:rPr>
      </w:pPr>
    </w:p>
    <w:p>
      <w:pPr>
        <w:ind w:left="452" w:hanging="452"/>
        <w:spacing w:after="0"/>
        <w:tabs>
          <w:tab w:leader="none" w:pos="452" w:val="left"/>
        </w:tabs>
        <w:numPr>
          <w:ilvl w:val="0"/>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00" w:name="page101"/>
    <w:bookmarkEnd w:id="10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UNITED HEALTHCARE INSURANCE COMPANY</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GSO Capital Advisors LLC as Manager, as an Extending</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and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Daniel H. Smith</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Daniel H. Smith'</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01" w:name="page102"/>
    <w:bookmarkEnd w:id="10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1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CALLIDUS DEBT PARTNERS CLO FUND III,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GSO / Blackstone Debt Funds Management LLC as</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Collateral Manager, as an Extending and Consenting Lender</w:t>
      </w:r>
    </w:p>
    <w:p>
      <w:pPr>
        <w:spacing w:after="0" w:line="24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Daniel H. Smith</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Authorized Signatory</w:t>
      </w:r>
    </w:p>
    <w:p>
      <w:pPr>
        <w:spacing w:after="0" w:line="134" w:lineRule="exact"/>
        <w:rPr>
          <w:sz w:val="20"/>
          <w:szCs w:val="20"/>
          <w:color w:val="auto"/>
        </w:rPr>
      </w:pPr>
    </w:p>
    <w:p>
      <w:pPr>
        <w:ind w:left="452" w:hanging="452"/>
        <w:spacing w:after="0"/>
        <w:tabs>
          <w:tab w:leader="none" w:pos="452" w:val="left"/>
        </w:tabs>
        <w:numPr>
          <w:ilvl w:val="0"/>
          <w:numId w:val="8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092"/>
          </w:cols>
          <w:pgMar w:left="248" w:top="274" w:right="559" w:bottom="1440" w:gutter="0" w:footer="0" w:header="0"/>
        </w:sectPr>
      </w:pPr>
    </w:p>
    <w:bookmarkStart w:id="102" w:name="page103"/>
    <w:bookmarkEnd w:id="10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CALLIDUS DEBT PARTNERS CLO FUND IV,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GSO/ Blackstone Debt Funds Management</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LLC as Collateral Manager, as an Extending and Consenting</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Daniel H. Smith</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Authored Signatory</w:t>
      </w:r>
    </w:p>
    <w:p>
      <w:pPr>
        <w:spacing w:after="0" w:line="121" w:lineRule="exact"/>
        <w:rPr>
          <w:sz w:val="20"/>
          <w:szCs w:val="20"/>
          <w:color w:val="auto"/>
        </w:rPr>
      </w:pPr>
    </w:p>
    <w:p>
      <w:pPr>
        <w:ind w:left="452" w:hanging="452"/>
        <w:spacing w:after="0"/>
        <w:tabs>
          <w:tab w:leader="none" w:pos="452"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112"/>
          </w:cols>
          <w:pgMar w:left="248" w:top="274" w:right="539" w:bottom="1440" w:gutter="0" w:footer="0" w:header="0"/>
        </w:sectPr>
      </w:pPr>
    </w:p>
    <w:bookmarkStart w:id="103" w:name="page104"/>
    <w:bookmarkEnd w:id="10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CALLIDUS DEBT PARTNERS CLO FUND V,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GSO/Blackstone Debt Funds Management: LLC as</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Collateral Manager, as an Extending and Consenting Lender</w:t>
      </w:r>
    </w:p>
    <w:p>
      <w:pPr>
        <w:spacing w:after="0" w:line="23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Daniel H. Smith</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21" w:lineRule="exact"/>
        <w:rPr>
          <w:sz w:val="20"/>
          <w:szCs w:val="20"/>
          <w:color w:val="auto"/>
        </w:rPr>
      </w:pPr>
    </w:p>
    <w:p>
      <w:pPr>
        <w:ind w:left="452" w:hanging="452"/>
        <w:spacing w:after="0"/>
        <w:tabs>
          <w:tab w:leader="none" w:pos="452" w:val="left"/>
        </w:tabs>
        <w:numPr>
          <w:ilvl w:val="0"/>
          <w:numId w:val="8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092"/>
          </w:cols>
          <w:pgMar w:left="248" w:top="274" w:right="559" w:bottom="1440" w:gutter="0" w:footer="0" w:header="0"/>
        </w:sectPr>
      </w:pPr>
    </w:p>
    <w:bookmarkStart w:id="104" w:name="page105"/>
    <w:bookmarkEnd w:id="10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CALLIDUS DEBT PARTNERS CLO FUND VI,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GSO/ Blackstone Debt Funds Management LLC as</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Collateral Manager, as an Extending and Consenting Lender</w:t>
      </w:r>
    </w:p>
    <w:p>
      <w:pPr>
        <w:spacing w:after="0" w:line="23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Daniel H. Smith</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21" w:lineRule="exact"/>
        <w:rPr>
          <w:sz w:val="20"/>
          <w:szCs w:val="20"/>
          <w:color w:val="auto"/>
        </w:rPr>
      </w:pPr>
    </w:p>
    <w:p>
      <w:pPr>
        <w:ind w:left="452" w:hanging="452"/>
        <w:spacing w:after="0"/>
        <w:tabs>
          <w:tab w:leader="none" w:pos="452" w:val="left"/>
        </w:tabs>
        <w:numPr>
          <w:ilvl w:val="0"/>
          <w:numId w:val="8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092"/>
          </w:cols>
          <w:pgMar w:left="248" w:top="274" w:right="559" w:bottom="1440" w:gutter="0" w:footer="0" w:header="0"/>
        </w:sectPr>
      </w:pPr>
    </w:p>
    <w:bookmarkStart w:id="105" w:name="page106"/>
    <w:bookmarkEnd w:id="10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b w:val="1"/>
          <w:bCs w:val="1"/>
          <w:color w:val="auto"/>
        </w:rPr>
        <w:t>CALLIDUS DEBT PARTNERS CLO FUND VII, LTD.</w:t>
      </w:r>
    </w:p>
    <w:p>
      <w:pPr>
        <w:spacing w:after="0" w:line="4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GSO/ Blackstone Debt Funds Management LLC as</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Collateral Manager, as an Extending and Consenting Lender</w:t>
      </w:r>
    </w:p>
    <w:p>
      <w:pPr>
        <w:spacing w:after="0" w:line="23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Daniel H. Smith</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21" w:lineRule="exact"/>
        <w:rPr>
          <w:sz w:val="20"/>
          <w:szCs w:val="20"/>
          <w:color w:val="auto"/>
        </w:rPr>
      </w:pPr>
    </w:p>
    <w:p>
      <w:pPr>
        <w:ind w:left="452" w:hanging="452"/>
        <w:spacing w:after="0"/>
        <w:tabs>
          <w:tab w:leader="none" w:pos="452" w:val="left"/>
        </w:tabs>
        <w:numPr>
          <w:ilvl w:val="0"/>
          <w:numId w:val="8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092"/>
          </w:cols>
          <w:pgMar w:left="248" w:top="274" w:right="559" w:bottom="1440" w:gutter="0" w:footer="0" w:header="0"/>
        </w:sectPr>
      </w:pPr>
    </w:p>
    <w:bookmarkStart w:id="106" w:name="page107"/>
    <w:bookmarkEnd w:id="10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SSEX</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ARK</w:t>
      </w:r>
      <w:r>
        <w:rPr>
          <w:rFonts w:ascii="Times New Roman" w:cs="Times New Roman" w:eastAsia="Times New Roman" w:hAnsi="Times New Roman"/>
          <w:sz w:val="18"/>
          <w:szCs w:val="18"/>
          <w:b w:val="1"/>
          <w:bCs w:val="1"/>
          <w:color w:val="auto"/>
        </w:rPr>
        <w:t xml:space="preserve"> CDO L</w:t>
      </w:r>
      <w:r>
        <w:rPr>
          <w:rFonts w:ascii="Times New Roman" w:cs="Times New Roman" w:eastAsia="Times New Roman" w:hAnsi="Times New Roman"/>
          <w:sz w:val="14"/>
          <w:szCs w:val="14"/>
          <w:b w:val="1"/>
          <w:bCs w:val="1"/>
          <w:color w:val="auto"/>
        </w:rPr>
        <w:t>TD</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Blackstone Debt Advisors L.P.</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as Collateral Manager, as an Extending and Consenting Lender</w:t>
      </w:r>
    </w:p>
    <w:p>
      <w:pPr>
        <w:spacing w:after="0" w:line="24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Daniel H. Smith</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21" w:lineRule="exact"/>
        <w:rPr>
          <w:sz w:val="20"/>
          <w:szCs w:val="20"/>
          <w:color w:val="auto"/>
        </w:rPr>
      </w:pPr>
    </w:p>
    <w:p>
      <w:pPr>
        <w:ind w:left="452" w:hanging="452"/>
        <w:spacing w:after="0"/>
        <w:tabs>
          <w:tab w:leader="none" w:pos="452" w:val="left"/>
        </w:tabs>
        <w:numPr>
          <w:ilvl w:val="0"/>
          <w:numId w:val="8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292"/>
          </w:cols>
          <w:pgMar w:left="248" w:top="274" w:right="359" w:bottom="1440" w:gutter="0" w:footer="0" w:header="0"/>
        </w:sectPr>
      </w:pPr>
    </w:p>
    <w:bookmarkStart w:id="107" w:name="page108"/>
    <w:bookmarkEnd w:id="10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Longhorn CDP III LTD.</w:t>
      </w:r>
    </w:p>
    <w:p>
      <w:pPr>
        <w:spacing w:after="0" w:line="21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3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C. Adrian Marshall</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C. Adrian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2" w:lineRule="exact"/>
        <w:rPr>
          <w:sz w:val="20"/>
          <w:szCs w:val="20"/>
          <w:color w:val="auto"/>
        </w:rPr>
      </w:pPr>
    </w:p>
    <w:p>
      <w:pPr>
        <w:ind w:left="452" w:hanging="452"/>
        <w:spacing w:after="0"/>
        <w:tabs>
          <w:tab w:leader="none" w:pos="452" w:val="left"/>
        </w:tabs>
        <w:numPr>
          <w:ilvl w:val="0"/>
          <w:numId w:val="8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108" w:name="page109"/>
    <w:bookmarkEnd w:id="10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Galaxy III CLO,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PineBridge Investments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its Collateral Manager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Galaxy IV CLO,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PineBridge Investments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its Collateral Manager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Galaxy V CLO,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PineBridge Investments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its Collateral Manager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Galaxy VI CLO,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PineBridge Investments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its Collateral Manager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Galaxy VIII CLO,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PineBridge Investments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Its Collateral Manager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Saturn CLO,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PineBridge Investments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its Collateral Manager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Validus Reinsurance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PineBridge Investments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67"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-114300</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00" w:lineRule="exact"/>
        <w:rPr>
          <w:sz w:val="20"/>
          <w:szCs w:val="20"/>
          <w:color w:val="auto"/>
        </w:rPr>
      </w:pPr>
    </w:p>
    <w:p>
      <w:pPr>
        <w:spacing w:after="0" w:line="215" w:lineRule="exact"/>
        <w:rPr>
          <w:sz w:val="20"/>
          <w:szCs w:val="20"/>
          <w:color w:val="auto"/>
        </w:rPr>
      </w:pPr>
    </w:p>
    <w:p>
      <w:pPr>
        <w:ind w:left="7992"/>
        <w:spacing w:after="0"/>
        <w:rPr>
          <w:sz w:val="20"/>
          <w:szCs w:val="20"/>
          <w:color w:val="auto"/>
        </w:rPr>
      </w:pPr>
      <w:r>
        <w:rPr>
          <w:rFonts w:ascii="Times New Roman" w:cs="Times New Roman" w:eastAsia="Times New Roman" w:hAnsi="Times New Roman"/>
          <w:sz w:val="18"/>
          <w:szCs w:val="18"/>
          <w:color w:val="auto"/>
        </w:rPr>
        <w:t>By: /s/ W. Jeffery Baxter</w:t>
      </w:r>
    </w:p>
    <w:p>
      <w:pPr>
        <w:spacing w:after="0" w:line="21" w:lineRule="exact"/>
        <w:rPr>
          <w:sz w:val="20"/>
          <w:szCs w:val="20"/>
          <w:color w:val="auto"/>
        </w:rPr>
      </w:pPr>
    </w:p>
    <w:p>
      <w:pPr>
        <w:ind w:left="7992"/>
        <w:spacing w:after="0"/>
        <w:rPr>
          <w:sz w:val="20"/>
          <w:szCs w:val="20"/>
          <w:color w:val="auto"/>
        </w:rPr>
      </w:pPr>
      <w:r>
        <w:rPr>
          <w:rFonts w:ascii="Times New Roman" w:cs="Times New Roman" w:eastAsia="Times New Roman" w:hAnsi="Times New Roman"/>
          <w:sz w:val="18"/>
          <w:szCs w:val="18"/>
          <w:color w:val="auto"/>
        </w:rPr>
        <w:t>Name: W. Jeffery Baxter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5240020</wp:posOffset>
            </wp:positionH>
            <wp:positionV relativeFrom="paragraph">
              <wp:posOffset>-129540</wp:posOffset>
            </wp:positionV>
            <wp:extent cx="20066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ind w:left="7992"/>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21" w:lineRule="exact"/>
        <w:rPr>
          <w:sz w:val="20"/>
          <w:szCs w:val="20"/>
          <w:color w:val="auto"/>
        </w:rPr>
      </w:pPr>
    </w:p>
    <w:p>
      <w:pPr>
        <w:ind w:left="452" w:hanging="452"/>
        <w:spacing w:after="0"/>
        <w:tabs>
          <w:tab w:leader="none" w:pos="452" w:val="left"/>
        </w:tabs>
        <w:numPr>
          <w:ilvl w:val="0"/>
          <w:numId w:val="8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12"/>
          </w:cols>
          <w:pgMar w:left="248" w:top="274" w:right="739" w:bottom="1440" w:gutter="0" w:footer="0" w:header="0"/>
        </w:sectPr>
      </w:pPr>
    </w:p>
    <w:bookmarkStart w:id="109" w:name="page110"/>
    <w:bookmarkEnd w:id="10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 xml:space="preserve">CANARAS SUMMHT </w:t>
      </w:r>
      <w:r>
        <w:rPr>
          <w:rFonts w:ascii="Times New Roman" w:cs="Times New Roman" w:eastAsia="Times New Roman" w:hAnsi="Times New Roman"/>
          <w:sz w:val="18"/>
          <w:szCs w:val="18"/>
          <w:i w:val="1"/>
          <w:iCs w:val="1"/>
          <w:color w:val="auto"/>
        </w:rPr>
        <w:t>CLO</w:t>
      </w:r>
      <w:r>
        <w:rPr>
          <w:rFonts w:ascii="Times New Roman" w:cs="Times New Roman" w:eastAsia="Times New Roman" w:hAnsi="Times New Roman"/>
          <w:sz w:val="18"/>
          <w:szCs w:val="18"/>
          <w:color w:val="auto"/>
        </w:rPr>
        <w:t xml:space="preserve">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Canals Capital Management LLC</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Sub-Investment Adviser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/s/ W. Benjamin S. Steger, CFA</w:t>
      </w:r>
    </w:p>
    <w:p>
      <w:pPr>
        <w:spacing w:after="0" w:line="4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Benjamin S. Steger,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21" w:lineRule="exact"/>
        <w:rPr>
          <w:sz w:val="20"/>
          <w:szCs w:val="20"/>
          <w:color w:val="auto"/>
        </w:rPr>
      </w:pPr>
    </w:p>
    <w:p>
      <w:pPr>
        <w:ind w:left="452" w:hanging="452"/>
        <w:spacing w:after="0"/>
        <w:tabs>
          <w:tab w:leader="none" w:pos="452" w:val="left"/>
        </w:tabs>
        <w:numPr>
          <w:ilvl w:val="0"/>
          <w:numId w:val="9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110" w:name="page111"/>
    <w:bookmarkEnd w:id="110"/>
    <w:p>
      <w:pPr>
        <w:jc w:val="center"/>
        <w:ind w:right="-119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169" w:lineRule="exact"/>
        <w:rPr>
          <w:sz w:val="20"/>
          <w:szCs w:val="20"/>
          <w:color w:val="auto"/>
        </w:rPr>
      </w:pPr>
    </w:p>
    <w:p>
      <w:pPr>
        <w:jc w:val="center"/>
        <w:ind w:right="-1192"/>
        <w:spacing w:after="0"/>
        <w:rPr>
          <w:sz w:val="20"/>
          <w:szCs w:val="20"/>
          <w:color w:val="auto"/>
        </w:rPr>
      </w:pPr>
      <w:r>
        <w:rPr>
          <w:rFonts w:ascii="Times New Roman" w:cs="Times New Roman" w:eastAsia="Times New Roman" w:hAnsi="Times New Roman"/>
          <w:sz w:val="18"/>
          <w:szCs w:val="18"/>
          <w:i w:val="1"/>
          <w:iCs w:val="1"/>
          <w:u w:val="single" w:color="auto"/>
          <w:color w:val="auto"/>
        </w:rPr>
        <w:t>Green Island CBNA Loan Funding LLC, by Citibank, 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a Consenting Lender</w:t>
      </w:r>
    </w:p>
    <w:p>
      <w:pPr>
        <w:spacing w:after="0" w:line="21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Emily Chong</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Emily Chong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Director</w:t>
      </w:r>
    </w:p>
    <w:p>
      <w:pPr>
        <w:spacing w:after="0" w:line="132" w:lineRule="exact"/>
        <w:rPr>
          <w:sz w:val="20"/>
          <w:szCs w:val="20"/>
          <w:color w:val="auto"/>
        </w:rPr>
      </w:pPr>
    </w:p>
    <w:p>
      <w:pPr>
        <w:ind w:left="452" w:hanging="452"/>
        <w:spacing w:after="0"/>
        <w:tabs>
          <w:tab w:leader="none" w:pos="452" w:val="left"/>
        </w:tabs>
        <w:numPr>
          <w:ilvl w:val="0"/>
          <w:numId w:val="9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Only Lenders who approve the amendment but are not prepared to be Extending and Consenting Lenders should sign 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111" w:name="page112"/>
    <w:bookmarkEnd w:id="11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00" w:lineRule="exact"/>
        <w:rPr>
          <w:sz w:val="20"/>
          <w:szCs w:val="20"/>
          <w:color w:val="auto"/>
        </w:rPr>
      </w:pPr>
    </w:p>
    <w:p>
      <w:pPr>
        <w:spacing w:after="0" w:line="20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Greywolf CLO I</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8"/>
          <w:szCs w:val="18"/>
          <w:color w:val="auto"/>
        </w:rPr>
        <w:t xml:space="preserv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-121920</wp:posOffset>
            </wp:positionV>
            <wp:extent cx="28987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Greywolf Capital Management LP, its</w:t>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Investment Manager, as a Consenting 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William Troy</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William Troy</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9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12" w:name="page113"/>
    <w:bookmarkEnd w:id="11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LMP Corporate Loan Fund, Inc,</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Citi Alternative Investments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Roger Yee</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Roger Yee</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VP</w:t>
            </w:r>
          </w:p>
        </w:tc>
      </w:tr>
    </w:tbl>
    <w:p>
      <w:pPr>
        <w:spacing w:after="0" w:line="112" w:lineRule="exact"/>
        <w:rPr>
          <w:sz w:val="20"/>
          <w:szCs w:val="20"/>
          <w:color w:val="auto"/>
        </w:rPr>
      </w:pPr>
    </w:p>
    <w:p>
      <w:pPr>
        <w:ind w:left="452" w:hanging="452"/>
        <w:spacing w:after="0"/>
        <w:tabs>
          <w:tab w:leader="none" w:pos="452" w:val="left"/>
        </w:tabs>
        <w:numPr>
          <w:ilvl w:val="0"/>
          <w:numId w:val="9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13" w:name="page114"/>
    <w:bookmarkEnd w:id="11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CONSENTING LENDERS </w:t>
      </w:r>
      <w:r>
        <w:rPr>
          <w:rFonts w:ascii="Times New Roman" w:cs="Times New Roman" w:eastAsia="Times New Roman" w:hAnsi="Times New Roman"/>
          <w:sz w:val="11"/>
          <w:szCs w:val="11"/>
          <w:b w:val="1"/>
          <w:bCs w:val="1"/>
          <w:color w:val="auto"/>
        </w:rPr>
        <w:t>.2</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CCA EAGLE LOAN MASTER FUND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Citigroup Alternative Investments LLC, as Investment</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manager for and on behalf of CCA EAGLE LOAN MASTER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FUND LTD., as a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Roger Yee</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Roger Yee</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VP</w:t>
            </w:r>
          </w:p>
        </w:tc>
      </w:tr>
    </w:tbl>
    <w:p>
      <w:pPr>
        <w:spacing w:after="0" w:line="112" w:lineRule="exact"/>
        <w:rPr>
          <w:sz w:val="20"/>
          <w:szCs w:val="20"/>
          <w:color w:val="auto"/>
        </w:rPr>
      </w:pPr>
    </w:p>
    <w:p>
      <w:pPr>
        <w:ind w:left="452" w:hanging="452"/>
        <w:spacing w:after="0"/>
        <w:tabs>
          <w:tab w:leader="none" w:pos="452" w:val="left"/>
        </w:tabs>
        <w:numPr>
          <w:ilvl w:val="0"/>
          <w:numId w:val="9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14" w:name="page115"/>
    <w:bookmarkEnd w:id="11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3</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REGATTA FUNDING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Citi Alternative Investments IXC,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attorney-in-fact,</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Roger Yee</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Roger Yee</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VP</w:t>
            </w:r>
          </w:p>
        </w:tc>
      </w:tr>
    </w:tbl>
    <w:p>
      <w:pPr>
        <w:spacing w:after="0" w:line="112" w:lineRule="exact"/>
        <w:rPr>
          <w:sz w:val="20"/>
          <w:szCs w:val="20"/>
          <w:color w:val="auto"/>
        </w:rPr>
      </w:pPr>
    </w:p>
    <w:p>
      <w:pPr>
        <w:ind w:left="452" w:hanging="452"/>
        <w:spacing w:after="0"/>
        <w:tabs>
          <w:tab w:leader="none" w:pos="452" w:val="left"/>
        </w:tabs>
        <w:numPr>
          <w:ilvl w:val="0"/>
          <w:numId w:val="9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15" w:name="page116"/>
    <w:bookmarkEnd w:id="11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Olympic CLO I,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San Gabriel CLO I,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Shasta CLO I,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Sierra CLO II,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Whitney CLO I, LTD</w:t>
      </w:r>
    </w:p>
    <w:p>
      <w:pPr>
        <w:spacing w:after="0" w:line="22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Apidos Capital Management on behalf of Resource Capital</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Asset Management (RCAM)</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Vincent Ingato</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Vincent Ingato</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12" w:lineRule="exact"/>
        <w:rPr>
          <w:sz w:val="20"/>
          <w:szCs w:val="20"/>
          <w:color w:val="auto"/>
        </w:rPr>
      </w:pPr>
    </w:p>
    <w:p>
      <w:pPr>
        <w:ind w:left="452" w:hanging="452"/>
        <w:spacing w:after="0"/>
        <w:tabs>
          <w:tab w:leader="none" w:pos="452" w:val="left"/>
        </w:tabs>
        <w:numPr>
          <w:ilvl w:val="0"/>
          <w:numId w:val="9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16" w:name="page117"/>
    <w:bookmarkEnd w:id="11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Clydesdale CLO 2004, Ltd. as a Consenting Lender</w:t>
      </w:r>
    </w:p>
    <w:p>
      <w:pPr>
        <w:spacing w:after="0" w:line="225"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Hoffman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Robert Hoffman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20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NDMURA CDRPORATE RESEARCH AND; ASSET</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MANAGEMENT INC.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AS INVESTMENT</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134" w:lineRule="exact"/>
        <w:rPr>
          <w:sz w:val="20"/>
          <w:szCs w:val="20"/>
          <w:color w:val="auto"/>
        </w:rPr>
      </w:pPr>
    </w:p>
    <w:p>
      <w:pPr>
        <w:ind w:left="452" w:hanging="452"/>
        <w:spacing w:after="0"/>
        <w:tabs>
          <w:tab w:leader="none" w:pos="452"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17" w:name="page118"/>
    <w:bookmarkEnd w:id="117"/>
    <w:p>
      <w:pPr>
        <w:ind w:left="727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Clydesdale CLO 2005, Ltd., as a Consenting Lender</w:t>
      </w:r>
    </w:p>
    <w:p>
      <w:pPr>
        <w:spacing w:after="0" w:line="225"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Hoffman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Robert Hoffman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20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NDMURA CORPORATE RESEARCH AND; ASSET</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MANAGEMENT INC.</w:t>
      </w:r>
    </w:p>
    <w:p>
      <w:pPr>
        <w:spacing w:after="0" w:line="21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AS INVESTMENT MANAGER</w:t>
      </w:r>
    </w:p>
    <w:p>
      <w:pPr>
        <w:spacing w:after="0" w:line="135" w:lineRule="exact"/>
        <w:rPr>
          <w:sz w:val="20"/>
          <w:szCs w:val="20"/>
          <w:color w:val="auto"/>
        </w:rPr>
      </w:pPr>
    </w:p>
    <w:p>
      <w:pPr>
        <w:ind w:left="452" w:hanging="452"/>
        <w:spacing w:after="0"/>
        <w:tabs>
          <w:tab w:leader="none" w:pos="452" w:val="left"/>
        </w:tabs>
        <w:numPr>
          <w:ilvl w:val="0"/>
          <w:numId w:val="9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18" w:name="page119"/>
    <w:bookmarkEnd w:id="11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Clydesdale CLO 2006,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Hoffman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Robert Hoffman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20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NDMURA CORPORATE RESEARCH AND; ASSET</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MANAGEMENT INC. AS INVESTMENT MANAGER</w:t>
      </w:r>
    </w:p>
    <w:p>
      <w:pPr>
        <w:spacing w:after="0" w:line="121" w:lineRule="exact"/>
        <w:rPr>
          <w:sz w:val="20"/>
          <w:szCs w:val="20"/>
          <w:color w:val="auto"/>
        </w:rPr>
      </w:pPr>
    </w:p>
    <w:p>
      <w:pPr>
        <w:ind w:left="452" w:hanging="452"/>
        <w:spacing w:after="0"/>
        <w:tabs>
          <w:tab w:leader="none" w:pos="452" w:val="left"/>
        </w:tabs>
        <w:numPr>
          <w:ilvl w:val="0"/>
          <w:numId w:val="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19" w:name="page120"/>
    <w:bookmarkEnd w:id="119"/>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Clydesdale CLO 2007, Ltd. as a Consenting Lender</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Hoffman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Robert Hoffman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202"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NDMURA CORPORATE RESEARCH AND; ASSET</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MANAGEENT INC. AS INVESTMENT MANAGER</w:t>
      </w:r>
    </w:p>
    <w:p>
      <w:pPr>
        <w:spacing w:after="0" w:line="121" w:lineRule="exact"/>
        <w:rPr>
          <w:sz w:val="20"/>
          <w:szCs w:val="20"/>
          <w:color w:val="auto"/>
        </w:rPr>
      </w:pPr>
    </w:p>
    <w:p>
      <w:pPr>
        <w:ind w:left="460" w:hanging="452"/>
        <w:spacing w:after="0"/>
        <w:tabs>
          <w:tab w:leader="none" w:pos="460" w:val="left"/>
        </w:tabs>
        <w:numPr>
          <w:ilvl w:val="0"/>
          <w:numId w:val="10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0" w:name="page121"/>
    <w:bookmarkEnd w:id="120"/>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Clydesdale Strategic CLO I, Ltd. as a Consenting Lender</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Hoffman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Robert Hoffman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202"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NOMURA CORPORATE RESEARCH AND; ASSET</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MANAGEENT INC. AS INVESTMENT MANAGER</w:t>
      </w:r>
    </w:p>
    <w:p>
      <w:pPr>
        <w:spacing w:after="0" w:line="121" w:lineRule="exact"/>
        <w:rPr>
          <w:sz w:val="20"/>
          <w:szCs w:val="20"/>
          <w:color w:val="auto"/>
        </w:rPr>
      </w:pPr>
    </w:p>
    <w:p>
      <w:pPr>
        <w:ind w:left="460" w:hanging="452"/>
        <w:spacing w:after="0"/>
        <w:tabs>
          <w:tab w:leader="none" w:pos="460" w:val="left"/>
        </w:tabs>
        <w:numPr>
          <w:ilvl w:val="0"/>
          <w:numId w:val="10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1" w:name="page122"/>
    <w:bookmarkEnd w:id="121"/>
    <w:p>
      <w:pPr>
        <w:ind w:left="9352"/>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0"/>
          <w:szCs w:val="10"/>
          <w:color w:val="auto"/>
        </w:rPr>
        <w:t>1</w:t>
      </w:r>
    </w:p>
    <w:p>
      <w:pPr>
        <w:spacing w:after="0" w:line="23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WELLS CAPITAL MANAGEMENT 13923601</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WELLS CAPITAL MANAGEMENT 18325402</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WELLS CAPITAL MANAGEMENT 18866500</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WELLS CAPITAL MANAGEMENT 23928601</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WELLS CAPITAL MANAGEMENT 23960800</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VULCAN VENTURES</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SILVERADO CLO 2006-I LIMITED</w:t>
      </w:r>
    </w:p>
    <w:p>
      <w:pPr>
        <w:spacing w:after="0" w:line="23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Wells Capital Management as Portfolio Manager</w:t>
      </w:r>
    </w:p>
    <w:p>
      <w:pPr>
        <w:spacing w:after="0" w:line="385" w:lineRule="exact"/>
        <w:rPr>
          <w:sz w:val="20"/>
          <w:szCs w:val="20"/>
          <w:color w:val="auto"/>
        </w:rPr>
      </w:pPr>
    </w:p>
    <w:p>
      <w:pPr>
        <w:ind w:left="731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4613910</wp:posOffset>
            </wp:positionH>
            <wp:positionV relativeFrom="paragraph">
              <wp:posOffset>-114300</wp:posOffset>
            </wp:positionV>
            <wp:extent cx="263271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6" w:lineRule="exact"/>
        <w:rPr>
          <w:sz w:val="20"/>
          <w:szCs w:val="20"/>
          <w:color w:val="auto"/>
        </w:rPr>
      </w:pPr>
    </w:p>
    <w:p>
      <w:pPr>
        <w:ind w:left="731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Zachary Tyler</w:t>
            </w:r>
          </w:p>
        </w:tc>
      </w:tr>
      <w:tr>
        <w:trPr>
          <w:trHeight w:val="197"/>
        </w:trPr>
        <w:tc>
          <w:tcPr>
            <w:tcW w:w="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Name:</w:t>
            </w:r>
          </w:p>
        </w:tc>
        <w:tc>
          <w:tcPr>
            <w:tcW w:w="40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Zachary Tyler</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10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22" w:name="page123"/>
    <w:bookmarkEnd w:id="12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Avery Point CLO, Limited</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Sankaty Advisors LLC, as Collateral Manager</w:t>
      </w:r>
    </w:p>
    <w:p>
      <w:pPr>
        <w:spacing w:after="0" w:line="25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19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S. Viens</w:t>
            </w:r>
          </w:p>
        </w:tc>
      </w:tr>
      <w:tr>
        <w:trPr>
          <w:trHeight w:val="197"/>
        </w:trPr>
        <w:tc>
          <w:tcPr>
            <w:tcW w:w="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Name:</w:t>
            </w:r>
          </w:p>
        </w:tc>
        <w:tc>
          <w:tcPr>
            <w:tcW w:w="40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Andrew S. Viens</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Sr. Vice President of Operations</w:t>
            </w:r>
          </w:p>
        </w:tc>
      </w:tr>
    </w:tbl>
    <w:p>
      <w:pPr>
        <w:spacing w:after="0" w:line="112" w:lineRule="exact"/>
        <w:rPr>
          <w:sz w:val="20"/>
          <w:szCs w:val="20"/>
          <w:color w:val="auto"/>
        </w:rPr>
      </w:pPr>
    </w:p>
    <w:p>
      <w:pPr>
        <w:ind w:left="452" w:hanging="452"/>
        <w:spacing w:after="0"/>
        <w:tabs>
          <w:tab w:leader="none" w:pos="452" w:val="left"/>
        </w:tabs>
        <w:numPr>
          <w:ilvl w:val="0"/>
          <w:numId w:val="10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23" w:name="page124"/>
    <w:bookmarkEnd w:id="12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Chatham Light II CLO,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Sankaty Advisors LLC, as Collateral Manager</w:t>
      </w:r>
    </w:p>
    <w:p>
      <w:pPr>
        <w:spacing w:after="0" w:line="21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19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S. Viens</w:t>
            </w:r>
          </w:p>
        </w:tc>
      </w:tr>
      <w:tr>
        <w:trPr>
          <w:trHeight w:val="197"/>
        </w:trPr>
        <w:tc>
          <w:tcPr>
            <w:tcW w:w="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Name:</w:t>
            </w:r>
          </w:p>
        </w:tc>
        <w:tc>
          <w:tcPr>
            <w:tcW w:w="40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Andrew S. Viens</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Sr. Vice President of Operations</w:t>
            </w:r>
          </w:p>
        </w:tc>
      </w:tr>
    </w:tbl>
    <w:p>
      <w:pPr>
        <w:spacing w:after="0" w:line="112" w:lineRule="exact"/>
        <w:rPr>
          <w:sz w:val="20"/>
          <w:szCs w:val="20"/>
          <w:color w:val="auto"/>
        </w:rPr>
      </w:pPr>
    </w:p>
    <w:p>
      <w:pPr>
        <w:ind w:left="452" w:hanging="452"/>
        <w:spacing w:after="0"/>
        <w:tabs>
          <w:tab w:leader="none" w:pos="452" w:val="left"/>
        </w:tabs>
        <w:numPr>
          <w:ilvl w:val="0"/>
          <w:numId w:val="10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24" w:name="page125"/>
    <w:bookmarkEnd w:id="12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Katonah III, Ltd. by Sankaty Advisors LLC as Sub-Advisors</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19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S. Viens</w:t>
            </w:r>
          </w:p>
        </w:tc>
      </w:tr>
      <w:tr>
        <w:trPr>
          <w:trHeight w:val="197"/>
        </w:trPr>
        <w:tc>
          <w:tcPr>
            <w:tcW w:w="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Name:</w:t>
            </w:r>
          </w:p>
        </w:tc>
        <w:tc>
          <w:tcPr>
            <w:tcW w:w="40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Andrew S. Viens</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Sr. Vice President of Operations</w:t>
            </w:r>
          </w:p>
        </w:tc>
      </w:tr>
    </w:tbl>
    <w:p>
      <w:pPr>
        <w:spacing w:after="0" w:line="112" w:lineRule="exact"/>
        <w:rPr>
          <w:sz w:val="20"/>
          <w:szCs w:val="20"/>
          <w:color w:val="auto"/>
        </w:rPr>
      </w:pPr>
    </w:p>
    <w:p>
      <w:pPr>
        <w:ind w:left="452" w:hanging="452"/>
        <w:spacing w:after="0"/>
        <w:tabs>
          <w:tab w:leader="none" w:pos="452" w:val="left"/>
        </w:tabs>
        <w:numPr>
          <w:ilvl w:val="0"/>
          <w:numId w:val="10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25" w:name="page126"/>
    <w:bookmarkEnd w:id="12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Race Point II CLO,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Sankaty Advisors LLC, as Collateral Manager</w:t>
      </w:r>
    </w:p>
    <w:p>
      <w:pPr>
        <w:spacing w:after="0" w:line="22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19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S. Viens</w:t>
            </w:r>
          </w:p>
        </w:tc>
      </w:tr>
      <w:tr>
        <w:trPr>
          <w:trHeight w:val="197"/>
        </w:trPr>
        <w:tc>
          <w:tcPr>
            <w:tcW w:w="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Name:</w:t>
            </w:r>
          </w:p>
        </w:tc>
        <w:tc>
          <w:tcPr>
            <w:tcW w:w="40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Andrew S. Viens</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Sr. Vice President of Operations</w:t>
            </w:r>
          </w:p>
        </w:tc>
      </w:tr>
    </w:tbl>
    <w:p>
      <w:pPr>
        <w:spacing w:after="0" w:line="112" w:lineRule="exact"/>
        <w:rPr>
          <w:sz w:val="20"/>
          <w:szCs w:val="20"/>
          <w:color w:val="auto"/>
        </w:rPr>
      </w:pPr>
    </w:p>
    <w:p>
      <w:pPr>
        <w:ind w:left="452" w:hanging="452"/>
        <w:spacing w:after="0"/>
        <w:tabs>
          <w:tab w:leader="none" w:pos="452" w:val="left"/>
        </w:tabs>
        <w:numPr>
          <w:ilvl w:val="0"/>
          <w:numId w:val="10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26" w:name="page127"/>
    <w:bookmarkEnd w:id="12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Race Point III CLO</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Sankaty Advisors LLC, as</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Collateral Manager</w:t>
      </w:r>
    </w:p>
    <w:p>
      <w:pPr>
        <w:spacing w:after="0" w:line="22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19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S. Viens</w:t>
            </w:r>
          </w:p>
        </w:tc>
      </w:tr>
      <w:tr>
        <w:trPr>
          <w:trHeight w:val="197"/>
        </w:trPr>
        <w:tc>
          <w:tcPr>
            <w:tcW w:w="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Name:</w:t>
            </w:r>
          </w:p>
        </w:tc>
        <w:tc>
          <w:tcPr>
            <w:tcW w:w="40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Andrew S. Viens</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Sr. Vice President of Operations</w:t>
            </w:r>
          </w:p>
        </w:tc>
      </w:tr>
    </w:tbl>
    <w:p>
      <w:pPr>
        <w:spacing w:after="0" w:line="112" w:lineRule="exact"/>
        <w:rPr>
          <w:sz w:val="20"/>
          <w:szCs w:val="20"/>
          <w:color w:val="auto"/>
        </w:rPr>
      </w:pPr>
    </w:p>
    <w:p>
      <w:pPr>
        <w:ind w:left="452" w:hanging="452"/>
        <w:spacing w:after="0"/>
        <w:tabs>
          <w:tab w:leader="none" w:pos="452" w:val="left"/>
        </w:tabs>
        <w:numPr>
          <w:ilvl w:val="0"/>
          <w:numId w:val="10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27" w:name="page128"/>
    <w:bookmarkEnd w:id="12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Race Point IV CLO, Lid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Sankaty Advisors. LLC as Collateral Manager</w:t>
      </w:r>
    </w:p>
    <w:p>
      <w:pPr>
        <w:spacing w:after="0" w:line="21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19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S. Viens</w:t>
            </w:r>
          </w:p>
        </w:tc>
      </w:tr>
      <w:tr>
        <w:trPr>
          <w:trHeight w:val="197"/>
        </w:trPr>
        <w:tc>
          <w:tcPr>
            <w:tcW w:w="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Name:</w:t>
            </w:r>
          </w:p>
        </w:tc>
        <w:tc>
          <w:tcPr>
            <w:tcW w:w="40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Andrew S. Viens</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Sr. Vice President of Operations</w:t>
            </w:r>
          </w:p>
        </w:tc>
      </w:tr>
    </w:tbl>
    <w:p>
      <w:pPr>
        <w:spacing w:after="0" w:line="112" w:lineRule="exact"/>
        <w:rPr>
          <w:sz w:val="20"/>
          <w:szCs w:val="20"/>
          <w:color w:val="auto"/>
        </w:rPr>
      </w:pPr>
    </w:p>
    <w:p>
      <w:pPr>
        <w:ind w:left="452" w:hanging="452"/>
        <w:spacing w:after="0"/>
        <w:tabs>
          <w:tab w:leader="none" w:pos="452" w:val="left"/>
        </w:tabs>
        <w:numPr>
          <w:ilvl w:val="0"/>
          <w:numId w:val="10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28" w:name="page129"/>
    <w:bookmarkEnd w:id="12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SSS Funding II, LLC</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Sankaty Advisors LLC, as Collateral Manager</w:t>
      </w:r>
    </w:p>
    <w:p>
      <w:pPr>
        <w:spacing w:after="0" w:line="21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19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S. Viens</w:t>
            </w:r>
          </w:p>
        </w:tc>
      </w:tr>
      <w:tr>
        <w:trPr>
          <w:trHeight w:val="197"/>
        </w:trPr>
        <w:tc>
          <w:tcPr>
            <w:tcW w:w="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Name:</w:t>
            </w:r>
          </w:p>
        </w:tc>
        <w:tc>
          <w:tcPr>
            <w:tcW w:w="40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Andrew S. Viens</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Sr. Vice President of Operations</w:t>
            </w:r>
          </w:p>
        </w:tc>
      </w:tr>
    </w:tbl>
    <w:p>
      <w:pPr>
        <w:spacing w:after="0" w:line="112" w:lineRule="exact"/>
        <w:rPr>
          <w:sz w:val="20"/>
          <w:szCs w:val="20"/>
          <w:color w:val="auto"/>
        </w:rPr>
      </w:pPr>
    </w:p>
    <w:p>
      <w:pPr>
        <w:ind w:left="452" w:hanging="452"/>
        <w:spacing w:after="0"/>
        <w:tabs>
          <w:tab w:leader="none" w:pos="452" w:val="left"/>
        </w:tabs>
        <w:numPr>
          <w:ilvl w:val="0"/>
          <w:numId w:val="10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29" w:name="page130"/>
    <w:bookmarkEnd w:id="12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Lime Street CLO, Ltd., as a Consenting Lender</w:t>
      </w:r>
    </w:p>
    <w:p>
      <w:pPr>
        <w:spacing w:after="0" w:line="212"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Scott D’Orsi</w:t>
            </w:r>
          </w:p>
        </w:tc>
      </w:tr>
      <w:tr>
        <w:trPr>
          <w:trHeight w:val="197"/>
        </w:trPr>
        <w:tc>
          <w:tcPr>
            <w:tcW w:w="5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Scott D’Orsi</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P.M.</w:t>
            </w:r>
          </w:p>
        </w:tc>
      </w:tr>
    </w:tbl>
    <w:p>
      <w:pPr>
        <w:spacing w:after="0" w:line="112" w:lineRule="exact"/>
        <w:rPr>
          <w:sz w:val="20"/>
          <w:szCs w:val="20"/>
          <w:color w:val="auto"/>
        </w:rPr>
      </w:pPr>
    </w:p>
    <w:p>
      <w:pPr>
        <w:ind w:left="452" w:hanging="452"/>
        <w:spacing w:after="0"/>
        <w:tabs>
          <w:tab w:leader="none" w:pos="452" w:val="left"/>
        </w:tabs>
        <w:numPr>
          <w:ilvl w:val="0"/>
          <w:numId w:val="1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30" w:name="page131"/>
    <w:bookmarkEnd w:id="13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5</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Trimaran CLO IV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Trimaran Advisors, L.L.C., as a Consenting 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Dominick J. Mazzitelli</w:t>
            </w:r>
          </w:p>
        </w:tc>
      </w:tr>
      <w:tr>
        <w:trPr>
          <w:trHeight w:val="197"/>
        </w:trPr>
        <w:tc>
          <w:tcPr>
            <w:tcW w:w="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Name:</w:t>
            </w:r>
          </w:p>
        </w:tc>
        <w:tc>
          <w:tcPr>
            <w:tcW w:w="40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Dominick J. Mazzitelli</w:t>
            </w: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12" w:lineRule="exact"/>
        <w:rPr>
          <w:sz w:val="20"/>
          <w:szCs w:val="20"/>
          <w:color w:val="auto"/>
        </w:rPr>
      </w:pPr>
    </w:p>
    <w:p>
      <w:pPr>
        <w:ind w:left="452" w:hanging="452"/>
        <w:spacing w:after="0"/>
        <w:tabs>
          <w:tab w:leader="none" w:pos="452" w:val="left"/>
        </w:tabs>
        <w:numPr>
          <w:ilvl w:val="0"/>
          <w:numId w:val="1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31" w:name="page132"/>
    <w:bookmarkEnd w:id="13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Trimaran CLO V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Trimaran Advisors, L.L.C., as a</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Dominick J. Mazzitelli</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Dominick J. Mazzitelli</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12" w:lineRule="exact"/>
        <w:rPr>
          <w:sz w:val="20"/>
          <w:szCs w:val="20"/>
          <w:color w:val="auto"/>
        </w:rPr>
      </w:pPr>
    </w:p>
    <w:p>
      <w:pPr>
        <w:ind w:left="452" w:hanging="452"/>
        <w:spacing w:after="0"/>
        <w:tabs>
          <w:tab w:leader="none" w:pos="452" w:val="left"/>
        </w:tabs>
        <w:numPr>
          <w:ilvl w:val="0"/>
          <w:numId w:val="1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32" w:name="page133"/>
    <w:bookmarkEnd w:id="13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Trimaran CLO VI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Trimaran Advisors, L.L.C., as a</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Dominick J. Mazzitelli</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Dominick J. Mazzitelli</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314" w:lineRule="exact"/>
        <w:rPr>
          <w:sz w:val="20"/>
          <w:szCs w:val="20"/>
          <w:color w:val="auto"/>
        </w:rPr>
      </w:pPr>
    </w:p>
    <w:p>
      <w:pPr>
        <w:ind w:left="452" w:hanging="452"/>
        <w:spacing w:after="0"/>
        <w:tabs>
          <w:tab w:leader="none" w:pos="452" w:val="left"/>
        </w:tabs>
        <w:numPr>
          <w:ilvl w:val="0"/>
          <w:numId w:val="1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33" w:name="page134"/>
    <w:bookmarkEnd w:id="13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Trimaran CLO VII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Trimaran Advisors, L.L.C., as a</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Dominick J. Mazzitelli</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Dominick J. Mazzitelli</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12" w:lineRule="exact"/>
        <w:rPr>
          <w:sz w:val="20"/>
          <w:szCs w:val="20"/>
          <w:color w:val="auto"/>
        </w:rPr>
      </w:pPr>
    </w:p>
    <w:p>
      <w:pPr>
        <w:ind w:left="452" w:hanging="452"/>
        <w:spacing w:after="0"/>
        <w:tabs>
          <w:tab w:leader="none" w:pos="452" w:val="left"/>
        </w:tabs>
        <w:numPr>
          <w:ilvl w:val="0"/>
          <w:numId w:val="1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34" w:name="page135"/>
    <w:bookmarkEnd w:id="13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Ameriprise Certificate Company</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5"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112" w:lineRule="exact"/>
        <w:rPr>
          <w:sz w:val="20"/>
          <w:szCs w:val="20"/>
          <w:color w:val="auto"/>
        </w:rPr>
      </w:pPr>
    </w:p>
    <w:p>
      <w:pPr>
        <w:ind w:left="452" w:hanging="452"/>
        <w:spacing w:after="0"/>
        <w:tabs>
          <w:tab w:leader="none" w:pos="452" w:val="left"/>
        </w:tabs>
        <w:numPr>
          <w:ilvl w:val="0"/>
          <w:numId w:val="1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35" w:name="page136"/>
    <w:bookmarkEnd w:id="135"/>
    <w:p>
      <w:pPr>
        <w:jc w:val="right"/>
        <w:ind w:right="25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Ameriprise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5" w:lineRule="exact"/>
        <w:rPr>
          <w:sz w:val="20"/>
          <w:szCs w:val="20"/>
          <w:color w:val="auto"/>
        </w:rPr>
      </w:pPr>
    </w:p>
    <w:tbl>
      <w:tblPr>
        <w:tblLayout w:type="fixed"/>
        <w:tblInd w:w="7020"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Of Operations</w:t>
            </w:r>
          </w:p>
        </w:tc>
      </w:tr>
    </w:tbl>
    <w:p>
      <w:pPr>
        <w:spacing w:after="0" w:line="112" w:lineRule="exact"/>
        <w:rPr>
          <w:sz w:val="20"/>
          <w:szCs w:val="20"/>
          <w:color w:val="auto"/>
        </w:rPr>
      </w:pPr>
    </w:p>
    <w:p>
      <w:pPr>
        <w:ind w:left="460" w:hanging="452"/>
        <w:spacing w:after="0"/>
        <w:tabs>
          <w:tab w:leader="none" w:pos="460" w:val="left"/>
        </w:tabs>
        <w:numPr>
          <w:ilvl w:val="0"/>
          <w:numId w:val="1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6" w:name="page137"/>
    <w:bookmarkEnd w:id="13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b w:val="1"/>
          <w:bCs w:val="1"/>
          <w:color w:val="auto"/>
        </w:rPr>
        <w:t>Cent CDO IO Limited</w:t>
      </w:r>
    </w:p>
    <w:p>
      <w:pPr>
        <w:spacing w:after="0" w:line="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b w:val="1"/>
          <w:bCs w:val="1"/>
          <w:color w:val="auto"/>
        </w:rPr>
        <w:t>By: Columbia Management Investment</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b w:val="1"/>
          <w:bCs w:val="1"/>
          <w:color w:val="auto"/>
        </w:rPr>
        <w:t>Advisers, LLC As Collateral Manager</w:t>
      </w:r>
    </w:p>
    <w:p>
      <w:pPr>
        <w:spacing w:after="0" w:line="2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of Operations</w:t>
            </w:r>
          </w:p>
        </w:tc>
      </w:tr>
    </w:tbl>
    <w:p>
      <w:pPr>
        <w:spacing w:after="0" w:line="112" w:lineRule="exact"/>
        <w:rPr>
          <w:sz w:val="20"/>
          <w:szCs w:val="20"/>
          <w:color w:val="auto"/>
        </w:rPr>
      </w:pPr>
    </w:p>
    <w:p>
      <w:pPr>
        <w:ind w:left="452" w:hanging="452"/>
        <w:spacing w:after="0"/>
        <w:tabs>
          <w:tab w:leader="none" w:pos="452" w:val="left"/>
        </w:tabs>
        <w:numPr>
          <w:ilvl w:val="0"/>
          <w:numId w:val="1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37" w:name="page138"/>
    <w:bookmarkEnd w:id="13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b w:val="1"/>
          <w:bCs w:val="1"/>
          <w:color w:val="auto"/>
        </w:rPr>
        <w:t>Cent CDO XI Limited</w:t>
      </w:r>
    </w:p>
    <w:p>
      <w:pPr>
        <w:spacing w:after="0" w:line="23"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b w:val="1"/>
          <w:bCs w:val="1"/>
          <w:color w:val="auto"/>
        </w:rPr>
        <w:t>By: Columbia Management Investment</w:t>
      </w:r>
    </w:p>
    <w:p>
      <w:pPr>
        <w:spacing w:after="0" w:line="9" w:lineRule="exact"/>
        <w:rPr>
          <w:sz w:val="20"/>
          <w:szCs w:val="20"/>
          <w:color w:val="auto"/>
        </w:rPr>
      </w:pPr>
    </w:p>
    <w:p>
      <w:pPr>
        <w:ind w:left="7012"/>
        <w:spacing w:after="0"/>
        <w:rPr>
          <w:sz w:val="20"/>
          <w:szCs w:val="20"/>
          <w:color w:val="auto"/>
        </w:rPr>
      </w:pPr>
      <w:r>
        <w:rPr>
          <w:rFonts w:ascii="Times New Roman" w:cs="Times New Roman" w:eastAsia="Times New Roman" w:hAnsi="Times New Roman"/>
          <w:sz w:val="18"/>
          <w:szCs w:val="18"/>
          <w:b w:val="1"/>
          <w:bCs w:val="1"/>
          <w:color w:val="auto"/>
        </w:rPr>
        <w:t>Advisers, LLC, As Collateral Manager</w:t>
      </w:r>
    </w:p>
    <w:p>
      <w:pPr>
        <w:spacing w:after="0" w:line="2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of Operations</w:t>
            </w:r>
          </w:p>
        </w:tc>
      </w:tr>
    </w:tbl>
    <w:p>
      <w:pPr>
        <w:spacing w:after="0" w:line="112" w:lineRule="exact"/>
        <w:rPr>
          <w:sz w:val="20"/>
          <w:szCs w:val="20"/>
          <w:color w:val="auto"/>
        </w:rPr>
      </w:pPr>
    </w:p>
    <w:p>
      <w:pPr>
        <w:ind w:left="452" w:hanging="452"/>
        <w:spacing w:after="0"/>
        <w:tabs>
          <w:tab w:leader="none" w:pos="452" w:val="left"/>
        </w:tabs>
        <w:numPr>
          <w:ilvl w:val="0"/>
          <w:numId w:val="1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38" w:name="page139"/>
    <w:bookmarkEnd w:id="13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b w:val="1"/>
          <w:bCs w:val="1"/>
          <w:color w:val="auto"/>
        </w:rPr>
        <w:t>Cent CDO12 Limited</w:t>
      </w:r>
    </w:p>
    <w:p>
      <w:pPr>
        <w:spacing w:after="0" w:line="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b w:val="1"/>
          <w:bCs w:val="1"/>
          <w:color w:val="auto"/>
        </w:rPr>
        <w:t>By: Columbia Management Investment</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b w:val="1"/>
          <w:bCs w:val="1"/>
          <w:color w:val="auto"/>
        </w:rPr>
        <w:t>Advisers, U.C As Collateral Manager</w:t>
      </w:r>
    </w:p>
    <w:p>
      <w:pPr>
        <w:spacing w:after="0" w:line="2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Operations</w:t>
            </w:r>
          </w:p>
        </w:tc>
      </w:tr>
    </w:tbl>
    <w:p>
      <w:pPr>
        <w:spacing w:after="0" w:line="112" w:lineRule="exact"/>
        <w:rPr>
          <w:sz w:val="20"/>
          <w:szCs w:val="20"/>
          <w:color w:val="auto"/>
        </w:rPr>
      </w:pPr>
    </w:p>
    <w:p>
      <w:pPr>
        <w:ind w:left="452" w:hanging="452"/>
        <w:spacing w:after="0"/>
        <w:tabs>
          <w:tab w:leader="none" w:pos="452" w:val="left"/>
        </w:tabs>
        <w:numPr>
          <w:ilvl w:val="0"/>
          <w:numId w:val="1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39" w:name="page140"/>
    <w:bookmarkEnd w:id="13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b w:val="1"/>
          <w:bCs w:val="1"/>
          <w:color w:val="auto"/>
        </w:rPr>
        <w:t>Cent CDO14 Limited</w:t>
      </w:r>
    </w:p>
    <w:p>
      <w:pPr>
        <w:spacing w:after="0" w:line="225"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b w:val="1"/>
          <w:bCs w:val="1"/>
          <w:color w:val="auto"/>
        </w:rPr>
        <w:t>By: Columbia Management</w:t>
      </w:r>
    </w:p>
    <w:p>
      <w:pPr>
        <w:spacing w:after="0" w:line="23"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b w:val="1"/>
          <w:bCs w:val="1"/>
          <w:color w:val="auto"/>
        </w:rPr>
        <w:t>Investment Advisers, LLC, As</w:t>
      </w:r>
    </w:p>
    <w:p>
      <w:pPr>
        <w:spacing w:after="0" w:line="9"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b w:val="1"/>
          <w:bCs w:val="1"/>
          <w:color w:val="auto"/>
        </w:rPr>
        <w:t>Collateral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15875</wp:posOffset>
            </wp:positionV>
            <wp:extent cx="28987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5"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Operations</w:t>
            </w:r>
          </w:p>
        </w:tc>
      </w:tr>
    </w:tbl>
    <w:p>
      <w:pPr>
        <w:spacing w:after="0" w:line="112" w:lineRule="exact"/>
        <w:rPr>
          <w:sz w:val="20"/>
          <w:szCs w:val="20"/>
          <w:color w:val="auto"/>
        </w:rPr>
      </w:pPr>
    </w:p>
    <w:p>
      <w:pPr>
        <w:ind w:left="452" w:hanging="452"/>
        <w:spacing w:after="0"/>
        <w:tabs>
          <w:tab w:leader="none" w:pos="452" w:val="left"/>
        </w:tabs>
        <w:numPr>
          <w:ilvl w:val="0"/>
          <w:numId w:val="1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40" w:name="page141"/>
    <w:bookmarkEnd w:id="14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b w:val="1"/>
          <w:bCs w:val="1"/>
          <w:color w:val="auto"/>
        </w:rPr>
        <w:t>Cent CDO15 Limited</w:t>
      </w:r>
    </w:p>
    <w:p>
      <w:pPr>
        <w:spacing w:after="0" w:line="23"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b w:val="1"/>
          <w:bCs w:val="1"/>
          <w:color w:val="auto"/>
        </w:rPr>
        <w:t>By: Columbia Management Investment</w:t>
      </w:r>
    </w:p>
    <w:p>
      <w:pPr>
        <w:spacing w:after="0" w:line="9"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b w:val="1"/>
          <w:bCs w:val="1"/>
          <w:color w:val="auto"/>
        </w:rPr>
        <w:t>Advisers, LLC, As Collateral Manager</w:t>
      </w:r>
    </w:p>
    <w:p>
      <w:pPr>
        <w:spacing w:after="0" w:line="1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-121920</wp:posOffset>
            </wp:positionV>
            <wp:extent cx="254698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5"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Operations</w:t>
            </w:r>
          </w:p>
        </w:tc>
      </w:tr>
    </w:tbl>
    <w:p>
      <w:pPr>
        <w:spacing w:after="0" w:line="112" w:lineRule="exact"/>
        <w:rPr>
          <w:sz w:val="20"/>
          <w:szCs w:val="20"/>
          <w:color w:val="auto"/>
        </w:rPr>
      </w:pPr>
    </w:p>
    <w:p>
      <w:pPr>
        <w:ind w:left="452" w:hanging="452"/>
        <w:spacing w:after="0"/>
        <w:tabs>
          <w:tab w:leader="none" w:pos="452" w:val="left"/>
        </w:tabs>
        <w:numPr>
          <w:ilvl w:val="0"/>
          <w:numId w:val="1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41" w:name="page142"/>
    <w:bookmarkEnd w:id="14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CONSENTING LENDERS: </w:t>
      </w:r>
      <w:r>
        <w:rPr>
          <w:rFonts w:ascii="Times New Roman" w:cs="Times New Roman" w:eastAsia="Times New Roman" w:hAnsi="Times New Roman"/>
          <w:sz w:val="11"/>
          <w:szCs w:val="11"/>
          <w:color w:val="auto"/>
        </w:rPr>
        <w:t>1</w:t>
      </w:r>
    </w:p>
    <w:p>
      <w:pPr>
        <w:spacing w:after="0" w:line="21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Centurion CDO VI,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Columbia Management Investment Advisers,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As Collateral Manager</w:t>
      </w:r>
    </w:p>
    <w:p>
      <w:pPr>
        <w:spacing w:after="0" w:line="19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3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7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Operations</w:t>
            </w:r>
          </w:p>
        </w:tc>
      </w:tr>
    </w:tbl>
    <w:p>
      <w:pPr>
        <w:spacing w:after="0" w:line="112" w:lineRule="exact"/>
        <w:rPr>
          <w:sz w:val="20"/>
          <w:szCs w:val="20"/>
          <w:color w:val="auto"/>
        </w:rPr>
      </w:pPr>
    </w:p>
    <w:p>
      <w:pPr>
        <w:ind w:left="452" w:hanging="452"/>
        <w:spacing w:after="0"/>
        <w:tabs>
          <w:tab w:leader="none" w:pos="452" w:val="left"/>
        </w:tabs>
        <w:numPr>
          <w:ilvl w:val="0"/>
          <w:numId w:val="1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42" w:name="page143"/>
    <w:bookmarkEnd w:id="14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1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Centurion CDO VII,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Columbia Management Investment Advisers,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As Collateral Manager</w:t>
      </w:r>
    </w:p>
    <w:p>
      <w:pPr>
        <w:spacing w:after="0" w:line="19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3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7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Operations</w:t>
            </w:r>
          </w:p>
        </w:tc>
      </w:tr>
    </w:tbl>
    <w:p>
      <w:pPr>
        <w:spacing w:after="0" w:line="112" w:lineRule="exact"/>
        <w:rPr>
          <w:sz w:val="20"/>
          <w:szCs w:val="20"/>
          <w:color w:val="auto"/>
        </w:rPr>
      </w:pPr>
    </w:p>
    <w:p>
      <w:pPr>
        <w:ind w:left="452" w:hanging="452"/>
        <w:spacing w:after="0"/>
        <w:tabs>
          <w:tab w:leader="none" w:pos="452" w:val="left"/>
        </w:tabs>
        <w:numPr>
          <w:ilvl w:val="0"/>
          <w:numId w:val="1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43" w:name="page144"/>
    <w:bookmarkEnd w:id="14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1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Centurion CDO 8 Limited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Columbia Management Investment Advisers,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As Collateral Manager</w:t>
      </w:r>
    </w:p>
    <w:p>
      <w:pPr>
        <w:spacing w:after="0" w:line="19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3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7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Operations</w:t>
            </w:r>
          </w:p>
        </w:tc>
      </w:tr>
    </w:tbl>
    <w:p>
      <w:pPr>
        <w:spacing w:after="0" w:line="112" w:lineRule="exact"/>
        <w:rPr>
          <w:sz w:val="20"/>
          <w:szCs w:val="20"/>
          <w:color w:val="auto"/>
        </w:rPr>
      </w:pPr>
    </w:p>
    <w:p>
      <w:pPr>
        <w:ind w:left="452" w:hanging="452"/>
        <w:spacing w:after="0"/>
        <w:tabs>
          <w:tab w:leader="none" w:pos="452" w:val="left"/>
        </w:tabs>
        <w:numPr>
          <w:ilvl w:val="0"/>
          <w:numId w:val="1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44" w:name="page145"/>
    <w:bookmarkEnd w:id="14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1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Centurion CDO 9 Limited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Columbia Management Investment Advisers, LLC, As</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Collateral Manager</w:t>
      </w:r>
    </w:p>
    <w:p>
      <w:pPr>
        <w:spacing w:after="0" w:line="19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3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7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Operations</w:t>
            </w:r>
          </w:p>
        </w:tc>
      </w:tr>
    </w:tbl>
    <w:p>
      <w:pPr>
        <w:spacing w:after="0" w:line="112" w:lineRule="exact"/>
        <w:rPr>
          <w:sz w:val="20"/>
          <w:szCs w:val="20"/>
          <w:color w:val="auto"/>
        </w:rPr>
      </w:pPr>
    </w:p>
    <w:p>
      <w:pPr>
        <w:ind w:left="452" w:hanging="452"/>
        <w:spacing w:after="0"/>
        <w:tabs>
          <w:tab w:leader="none" w:pos="452" w:val="left"/>
        </w:tabs>
        <w:numPr>
          <w:ilvl w:val="0"/>
          <w:numId w:val="1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45" w:name="page146"/>
    <w:bookmarkEnd w:id="14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RtverSource Bond Series, Inc. -</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Columbia Floating Rate Fund</w:t>
      </w:r>
    </w:p>
    <w:p>
      <w:pPr>
        <w:spacing w:after="0" w:line="19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3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112" w:lineRule="exact"/>
        <w:rPr>
          <w:sz w:val="20"/>
          <w:szCs w:val="20"/>
          <w:color w:val="auto"/>
        </w:rPr>
      </w:pPr>
    </w:p>
    <w:p>
      <w:pPr>
        <w:ind w:left="452" w:hanging="452"/>
        <w:spacing w:after="0"/>
        <w:tabs>
          <w:tab w:leader="none" w:pos="452" w:val="left"/>
        </w:tabs>
        <w:numPr>
          <w:ilvl w:val="0"/>
          <w:numId w:val="1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bin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46" w:name="page147"/>
    <w:bookmarkEnd w:id="14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RiverSource Life Insurance Company</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3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Robin C. Stancil</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Robin C. Stancil</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1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47" w:name="page148"/>
    <w:bookmarkEnd w:id="14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Phoenix CLO I,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ING Alternative Asset Management LLC, as its investment</w:t>
      </w:r>
    </w:p>
    <w:p>
      <w:pPr>
        <w:spacing w:after="0" w:line="44"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manager</w:t>
      </w:r>
    </w:p>
    <w:p>
      <w:pPr>
        <w:spacing w:after="0" w:line="19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Phoenix CLO II,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ING Alternative Asset Management LLC, as its investment</w:t>
      </w:r>
    </w:p>
    <w:p>
      <w:pPr>
        <w:spacing w:after="0" w:line="44"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manager</w:t>
      </w:r>
    </w:p>
    <w:p>
      <w:pPr>
        <w:spacing w:after="0" w:line="19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Consenting Lenders</w:t>
      </w:r>
    </w:p>
    <w:p>
      <w:pPr>
        <w:spacing w:after="0" w:line="23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Marc W. Boatwritght</w:t>
      </w:r>
    </w:p>
    <w:p>
      <w:pPr>
        <w:spacing w:after="0" w:line="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Name: Marc W. Boatwrignt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-130175</wp:posOffset>
            </wp:positionV>
            <wp:extent cx="27184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192"/>
        <w:spacing w:after="0"/>
        <w:tabs>
          <w:tab w:leader="none" w:pos="7752"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21" w:lineRule="exact"/>
        <w:rPr>
          <w:sz w:val="20"/>
          <w:szCs w:val="20"/>
          <w:color w:val="auto"/>
        </w:rPr>
      </w:pPr>
    </w:p>
    <w:p>
      <w:pPr>
        <w:ind w:left="452" w:hanging="452"/>
        <w:spacing w:after="0"/>
        <w:tabs>
          <w:tab w:leader="none" w:pos="452" w:val="left"/>
        </w:tabs>
        <w:numPr>
          <w:ilvl w:val="0"/>
          <w:numId w:val="1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52"/>
          </w:cols>
          <w:pgMar w:left="248" w:top="274" w:right="299" w:bottom="1440" w:gutter="0" w:footer="0" w:header="0"/>
        </w:sectPr>
      </w:pPr>
    </w:p>
    <w:bookmarkStart w:id="148" w:name="page149"/>
    <w:bookmarkEnd w:id="14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1"/>
          <w:szCs w:val="11"/>
          <w:b w:val="1"/>
          <w:bCs w:val="1"/>
          <w:color w:val="auto"/>
        </w:rPr>
        <w:t>1</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Aberdeen Loan Funding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Highland Capital Management, L.P.,</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As Collateral Manager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Strand Advisors, Inc., Its General Partner</w:t>
      </w:r>
    </w:p>
    <w:p>
      <w:pPr>
        <w:spacing w:after="0" w:line="25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Jason Post</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Jason Post</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 Director</w:t>
            </w:r>
          </w:p>
        </w:tc>
      </w:tr>
    </w:tbl>
    <w:p>
      <w:pPr>
        <w:spacing w:after="0" w:line="112" w:lineRule="exact"/>
        <w:rPr>
          <w:sz w:val="20"/>
          <w:szCs w:val="20"/>
          <w:color w:val="auto"/>
        </w:rPr>
      </w:pPr>
    </w:p>
    <w:p>
      <w:pPr>
        <w:ind w:left="452" w:hanging="452"/>
        <w:spacing w:after="0"/>
        <w:tabs>
          <w:tab w:leader="none" w:pos="452" w:val="left"/>
        </w:tabs>
        <w:numPr>
          <w:ilvl w:val="0"/>
          <w:numId w:val="1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2" w:right="239" w:bottom="1440" w:gutter="0" w:footer="0" w:header="0"/>
        </w:sectPr>
      </w:pPr>
    </w:p>
    <w:bookmarkStart w:id="149" w:name="page150"/>
    <w:bookmarkEnd w:id="14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Brentwood CLO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Highland Capitol Management, LP</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StrandAdvisors, Inc.,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5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Jason Post</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Jason Post</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 Director</w:t>
            </w:r>
          </w:p>
        </w:tc>
      </w:tr>
    </w:tbl>
    <w:p>
      <w:pPr>
        <w:spacing w:after="0" w:line="112" w:lineRule="exact"/>
        <w:rPr>
          <w:sz w:val="20"/>
          <w:szCs w:val="20"/>
          <w:color w:val="auto"/>
        </w:rPr>
      </w:pPr>
    </w:p>
    <w:p>
      <w:pPr>
        <w:ind w:left="452" w:hanging="452"/>
        <w:spacing w:after="0"/>
        <w:tabs>
          <w:tab w:leader="none" w:pos="452" w:val="left"/>
        </w:tabs>
        <w:numPr>
          <w:ilvl w:val="0"/>
          <w:numId w:val="1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50" w:name="page151"/>
    <w:bookmarkEnd w:id="15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Loan Funding TV LLC</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Highland Capital Management, LP, As Collateral Manager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Strand Advisors, Inc, Its General Partner</w:t>
      </w:r>
    </w:p>
    <w:p>
      <w:pPr>
        <w:spacing w:after="0" w:line="25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Jason Post</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Jason Post</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 Director</w:t>
            </w:r>
          </w:p>
        </w:tc>
      </w:tr>
    </w:tbl>
    <w:p>
      <w:pPr>
        <w:spacing w:after="0" w:line="112" w:lineRule="exact"/>
        <w:rPr>
          <w:sz w:val="20"/>
          <w:szCs w:val="20"/>
          <w:color w:val="auto"/>
        </w:rPr>
      </w:pPr>
    </w:p>
    <w:p>
      <w:pPr>
        <w:ind w:left="452" w:hanging="452"/>
        <w:spacing w:after="0"/>
        <w:tabs>
          <w:tab w:leader="none" w:pos="452" w:val="left"/>
        </w:tabs>
        <w:numPr>
          <w:ilvl w:val="0"/>
          <w:numId w:val="1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51" w:name="page152"/>
    <w:bookmarkEnd w:id="15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color w:val="auto"/>
        </w:rPr>
        <w:t>Eastland CLO, Ltd.</w:t>
      </w:r>
    </w:p>
    <w:p>
      <w:pPr>
        <w:spacing w:after="0" w:line="21"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6"/>
          <w:szCs w:val="16"/>
          <w:color w:val="auto"/>
        </w:rPr>
        <w:t>By: Highland Capital Management, LP</w:t>
      </w:r>
    </w:p>
    <w:p>
      <w:pPr>
        <w:spacing w:after="0" w:line="32" w:lineRule="exact"/>
        <w:rPr>
          <w:sz w:val="20"/>
          <w:szCs w:val="20"/>
          <w:color w:val="auto"/>
        </w:rPr>
      </w:pPr>
    </w:p>
    <w:p>
      <w:pPr>
        <w:ind w:left="701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9"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color w:val="auto"/>
        </w:rPr>
        <w:t>By: Strand Advisors, Inc.,</w:t>
      </w:r>
    </w:p>
    <w:p>
      <w:pPr>
        <w:spacing w:after="0" w:line="9"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59" w:lineRule="exact"/>
        <w:rPr>
          <w:sz w:val="20"/>
          <w:szCs w:val="20"/>
          <w:color w:val="auto"/>
        </w:rPr>
      </w:pPr>
    </w:p>
    <w:p>
      <w:pPr>
        <w:ind w:left="689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-130175</wp:posOffset>
            </wp:positionV>
            <wp:extent cx="288988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92"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By /s/ Jason Post</w:t>
      </w:r>
    </w:p>
    <w:p>
      <w:pPr>
        <w:spacing w:after="0" w:line="23"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Name: Jason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-121920</wp:posOffset>
            </wp:positionV>
            <wp:extent cx="26930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Title:  Operations Director</w:t>
      </w:r>
    </w:p>
    <w:p>
      <w:pPr>
        <w:spacing w:after="0" w:line="121" w:lineRule="exact"/>
        <w:rPr>
          <w:sz w:val="20"/>
          <w:szCs w:val="20"/>
          <w:color w:val="auto"/>
        </w:rPr>
      </w:pPr>
    </w:p>
    <w:p>
      <w:pPr>
        <w:ind w:left="452" w:hanging="452"/>
        <w:spacing w:after="0"/>
        <w:tabs>
          <w:tab w:leader="none" w:pos="452" w:val="left"/>
        </w:tabs>
        <w:numPr>
          <w:ilvl w:val="0"/>
          <w:numId w:val="1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3" w:right="1440" w:bottom="1440" w:gutter="0" w:footer="0" w:header="0"/>
        </w:sectPr>
      </w:pPr>
    </w:p>
    <w:bookmarkStart w:id="152" w:name="page153"/>
    <w:bookmarkEnd w:id="15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Gleneagles CLO,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Highland Capital Management, LP</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Strand Advisors, Inc.,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59" w:lineRule="exact"/>
        <w:rPr>
          <w:sz w:val="20"/>
          <w:szCs w:val="20"/>
          <w:color w:val="auto"/>
        </w:rPr>
      </w:pPr>
    </w:p>
    <w:p>
      <w:pPr>
        <w:ind w:left="689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-130175</wp:posOffset>
            </wp:positionV>
            <wp:extent cx="288988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92"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By /s/ Jason Post</w:t>
      </w:r>
    </w:p>
    <w:p>
      <w:pPr>
        <w:spacing w:after="0" w:line="23"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Name: Jason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-121920</wp:posOffset>
            </wp:positionV>
            <wp:extent cx="26930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Title:  Operations Director</w:t>
      </w:r>
    </w:p>
    <w:p>
      <w:pPr>
        <w:spacing w:after="0" w:line="121" w:lineRule="exact"/>
        <w:rPr>
          <w:sz w:val="20"/>
          <w:szCs w:val="20"/>
          <w:color w:val="auto"/>
        </w:rPr>
      </w:pPr>
    </w:p>
    <w:p>
      <w:pPr>
        <w:ind w:left="452" w:hanging="452"/>
        <w:spacing w:after="0"/>
        <w:tabs>
          <w:tab w:leader="none" w:pos="452" w:val="left"/>
        </w:tabs>
        <w:numPr>
          <w:ilvl w:val="0"/>
          <w:numId w:val="1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153" w:name="page154"/>
    <w:bookmarkEnd w:id="15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CONSENTINO-LENDERS: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color w:val="auto"/>
        </w:rPr>
        <w:t>Grayson CLO, Ltd</w:t>
      </w:r>
    </w:p>
    <w:p>
      <w:pPr>
        <w:spacing w:after="0" w:line="21"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6"/>
          <w:szCs w:val="16"/>
          <w:color w:val="auto"/>
        </w:rPr>
        <w:t>By: Highland Capital Management L.P.,</w:t>
      </w:r>
    </w:p>
    <w:p>
      <w:pPr>
        <w:spacing w:after="0" w:line="32" w:lineRule="exact"/>
        <w:rPr>
          <w:sz w:val="20"/>
          <w:szCs w:val="20"/>
          <w:color w:val="auto"/>
        </w:rPr>
      </w:pPr>
    </w:p>
    <w:p>
      <w:pPr>
        <w:ind w:left="701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9"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color w:val="auto"/>
        </w:rPr>
        <w:t>By: Strand Advisors, Inc.</w:t>
      </w:r>
    </w:p>
    <w:p>
      <w:pPr>
        <w:spacing w:after="0" w:line="9"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59" w:lineRule="exact"/>
        <w:rPr>
          <w:sz w:val="20"/>
          <w:szCs w:val="20"/>
          <w:color w:val="auto"/>
        </w:rPr>
      </w:pPr>
    </w:p>
    <w:p>
      <w:pPr>
        <w:ind w:left="689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-130175</wp:posOffset>
            </wp:positionV>
            <wp:extent cx="288988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92"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By /s/ Jason Post</w:t>
      </w:r>
    </w:p>
    <w:p>
      <w:pPr>
        <w:spacing w:after="0" w:line="23"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Name: Jason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-121920</wp:posOffset>
            </wp:positionV>
            <wp:extent cx="26930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Title:  Operations Director</w:t>
      </w:r>
    </w:p>
    <w:p>
      <w:pPr>
        <w:spacing w:after="0" w:line="121" w:lineRule="exact"/>
        <w:rPr>
          <w:sz w:val="20"/>
          <w:szCs w:val="20"/>
          <w:color w:val="auto"/>
        </w:rPr>
      </w:pPr>
    </w:p>
    <w:p>
      <w:pPr>
        <w:ind w:left="452" w:hanging="452"/>
        <w:spacing w:after="0"/>
        <w:tabs>
          <w:tab w:leader="none" w:pos="452" w:val="left"/>
        </w:tabs>
        <w:numPr>
          <w:ilvl w:val="0"/>
          <w:numId w:val="1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154" w:name="page155"/>
    <w:bookmarkEnd w:id="15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Greenbriar CLO,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b w:val="1"/>
          <w:bCs w:val="1"/>
          <w:color w:val="auto"/>
        </w:rPr>
        <w:t>By: Highland Capital Management, L.P.,</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Strand. Advisors, Inc.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159" w:lineRule="exact"/>
        <w:rPr>
          <w:sz w:val="20"/>
          <w:szCs w:val="20"/>
          <w:color w:val="auto"/>
        </w:rPr>
      </w:pPr>
    </w:p>
    <w:p>
      <w:pPr>
        <w:ind w:left="689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-130175</wp:posOffset>
            </wp:positionV>
            <wp:extent cx="288988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92"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By /s/ Jason Post</w:t>
      </w:r>
    </w:p>
    <w:p>
      <w:pPr>
        <w:spacing w:after="0" w:line="23"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Name: Jason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-121920</wp:posOffset>
            </wp:positionV>
            <wp:extent cx="26930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Title:  Operations Director</w:t>
      </w:r>
    </w:p>
    <w:p>
      <w:pPr>
        <w:spacing w:after="0" w:line="121" w:lineRule="exact"/>
        <w:rPr>
          <w:sz w:val="20"/>
          <w:szCs w:val="20"/>
          <w:color w:val="auto"/>
        </w:rPr>
      </w:pPr>
    </w:p>
    <w:p>
      <w:pPr>
        <w:ind w:left="452" w:hanging="452"/>
        <w:spacing w:after="0"/>
        <w:tabs>
          <w:tab w:leader="none" w:pos="452" w:val="left"/>
        </w:tabs>
        <w:numPr>
          <w:ilvl w:val="0"/>
          <w:numId w:val="1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155" w:name="page156"/>
    <w:bookmarkEnd w:id="15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Jasper CLO,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Highland Capital Management, LJ</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b w:val="1"/>
          <w:bCs w:val="1"/>
          <w:color w:val="auto"/>
        </w:rPr>
        <w:t>By: Strand Advisors, lot, Its General Partner</w:t>
      </w:r>
    </w:p>
    <w:p>
      <w:pPr>
        <w:spacing w:after="0" w:line="182" w:lineRule="exact"/>
        <w:rPr>
          <w:sz w:val="20"/>
          <w:szCs w:val="20"/>
          <w:color w:val="auto"/>
        </w:rPr>
      </w:pPr>
    </w:p>
    <w:p>
      <w:pPr>
        <w:ind w:left="689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-130175</wp:posOffset>
            </wp:positionV>
            <wp:extent cx="288988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92"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By /s/ Jason Post</w:t>
      </w:r>
    </w:p>
    <w:p>
      <w:pPr>
        <w:spacing w:after="0" w:line="23"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Name: Jason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-121920</wp:posOffset>
            </wp:positionV>
            <wp:extent cx="26930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Title:  Operations Director</w:t>
      </w:r>
    </w:p>
    <w:p>
      <w:pPr>
        <w:spacing w:after="0" w:line="121" w:lineRule="exact"/>
        <w:rPr>
          <w:sz w:val="20"/>
          <w:szCs w:val="20"/>
          <w:color w:val="auto"/>
        </w:rPr>
      </w:pPr>
    </w:p>
    <w:p>
      <w:pPr>
        <w:ind w:left="452" w:hanging="452"/>
        <w:spacing w:after="0"/>
        <w:tabs>
          <w:tab w:leader="none" w:pos="452" w:val="left"/>
        </w:tabs>
        <w:numPr>
          <w:ilvl w:val="0"/>
          <w:numId w:val="1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2"/>
          </w:cols>
          <w:pgMar w:left="248" w:top="274" w:right="1439" w:bottom="1440" w:gutter="0" w:footer="0" w:header="0"/>
        </w:sectPr>
      </w:pPr>
    </w:p>
    <w:bookmarkStart w:id="156" w:name="page157"/>
    <w:bookmarkEnd w:id="15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Liberty CLO,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Highland Capital Management, L.P.</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As Collateral Manager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b w:val="1"/>
          <w:bCs w:val="1"/>
          <w:color w:val="auto"/>
        </w:rPr>
        <w:t>By: Strand Advisors,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175895</wp:posOffset>
            </wp:positionV>
            <wp:extent cx="28987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70" w:lineRule="exact"/>
        <w:rPr>
          <w:sz w:val="20"/>
          <w:szCs w:val="20"/>
          <w:color w:val="auto"/>
        </w:rPr>
      </w:pPr>
    </w:p>
    <w:p>
      <w:pPr>
        <w:ind w:left="689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2"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By /s/ Jason Post</w:t>
      </w:r>
    </w:p>
    <w:p>
      <w:pPr>
        <w:spacing w:after="0" w:line="23"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Name: Jason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-121920</wp:posOffset>
            </wp:positionV>
            <wp:extent cx="26930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Title:  Operations Director</w:t>
      </w:r>
    </w:p>
    <w:p>
      <w:pPr>
        <w:spacing w:after="0" w:line="121" w:lineRule="exact"/>
        <w:rPr>
          <w:sz w:val="20"/>
          <w:szCs w:val="20"/>
          <w:color w:val="auto"/>
        </w:rPr>
      </w:pPr>
    </w:p>
    <w:p>
      <w:pPr>
        <w:ind w:left="452" w:hanging="452"/>
        <w:spacing w:after="0"/>
        <w:tabs>
          <w:tab w:leader="none" w:pos="452" w:val="left"/>
        </w:tabs>
        <w:numPr>
          <w:ilvl w:val="0"/>
          <w:numId w:val="1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312"/>
          </w:cols>
          <w:pgMar w:left="248" w:top="274" w:right="1339" w:bottom="1440" w:gutter="0" w:footer="0" w:header="0"/>
        </w:sectPr>
      </w:pPr>
    </w:p>
    <w:bookmarkStart w:id="157" w:name="page158"/>
    <w:bookmarkEnd w:id="15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Red River CLO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Highland Capital Management, L.P.</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As Collateral Manager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Strand Advisors,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161290</wp:posOffset>
            </wp:positionV>
            <wp:extent cx="28987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7" w:lineRule="exact"/>
        <w:rPr>
          <w:sz w:val="20"/>
          <w:szCs w:val="20"/>
          <w:color w:val="auto"/>
        </w:rPr>
      </w:pPr>
    </w:p>
    <w:p>
      <w:pPr>
        <w:ind w:left="689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2" w:lineRule="exact"/>
        <w:rPr>
          <w:sz w:val="20"/>
          <w:szCs w:val="20"/>
          <w:color w:val="auto"/>
        </w:rPr>
      </w:pPr>
    </w:p>
    <w:tbl>
      <w:tblPr>
        <w:tblLayout w:type="fixed"/>
        <w:tblInd w:w="691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Jason Post</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Jason Post</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 Director</w:t>
            </w:r>
          </w:p>
        </w:tc>
      </w:tr>
    </w:tbl>
    <w:p>
      <w:pPr>
        <w:spacing w:after="0" w:line="136" w:lineRule="exact"/>
        <w:rPr>
          <w:sz w:val="20"/>
          <w:szCs w:val="20"/>
          <w:color w:val="auto"/>
        </w:rPr>
      </w:pPr>
    </w:p>
    <w:p>
      <w:pPr>
        <w:ind w:left="892" w:right="2720" w:hanging="892"/>
        <w:spacing w:after="0" w:line="231" w:lineRule="auto"/>
        <w:tabs>
          <w:tab w:leader="none" w:pos="443" w:val="left"/>
        </w:tabs>
        <w:numPr>
          <w:ilvl w:val="0"/>
          <w:numId w:val="1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-297180</wp:posOffset>
            </wp:positionV>
            <wp:extent cx="7289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58" w:name="page159"/>
    <w:bookmarkEnd w:id="15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Rockwall CDO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Highland Capital Management L.P.</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By: </w:t>
      </w:r>
      <w:r>
        <w:rPr>
          <w:rFonts w:ascii="Times New Roman" w:cs="Times New Roman" w:eastAsia="Times New Roman" w:hAnsi="Times New Roman"/>
          <w:sz w:val="16"/>
          <w:szCs w:val="16"/>
          <w:color w:val="auto"/>
        </w:rPr>
        <w:t>Strand Advisors,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21590</wp:posOffset>
            </wp:positionV>
            <wp:extent cx="28987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7" w:lineRule="exact"/>
        <w:rPr>
          <w:sz w:val="20"/>
          <w:szCs w:val="20"/>
          <w:color w:val="auto"/>
        </w:rPr>
      </w:pPr>
    </w:p>
    <w:p>
      <w:pPr>
        <w:ind w:left="689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2"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By /s/ Jason Post</w:t>
      </w:r>
    </w:p>
    <w:p>
      <w:pPr>
        <w:spacing w:after="0" w:line="23"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Name: Jason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-121920</wp:posOffset>
            </wp:positionV>
            <wp:extent cx="26930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Title:  Operations Director</w:t>
      </w:r>
    </w:p>
    <w:p>
      <w:pPr>
        <w:spacing w:after="0" w:line="121" w:lineRule="exact"/>
        <w:rPr>
          <w:sz w:val="20"/>
          <w:szCs w:val="20"/>
          <w:color w:val="auto"/>
        </w:rPr>
      </w:pPr>
    </w:p>
    <w:p>
      <w:pPr>
        <w:ind w:left="452" w:hanging="452"/>
        <w:spacing w:after="0"/>
        <w:tabs>
          <w:tab w:leader="none" w:pos="452" w:val="left"/>
        </w:tabs>
        <w:numPr>
          <w:ilvl w:val="0"/>
          <w:numId w:val="1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159" w:name="page160"/>
    <w:bookmarkEnd w:id="159"/>
    <w:p>
      <w:pPr>
        <w:jc w:val="center"/>
        <w:ind w:left="4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color w:val="auto"/>
        </w:rPr>
        <w:t>Rockwall CDO II, LTD.</w:t>
      </w:r>
    </w:p>
    <w:p>
      <w:pPr>
        <w:spacing w:after="0" w:line="21"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color w:val="auto"/>
        </w:rPr>
        <w:t>By: Highland Capital Management L.P.</w:t>
      </w:r>
    </w:p>
    <w:p>
      <w:pPr>
        <w:spacing w:after="0" w:line="9" w:lineRule="exact"/>
        <w:rPr>
          <w:sz w:val="20"/>
          <w:szCs w:val="20"/>
          <w:color w:val="auto"/>
        </w:rPr>
      </w:pPr>
    </w:p>
    <w:p>
      <w:pPr>
        <w:ind w:left="701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9"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6"/>
          <w:szCs w:val="16"/>
          <w:i w:val="1"/>
          <w:iCs w:val="1"/>
          <w:color w:val="auto"/>
        </w:rPr>
        <w:t>By</w:t>
      </w:r>
      <w:r>
        <w:rPr>
          <w:rFonts w:ascii="Times New Roman" w:cs="Times New Roman" w:eastAsia="Times New Roman" w:hAnsi="Times New Roman"/>
          <w:sz w:val="16"/>
          <w:szCs w:val="16"/>
          <w:color w:val="auto"/>
        </w:rPr>
        <w:t>: Strand Advisors,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175895</wp:posOffset>
            </wp:positionV>
            <wp:extent cx="28987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8" w:lineRule="exact"/>
        <w:rPr>
          <w:sz w:val="20"/>
          <w:szCs w:val="20"/>
          <w:color w:val="auto"/>
        </w:rPr>
      </w:pPr>
    </w:p>
    <w:p>
      <w:pPr>
        <w:ind w:left="6892"/>
        <w:spacing w:after="0"/>
        <w:rPr>
          <w:sz w:val="20"/>
          <w:szCs w:val="20"/>
          <w:color w:val="auto"/>
        </w:rPr>
      </w:pPr>
      <w:r>
        <w:rPr>
          <w:rFonts w:ascii="Times New Roman" w:cs="Times New Roman" w:eastAsia="Times New Roman" w:hAnsi="Times New Roman"/>
          <w:sz w:val="18"/>
          <w:szCs w:val="18"/>
          <w:i w:val="1"/>
          <w:iCs w:val="1"/>
          <w:color w:val="auto"/>
        </w:rPr>
        <w:t xml:space="preserve">as </w:t>
      </w:r>
      <w:r>
        <w:rPr>
          <w:rFonts w:ascii="Times New Roman" w:cs="Times New Roman" w:eastAsia="Times New Roman" w:hAnsi="Times New Roman"/>
          <w:sz w:val="18"/>
          <w:szCs w:val="18"/>
          <w:color w:val="auto"/>
        </w:rPr>
        <w:t>a Consenting Lender</w:t>
      </w:r>
    </w:p>
    <w:p>
      <w:pPr>
        <w:spacing w:after="0" w:line="214"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By /s/ Jason Post</w:t>
      </w:r>
    </w:p>
    <w:p>
      <w:pPr>
        <w:spacing w:after="0" w:line="23"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Name: Jason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-121920</wp:posOffset>
            </wp:positionV>
            <wp:extent cx="26930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Title:  Operations Director</w:t>
      </w:r>
    </w:p>
    <w:p>
      <w:pPr>
        <w:spacing w:after="0" w:line="121" w:lineRule="exact"/>
        <w:rPr>
          <w:sz w:val="20"/>
          <w:szCs w:val="20"/>
          <w:color w:val="auto"/>
        </w:rPr>
      </w:pPr>
    </w:p>
    <w:p>
      <w:pPr>
        <w:ind w:left="452" w:hanging="452"/>
        <w:spacing w:after="0"/>
        <w:tabs>
          <w:tab w:leader="none" w:pos="452" w:val="left"/>
        </w:tabs>
        <w:numPr>
          <w:ilvl w:val="0"/>
          <w:numId w:val="1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2"/>
          </w:cols>
          <w:pgMar w:left="248" w:top="274" w:right="1439" w:bottom="1440" w:gutter="0" w:footer="0" w:header="0"/>
        </w:sectPr>
      </w:pPr>
    </w:p>
    <w:bookmarkStart w:id="160" w:name="page161"/>
    <w:bookmarkEnd w:id="16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Southfork CLO,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Highland Capital-Management, LP.</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b w:val="1"/>
          <w:bCs w:val="1"/>
          <w:color w:val="auto"/>
        </w:rPr>
        <w:t>By: Strand Advisors,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175895</wp:posOffset>
            </wp:positionV>
            <wp:extent cx="28987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70" w:lineRule="exact"/>
        <w:rPr>
          <w:sz w:val="20"/>
          <w:szCs w:val="20"/>
          <w:color w:val="auto"/>
        </w:rPr>
      </w:pPr>
    </w:p>
    <w:p>
      <w:pPr>
        <w:ind w:left="689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2"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By /s/ Jason Post</w:t>
      </w:r>
    </w:p>
    <w:p>
      <w:pPr>
        <w:spacing w:after="0" w:line="23"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Name: Jason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-121920</wp:posOffset>
            </wp:positionV>
            <wp:extent cx="26930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Title:  Operations Director</w:t>
      </w:r>
    </w:p>
    <w:p>
      <w:pPr>
        <w:spacing w:after="0" w:line="121" w:lineRule="exact"/>
        <w:rPr>
          <w:sz w:val="20"/>
          <w:szCs w:val="20"/>
          <w:color w:val="auto"/>
        </w:rPr>
      </w:pPr>
    </w:p>
    <w:p>
      <w:pPr>
        <w:ind w:left="452" w:hanging="452"/>
        <w:spacing w:after="0"/>
        <w:tabs>
          <w:tab w:leader="none" w:pos="452" w:val="left"/>
        </w:tabs>
        <w:numPr>
          <w:ilvl w:val="0"/>
          <w:numId w:val="1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72"/>
          </w:cols>
          <w:pgMar w:left="248" w:top="274" w:right="1379" w:bottom="1440" w:gutter="0" w:footer="0" w:header="0"/>
        </w:sectPr>
      </w:pPr>
    </w:p>
    <w:bookmarkStart w:id="161" w:name="page162"/>
    <w:bookmarkEnd w:id="161"/>
    <w:p>
      <w:pPr>
        <w:jc w:val="center"/>
        <w:ind w:left="4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Stratford-CLO Ltd.</w:t>
      </w:r>
    </w:p>
    <w:p>
      <w:pPr>
        <w:spacing w:after="0" w:line="21"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By: Highland Capital Management. L.P.</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By: Strand Advisors, Inc,</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Its General Partner -</w:t>
      </w:r>
    </w:p>
    <w:p>
      <w:pPr>
        <w:spacing w:after="0" w:line="37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Jason Post</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Jason Post</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Operations Director</w:t>
            </w:r>
          </w:p>
        </w:tc>
      </w:tr>
    </w:tbl>
    <w:p>
      <w:pPr>
        <w:spacing w:after="0" w:line="112" w:lineRule="exact"/>
        <w:rPr>
          <w:sz w:val="20"/>
          <w:szCs w:val="20"/>
          <w:color w:val="auto"/>
        </w:rPr>
      </w:pPr>
    </w:p>
    <w:p>
      <w:pPr>
        <w:ind w:left="452" w:hanging="452"/>
        <w:spacing w:after="0"/>
        <w:tabs>
          <w:tab w:leader="none" w:pos="452" w:val="left"/>
        </w:tabs>
        <w:numPr>
          <w:ilvl w:val="0"/>
          <w:numId w:val="1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62" w:name="page163"/>
    <w:bookmarkEnd w:id="16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Loan Funding VII LLC</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Highland Capital Management, LP, As Collateral</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Strand Advisors, Inc, Its General Partner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 By’</w:t>
      </w:r>
    </w:p>
    <w:p>
      <w:pPr>
        <w:spacing w:after="0" w:line="225"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Jason Post</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Jason Post</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 Director</w:t>
            </w:r>
          </w:p>
        </w:tc>
      </w:tr>
    </w:tbl>
    <w:p>
      <w:pPr>
        <w:spacing w:after="0" w:line="112" w:lineRule="exact"/>
        <w:rPr>
          <w:sz w:val="20"/>
          <w:szCs w:val="20"/>
          <w:color w:val="auto"/>
        </w:rPr>
      </w:pPr>
    </w:p>
    <w:p>
      <w:pPr>
        <w:ind w:left="452" w:hanging="452"/>
        <w:spacing w:after="0"/>
        <w:tabs>
          <w:tab w:leader="none" w:pos="452" w:val="left"/>
        </w:tabs>
        <w:numPr>
          <w:ilvl w:val="0"/>
          <w:numId w:val="1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63" w:name="page164"/>
    <w:bookmarkEnd w:id="16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8"/>
          <w:szCs w:val="18"/>
          <w:color w:val="auto"/>
        </w:rPr>
        <w:t>Westchester CLO, Ltd</w:t>
      </w:r>
    </w:p>
    <w:p>
      <w:pPr>
        <w:spacing w:after="0" w:line="21"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6"/>
          <w:szCs w:val="16"/>
          <w:color w:val="auto"/>
        </w:rPr>
        <w:t>By: Highland Capital Management L.P., As  Collateral Service</w:t>
      </w:r>
    </w:p>
    <w:p>
      <w:pPr>
        <w:spacing w:after="0" w:line="32"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8"/>
          <w:szCs w:val="18"/>
          <w:color w:val="auto"/>
        </w:rPr>
        <w:t>By: Strand Advisors, Inc., Its General Partner</w:t>
      </w:r>
    </w:p>
    <w:p>
      <w:pPr>
        <w:spacing w:after="0" w:line="37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Jason Post</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Jason Post</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 Director</w:t>
            </w:r>
          </w:p>
        </w:tc>
      </w:tr>
    </w:tbl>
    <w:p>
      <w:pPr>
        <w:spacing w:after="0" w:line="112" w:lineRule="exact"/>
        <w:rPr>
          <w:sz w:val="20"/>
          <w:szCs w:val="20"/>
          <w:color w:val="auto"/>
        </w:rPr>
      </w:pPr>
    </w:p>
    <w:p>
      <w:pPr>
        <w:ind w:left="452" w:hanging="452"/>
        <w:spacing w:after="0"/>
        <w:tabs>
          <w:tab w:leader="none" w:pos="452" w:val="left"/>
        </w:tabs>
        <w:numPr>
          <w:ilvl w:val="0"/>
          <w:numId w:val="1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64" w:name="page165"/>
    <w:bookmarkEnd w:id="164"/>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Loan Star State Trust</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Stone Tower Fund Management LLC</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Its Investment Advisor</w:t>
      </w:r>
    </w:p>
    <w:p>
      <w:pPr>
        <w:spacing w:after="0" w:line="3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W. DelPercio</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W. DelPercio</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ectPr>
          <w:pgSz w:w="11900" w:h="16838" w:orient="portrait"/>
          <w:cols w:equalWidth="0" w:num="1">
            <w:col w:w="10220"/>
          </w:cols>
          <w:pgMar w:left="1440" w:top="274" w:right="239" w:bottom="1440" w:gutter="0" w:footer="0" w:header="0"/>
        </w:sectPr>
      </w:pPr>
    </w:p>
    <w:bookmarkStart w:id="165" w:name="page166"/>
    <w:bookmarkEnd w:id="165"/>
    <w:p>
      <w:pPr>
        <w:jc w:val="right"/>
        <w:ind w:right="25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HillMark Funding Ltd.,</w:t>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By: HillMark Capital Management, L.P.,</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as Collateral Manager, as Lender</w:t>
      </w:r>
    </w:p>
    <w:p>
      <w:pPr>
        <w:spacing w:after="0" w:line="37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tbl>
      <w:tblPr>
        <w:tblLayout w:type="fixed"/>
        <w:tblInd w:w="7020"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Mark Gold</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Mark Gold</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w:t>
            </w:r>
          </w:p>
        </w:tc>
      </w:tr>
    </w:tbl>
    <w:p>
      <w:pPr>
        <w:spacing w:after="0" w:line="112" w:lineRule="exact"/>
        <w:rPr>
          <w:sz w:val="20"/>
          <w:szCs w:val="20"/>
          <w:color w:val="auto"/>
        </w:rPr>
      </w:pPr>
    </w:p>
    <w:p>
      <w:pPr>
        <w:ind w:left="460" w:hanging="452"/>
        <w:spacing w:after="0"/>
        <w:tabs>
          <w:tab w:leader="none" w:pos="460" w:val="left"/>
        </w:tabs>
        <w:numPr>
          <w:ilvl w:val="0"/>
          <w:numId w:val="1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6" w:name="page167"/>
    <w:bookmarkEnd w:id="16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Stoney Lane Funding I., Ltd.</w:t>
      </w:r>
    </w:p>
    <w:p>
      <w:pPr>
        <w:spacing w:after="0" w:line="21"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By: HillMark Capital Management, L.P.,</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as Collateral Manager, as Lender</w:t>
      </w:r>
    </w:p>
    <w:p>
      <w:pPr>
        <w:spacing w:after="0" w:line="37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Mark Gold</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Mark Gold</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w:t>
            </w:r>
          </w:p>
        </w:tc>
      </w:tr>
    </w:tbl>
    <w:p>
      <w:pPr>
        <w:spacing w:after="0" w:line="112" w:lineRule="exact"/>
        <w:rPr>
          <w:sz w:val="20"/>
          <w:szCs w:val="20"/>
          <w:color w:val="auto"/>
        </w:rPr>
      </w:pPr>
    </w:p>
    <w:p>
      <w:pPr>
        <w:ind w:left="452" w:hanging="452"/>
        <w:spacing w:after="0"/>
        <w:tabs>
          <w:tab w:leader="none" w:pos="452" w:val="left"/>
        </w:tabs>
        <w:numPr>
          <w:ilvl w:val="0"/>
          <w:numId w:val="1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67" w:name="page168"/>
    <w:bookmarkEnd w:id="16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GOLDMAN SACHS LENDING PARTNERS LLC</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6"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Lauren Day</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Lauren Day</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1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68" w:name="page169"/>
    <w:bookmarkEnd w:id="16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37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T2 Income Fund CLO 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T2 Advisers, LLC</w:t>
            </w:r>
          </w:p>
        </w:tc>
      </w:tr>
      <w:tr>
        <w:trPr>
          <w:trHeight w:val="228"/>
        </w:trPr>
        <w:tc>
          <w:tcPr>
            <w:tcW w:w="38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Collateral Manager</w:t>
            </w:r>
          </w:p>
        </w:tc>
      </w:tr>
      <w:tr>
        <w:trPr>
          <w:trHeight w:val="43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Saul Rosenthal</w:t>
            </w:r>
          </w:p>
        </w:tc>
      </w:tr>
      <w:tr>
        <w:trPr>
          <w:trHeight w:val="197"/>
        </w:trPr>
        <w:tc>
          <w:tcPr>
            <w:tcW w:w="54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Saul Rosenthal</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2"/>
              </w:rPr>
              <w:t>Title:</w:t>
            </w:r>
          </w:p>
        </w:tc>
        <w:tc>
          <w:tcPr>
            <w:tcW w:w="16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12" w:lineRule="exact"/>
        <w:rPr>
          <w:sz w:val="20"/>
          <w:szCs w:val="20"/>
          <w:color w:val="auto"/>
        </w:rPr>
      </w:pPr>
    </w:p>
    <w:p>
      <w:pPr>
        <w:ind w:left="452" w:hanging="452"/>
        <w:spacing w:after="0"/>
        <w:tabs>
          <w:tab w:leader="none" w:pos="452" w:val="left"/>
        </w:tabs>
        <w:numPr>
          <w:ilvl w:val="0"/>
          <w:numId w:val="1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69" w:name="page170"/>
    <w:bookmarkEnd w:id="16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OWS CLO I,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One Wall Street CLO II,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Pacifica CDO III,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Pacifica CDO IV,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Pacifica CDO VI,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Prospero CLO I, B.V.</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US Bank Loan Fund (M) Master Trust</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Veritas CLO II, Ltd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Westwood CDO II, Ltd, as Consenting</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Lenders</w:t>
      </w:r>
    </w:p>
    <w:p>
      <w:pPr>
        <w:spacing w:after="0" w:line="226"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Edward M. Vietor</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Edward M. Vietor</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1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70" w:name="page171"/>
    <w:bookmarkEnd w:id="17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8412"/>
        <w:spacing w:after="0"/>
        <w:rPr>
          <w:sz w:val="20"/>
          <w:szCs w:val="20"/>
          <w:color w:val="auto"/>
        </w:rPr>
      </w:pPr>
      <w:r>
        <w:rPr>
          <w:rFonts w:ascii="Times New Roman" w:cs="Times New Roman" w:eastAsia="Times New Roman" w:hAnsi="Times New Roman"/>
          <w:sz w:val="18"/>
          <w:szCs w:val="18"/>
          <w:b w:val="1"/>
          <w:bCs w:val="1"/>
          <w:color w:val="auto"/>
        </w:rPr>
        <w:t>CSAM Funding IV</w:t>
      </w:r>
    </w:p>
    <w:p>
      <w:pPr>
        <w:spacing w:after="0" w:line="37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00" w:lineRule="exact"/>
        <w:rPr>
          <w:sz w:val="20"/>
          <w:szCs w:val="20"/>
          <w:color w:val="auto"/>
        </w:rPr>
      </w:pPr>
    </w:p>
    <w:p>
      <w:pPr>
        <w:spacing w:after="0" w:line="215"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Thomas Flannery</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THOMAS FLANNERY</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1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71" w:name="page172"/>
    <w:bookmarkEnd w:id="17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8412"/>
        <w:spacing w:after="0"/>
        <w:rPr>
          <w:sz w:val="20"/>
          <w:szCs w:val="20"/>
          <w:color w:val="auto"/>
        </w:rPr>
      </w:pPr>
      <w:r>
        <w:rPr>
          <w:rFonts w:ascii="Times New Roman" w:cs="Times New Roman" w:eastAsia="Times New Roman" w:hAnsi="Times New Roman"/>
          <w:sz w:val="18"/>
          <w:szCs w:val="18"/>
          <w:b w:val="1"/>
          <w:bCs w:val="1"/>
          <w:color w:val="auto"/>
        </w:rPr>
        <w:t>CSAM Funding III</w:t>
      </w:r>
    </w:p>
    <w:p>
      <w:pPr>
        <w:spacing w:after="0" w:line="200" w:lineRule="exact"/>
        <w:rPr>
          <w:sz w:val="20"/>
          <w:szCs w:val="20"/>
          <w:color w:val="auto"/>
        </w:rPr>
      </w:pPr>
    </w:p>
    <w:p>
      <w:pPr>
        <w:spacing w:after="0" w:line="28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199"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Thomas Flannery</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THOMAS FLANNERY</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1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72" w:name="page173"/>
    <w:bookmarkEnd w:id="17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012"/>
        <w:spacing w:after="0"/>
        <w:rPr>
          <w:sz w:val="20"/>
          <w:szCs w:val="20"/>
          <w:color w:val="auto"/>
        </w:rPr>
      </w:pPr>
      <w:r>
        <w:rPr>
          <w:rFonts w:ascii="Times New Roman" w:cs="Times New Roman" w:eastAsia="Times New Roman" w:hAnsi="Times New Roman"/>
          <w:sz w:val="18"/>
          <w:szCs w:val="18"/>
          <w:b w:val="1"/>
          <w:bCs w:val="1"/>
          <w:color w:val="auto"/>
        </w:rPr>
        <w:t>Atrium V</w:t>
      </w:r>
    </w:p>
    <w:p>
      <w:pPr>
        <w:spacing w:after="0" w:line="23"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b w:val="1"/>
          <w:bCs w:val="1"/>
          <w:color w:val="auto"/>
        </w:rPr>
        <w:t>By: Credit Suisse Asset Management, LLC</w:t>
      </w:r>
    </w:p>
    <w:p>
      <w:pPr>
        <w:spacing w:after="0" w:line="9"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b w:val="1"/>
          <w:bCs w:val="1"/>
          <w:color w:val="auto"/>
        </w:rPr>
        <w:t>as collateral manager</w:t>
      </w:r>
    </w:p>
    <w:p>
      <w:pPr>
        <w:spacing w:after="0" w:line="200" w:lineRule="exact"/>
        <w:rPr>
          <w:sz w:val="20"/>
          <w:szCs w:val="20"/>
          <w:color w:val="auto"/>
        </w:rPr>
      </w:pPr>
    </w:p>
    <w:p>
      <w:pPr>
        <w:spacing w:after="0" w:line="28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199"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Thomas Flannery</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THOMAS FLANNERY</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1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73" w:name="page174"/>
    <w:bookmarkEnd w:id="17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VENTURE II CDO 2002,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its investment advisor,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MJX Asset Management LLC, as a Consenting Lender</w:t>
      </w:r>
    </w:p>
    <w:p>
      <w:pPr>
        <w:spacing w:after="0" w:line="199" w:lineRule="exact"/>
        <w:rPr>
          <w:sz w:val="20"/>
          <w:szCs w:val="20"/>
          <w:color w:val="auto"/>
        </w:rPr>
      </w:pPr>
    </w:p>
    <w:tbl>
      <w:tblPr>
        <w:tblLayout w:type="fixed"/>
        <w:tblInd w:w="7012" w:type="dxa"/>
        <w:tblCellMar>
          <w:top w:w="0" w:type="dxa"/>
          <w:left w:w="0" w:type="dxa"/>
          <w:bottom w:w="0" w:type="dxa"/>
          <w:right w:w="0" w:type="dxa"/>
        </w:tblCellMar>
      </w:tblP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Simon Yuan</w:t>
            </w:r>
          </w:p>
        </w:tc>
      </w:tr>
      <w:tr>
        <w:trPr>
          <w:trHeight w:val="197"/>
        </w:trPr>
        <w:tc>
          <w:tcPr>
            <w:tcW w:w="5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Simon Yuan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1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74" w:name="page175"/>
    <w:bookmarkEnd w:id="17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CONSENTING LENDERS: </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VENTURE III CDO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its investment advisor,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MJX Asset Management LLC, as a Consenting Lender</w:t>
      </w:r>
    </w:p>
    <w:p>
      <w:pPr>
        <w:spacing w:after="0" w:line="19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Simon Yuan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Simon Yuan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1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75" w:name="page176"/>
    <w:bookmarkEnd w:id="17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VENTURE IV CDO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its investment advisor,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MJX Asset Management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Simon Yuan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Simon Yuan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1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76" w:name="page177"/>
    <w:bookmarkEnd w:id="17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VENTURE V CDO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its investment advisor,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MJX Asset Management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Simon Yuan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Simon Yuan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1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77" w:name="page178"/>
    <w:bookmarkEnd w:id="17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VENTURE VI CDO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its investment advisor,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MJX Asset Management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Simon Yuan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Simon Yuan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1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78" w:name="page179"/>
    <w:bookmarkEnd w:id="17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VENTURE VII CDO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its investment advisor,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MJX Asset Management LLC, as a Consenting Leader</w:t>
      </w:r>
    </w:p>
    <w:p>
      <w:pPr>
        <w:spacing w:after="0" w:line="19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Simon Yuan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Simon Yuan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1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(he amendment hut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79" w:name="page180"/>
    <w:bookmarkEnd w:id="17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 xml:space="preserve">VENTURE </w:t>
      </w: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CDO LIMITED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its investment advisor,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MJX Asset Management LLC, as a Consenting Lender</w:t>
      </w:r>
    </w:p>
    <w:p>
      <w:pPr>
        <w:spacing w:after="0" w:line="199"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Simon Yuan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Simon Yuan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1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80" w:name="page181"/>
    <w:bookmarkEnd w:id="18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VENTURE IX CDO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its investment advisor,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MJX Asset Management LLC, as a</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13"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Simon Yuan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Simon Yuan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16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81" w:name="page182"/>
    <w:bookmarkEnd w:id="18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VISTA LEVERAGED INCOME FUND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its investment advisor,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MJX Asset Management LLC, as a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Simon Yuan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Simon Yuan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1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82" w:name="page183"/>
    <w:bookmarkEnd w:id="18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VEER CASH FLOW CLO,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its investment advisor,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MJX Asset Management LLC, as a Consenting 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Simon Yuan</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Simon Yuan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12" w:lineRule="exact"/>
        <w:rPr>
          <w:sz w:val="20"/>
          <w:szCs w:val="20"/>
          <w:color w:val="auto"/>
        </w:rPr>
      </w:pPr>
    </w:p>
    <w:p>
      <w:pPr>
        <w:ind w:left="452" w:hanging="452"/>
        <w:spacing w:after="0"/>
        <w:tabs>
          <w:tab w:leader="none" w:pos="452" w:val="left"/>
        </w:tabs>
        <w:numPr>
          <w:ilvl w:val="0"/>
          <w:numId w:val="1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83" w:name="page184"/>
    <w:bookmarkEnd w:id="18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THE THIRTY-EIGHT HUNDRED FUND, LLC</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 Consenting</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26"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Ross Berger</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Ross Berger</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Principal Investments</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$2M of Term Loan B</w:t>
      </w:r>
    </w:p>
    <w:p>
      <w:pPr>
        <w:spacing w:after="0" w:line="134" w:lineRule="exact"/>
        <w:rPr>
          <w:sz w:val="20"/>
          <w:szCs w:val="20"/>
          <w:color w:val="auto"/>
        </w:rPr>
      </w:pPr>
    </w:p>
    <w:p>
      <w:pPr>
        <w:ind w:left="452" w:hanging="452"/>
        <w:spacing w:after="0"/>
        <w:tabs>
          <w:tab w:leader="none" w:pos="452" w:val="left"/>
        </w:tabs>
        <w:numPr>
          <w:ilvl w:val="0"/>
          <w:numId w:val="1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84" w:name="page185"/>
    <w:bookmarkEnd w:id="18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prim or type name of institution]., </w:t>
      </w:r>
      <w:r>
        <w:rPr>
          <w:rFonts w:ascii="Times New Roman" w:cs="Times New Roman" w:eastAsia="Times New Roman" w:hAnsi="Times New Roman"/>
          <w:sz w:val="16"/>
          <w:szCs w:val="16"/>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-114935</wp:posOffset>
            </wp:positionV>
            <wp:extent cx="28987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Ross Berger</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Ross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1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Principal Investments</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$9.5M of Term Loan B</w:t>
      </w:r>
    </w:p>
    <w:p>
      <w:pPr>
        <w:spacing w:after="0" w:line="134" w:lineRule="exact"/>
        <w:rPr>
          <w:sz w:val="20"/>
          <w:szCs w:val="20"/>
          <w:color w:val="auto"/>
        </w:rPr>
      </w:pPr>
    </w:p>
    <w:p>
      <w:pPr>
        <w:ind w:left="452" w:hanging="452"/>
        <w:spacing w:after="0"/>
        <w:tabs>
          <w:tab w:leader="none" w:pos="452" w:val="left"/>
        </w:tabs>
        <w:numPr>
          <w:ilvl w:val="0"/>
          <w:numId w:val="16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52"/>
          </w:cols>
          <w:pgMar w:left="248" w:top="274" w:right="699" w:bottom="1440" w:gutter="0" w:footer="0" w:header="0"/>
        </w:sectPr>
      </w:pPr>
    </w:p>
    <w:bookmarkStart w:id="185" w:name="page186"/>
    <w:bookmarkEnd w:id="18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5</w:t>
      </w:r>
    </w:p>
    <w:p>
      <w:pPr>
        <w:spacing w:after="0" w:line="25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[CIT Middle Market Loan Trust III], </w:t>
      </w:r>
      <w:r>
        <w:rPr>
          <w:rFonts w:ascii="Times New Roman" w:cs="Times New Roman" w:eastAsia="Times New Roman" w:hAnsi="Times New Roman"/>
          <w:sz w:val="16"/>
          <w:szCs w:val="16"/>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-114300</wp:posOffset>
            </wp:positionV>
            <wp:extent cx="289877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Roger Burns</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Roger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E.V.P.</w:t>
      </w:r>
    </w:p>
    <w:p>
      <w:pPr>
        <w:spacing w:after="0" w:line="121" w:lineRule="exact"/>
        <w:rPr>
          <w:sz w:val="20"/>
          <w:szCs w:val="20"/>
          <w:color w:val="auto"/>
        </w:rPr>
      </w:pPr>
    </w:p>
    <w:p>
      <w:pPr>
        <w:ind w:left="452" w:hanging="452"/>
        <w:spacing w:after="0"/>
        <w:tabs>
          <w:tab w:leader="none" w:pos="452" w:val="left"/>
        </w:tabs>
        <w:numPr>
          <w:ilvl w:val="0"/>
          <w:numId w:val="16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112"/>
          </w:cols>
          <w:pgMar w:left="248" w:top="274" w:right="539" w:bottom="1440" w:gutter="0" w:footer="0" w:header="0"/>
        </w:sectPr>
      </w:pPr>
    </w:p>
    <w:bookmarkStart w:id="186" w:name="page187"/>
    <w:bookmarkEnd w:id="186"/>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CARLYLE VEYRON CLO, LTD.,</w:t>
      </w: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Consenting Lew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Linda Pace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019"/>
          </w:cols>
          <w:pgMar w:left="1440" w:top="274" w:right="1440" w:bottom="1440" w:gutter="0" w:footer="0" w:header="0"/>
        </w:sectPr>
      </w:pPr>
    </w:p>
    <w:bookmarkStart w:id="187" w:name="page188"/>
    <w:bookmarkEnd w:id="187"/>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CARLYLE VANTAGE CLO, LTD.,</w:t>
      </w: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Linda Pace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019"/>
          </w:cols>
          <w:pgMar w:left="1440" w:top="274" w:right="1440" w:bottom="1440" w:gutter="0" w:footer="0" w:header="0"/>
        </w:sectPr>
      </w:pPr>
    </w:p>
    <w:bookmarkStart w:id="188" w:name="page189"/>
    <w:bookmarkEnd w:id="188"/>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CARLYLE DAYTONA CLO, LTD.,</w:t>
      </w:r>
    </w:p>
    <w:p>
      <w:pPr>
        <w:spacing w:after="0" w:line="1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Linda Pace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019"/>
          </w:cols>
          <w:pgMar w:left="1440" w:top="274" w:right="1440" w:bottom="1440" w:gutter="0" w:footer="0" w:header="0"/>
        </w:sectPr>
      </w:pPr>
    </w:p>
    <w:bookmarkStart w:id="189" w:name="page190"/>
    <w:bookmarkEnd w:id="189"/>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CARLYLE ARNAGE CLO, LTD.,</w:t>
      </w:r>
    </w:p>
    <w:p>
      <w:pPr>
        <w:spacing w:after="0" w:line="1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Linda Pace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019"/>
          </w:cols>
          <w:pgMar w:left="1440" w:top="274" w:right="1440" w:bottom="1440" w:gutter="0" w:footer="0" w:header="0"/>
        </w:sectPr>
      </w:pPr>
    </w:p>
    <w:bookmarkStart w:id="190" w:name="page191"/>
    <w:bookmarkEnd w:id="190"/>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CARLYLE MCLAREN CLO, LTD.,</w:t>
      </w:r>
    </w:p>
    <w:p>
      <w:pPr>
        <w:spacing w:after="0" w:line="1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Linda Pace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019"/>
          </w:cols>
          <w:pgMar w:left="1440" w:top="274" w:right="1440" w:bottom="1440" w:gutter="0" w:footer="0" w:header="0"/>
        </w:sectPr>
      </w:pPr>
    </w:p>
    <w:bookmarkStart w:id="191" w:name="page192"/>
    <w:bookmarkEnd w:id="191"/>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CARLYLE AZURE CLO, LTD.,</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92"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Linda Pace</w:t>
            </w:r>
          </w:p>
        </w:tc>
      </w:tr>
      <w:tr>
        <w:trPr>
          <w:trHeight w:val="184"/>
        </w:trPr>
        <w:tc>
          <w:tcPr>
            <w:tcW w:w="5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Linda Pace</w:t>
            </w:r>
          </w:p>
        </w:tc>
      </w:tr>
      <w:tr>
        <w:trPr>
          <w:trHeight w:val="24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bl>
    <w:p>
      <w:pPr>
        <w:sectPr>
          <w:pgSz w:w="11900" w:h="16838" w:orient="portrait"/>
          <w:cols w:equalWidth="0" w:num="1">
            <w:col w:w="10220"/>
          </w:cols>
          <w:pgMar w:left="1440" w:top="274" w:right="239" w:bottom="1440" w:gutter="0" w:footer="0" w:header="0"/>
        </w:sectPr>
      </w:pPr>
    </w:p>
    <w:bookmarkStart w:id="192" w:name="page193"/>
    <w:bookmarkEnd w:id="192"/>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CARLYLE BRISTOL CLO, LTD.,</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19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Linda Pace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019"/>
          </w:cols>
          <w:pgMar w:left="1440" w:top="274" w:right="1440" w:bottom="1440" w:gutter="0" w:footer="0" w:header="0"/>
        </w:sectPr>
      </w:pPr>
    </w:p>
    <w:bookmarkStart w:id="193" w:name="page194"/>
    <w:bookmarkEnd w:id="193"/>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CONSENTING LENDERS: </w:t>
      </w:r>
      <w:r>
        <w:rPr>
          <w:rFonts w:ascii="Times New Roman" w:cs="Times New Roman" w:eastAsia="Times New Roman" w:hAnsi="Times New Roman"/>
          <w:sz w:val="11"/>
          <w:szCs w:val="11"/>
          <w:b w:val="1"/>
          <w:bCs w:val="1"/>
          <w:color w:val="auto"/>
        </w:rPr>
        <w:t>1</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Western Asset Management Company Acting as Investment</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Manager and Agent on behalf of Mt. Wilson CLO, Ltd., as a</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Donna Thomas-Sapp</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Donna Thomas-Sapp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4" w:lineRule="exact"/>
        <w:rPr>
          <w:sz w:val="20"/>
          <w:szCs w:val="20"/>
          <w:color w:val="auto"/>
        </w:rPr>
      </w:pPr>
    </w:p>
    <w:p>
      <w:pPr>
        <w:ind w:left="460" w:hanging="452"/>
        <w:spacing w:after="0"/>
        <w:tabs>
          <w:tab w:leader="none" w:pos="460" w:val="left"/>
        </w:tabs>
        <w:numPr>
          <w:ilvl w:val="0"/>
          <w:numId w:val="16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100"/>
          </w:cols>
          <w:pgMar w:left="240" w:top="274" w:right="559" w:bottom="1440" w:gutter="0" w:footer="0" w:header="0"/>
        </w:sectPr>
      </w:pPr>
    </w:p>
    <w:bookmarkStart w:id="194" w:name="page195"/>
    <w:bookmarkEnd w:id="19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Western Asset Management Company Acting as Investment</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Manager and Agent on behalf of Mt. Wilson CLO II, Ltd., as a</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1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Donna Thomas-Sapp</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Donna Thomas-Sapp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4" w:lineRule="exact"/>
        <w:rPr>
          <w:sz w:val="20"/>
          <w:szCs w:val="20"/>
          <w:color w:val="auto"/>
        </w:rPr>
      </w:pPr>
    </w:p>
    <w:p>
      <w:pPr>
        <w:ind w:left="452" w:hanging="452"/>
        <w:spacing w:after="0"/>
        <w:tabs>
          <w:tab w:leader="none" w:pos="452" w:val="left"/>
        </w:tabs>
        <w:numPr>
          <w:ilvl w:val="0"/>
          <w:numId w:val="16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252"/>
          </w:cols>
          <w:pgMar w:left="248" w:top="274" w:right="399" w:bottom="1440" w:gutter="0" w:footer="0" w:header="0"/>
        </w:sectPr>
      </w:pPr>
    </w:p>
    <w:bookmarkStart w:id="195" w:name="page196"/>
    <w:bookmarkEnd w:id="19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b w:val="1"/>
          <w:bCs w:val="1"/>
          <w:color w:val="auto"/>
        </w:rPr>
        <w:t>CREDIT SUISSE LOAN FUNDING LLC.</w:t>
      </w:r>
    </w:p>
    <w:p>
      <w:pPr>
        <w:spacing w:after="0" w:line="4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-129540</wp:posOffset>
            </wp:positionV>
            <wp:extent cx="289877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Deja Zazzarino</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Deja Zazzarino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Ian Landow</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Ian Landow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4" w:lineRule="exact"/>
        <w:rPr>
          <w:sz w:val="20"/>
          <w:szCs w:val="20"/>
          <w:color w:val="auto"/>
        </w:rPr>
      </w:pPr>
    </w:p>
    <w:p>
      <w:pPr>
        <w:ind w:left="452" w:hanging="452"/>
        <w:spacing w:after="0"/>
        <w:tabs>
          <w:tab w:leader="none" w:pos="452" w:val="left"/>
        </w:tabs>
        <w:numPr>
          <w:ilvl w:val="0"/>
          <w:numId w:val="1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196" w:name="page197"/>
    <w:bookmarkEnd w:id="19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b w:val="1"/>
          <w:bCs w:val="1"/>
          <w:color w:val="auto"/>
        </w:rPr>
        <w:t>1</w:t>
      </w:r>
    </w:p>
    <w:p>
      <w:pPr>
        <w:spacing w:after="0" w:line="223"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b w:val="1"/>
          <w:bCs w:val="1"/>
          <w:color w:val="auto"/>
        </w:rPr>
        <w:t>DuaneStreet CLO 1, Ltd.</w:t>
      </w:r>
    </w:p>
    <w:p>
      <w:pPr>
        <w:spacing w:after="0" w:line="23"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b w:val="1"/>
          <w:bCs w:val="1"/>
          <w:color w:val="auto"/>
        </w:rPr>
        <w:t>By: DiMalo Ahmad Capital LLC,</w:t>
      </w:r>
    </w:p>
    <w:p>
      <w:pPr>
        <w:spacing w:after="0" w:line="9"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b w:val="1"/>
          <w:bCs w:val="1"/>
          <w:u w:val="single" w:color="auto"/>
          <w:color w:val="auto"/>
        </w:rPr>
        <w:t>As Collateral Manager</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a Consenting</w:t>
      </w:r>
    </w:p>
    <w:p>
      <w:pPr>
        <w:spacing w:after="0" w:line="4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Paul Travers</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Paul Travers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4" w:lineRule="exact"/>
        <w:rPr>
          <w:sz w:val="20"/>
          <w:szCs w:val="20"/>
          <w:color w:val="auto"/>
        </w:rPr>
      </w:pPr>
    </w:p>
    <w:p>
      <w:pPr>
        <w:ind w:left="452" w:hanging="452"/>
        <w:spacing w:after="0"/>
        <w:tabs>
          <w:tab w:leader="none" w:pos="452" w:val="left"/>
        </w:tabs>
        <w:numPr>
          <w:ilvl w:val="0"/>
          <w:numId w:val="16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12"/>
          </w:cols>
          <w:pgMar w:left="248" w:top="274" w:right="739" w:bottom="1440" w:gutter="0" w:footer="0" w:header="0"/>
        </w:sectPr>
      </w:pPr>
    </w:p>
    <w:bookmarkStart w:id="197" w:name="page198"/>
    <w:bookmarkEnd w:id="19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b w:val="1"/>
          <w:bCs w:val="1"/>
          <w:color w:val="auto"/>
        </w:rPr>
        <w:t>Duane Street CLO II, Ltd.</w:t>
      </w:r>
    </w:p>
    <w:p>
      <w:pPr>
        <w:spacing w:after="0" w:line="23"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6"/>
          <w:szCs w:val="16"/>
          <w:b w:val="1"/>
          <w:bCs w:val="1"/>
          <w:color w:val="auto"/>
        </w:rPr>
        <w:t>By: DiMalo Ahmad Capital LLC,</w:t>
      </w:r>
    </w:p>
    <w:p>
      <w:pPr>
        <w:spacing w:after="0" w:line="32"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b w:val="1"/>
          <w:bCs w:val="1"/>
          <w:color w:val="auto"/>
        </w:rPr>
        <w:t>As Collateral Manager</w:t>
      </w:r>
    </w:p>
    <w:p>
      <w:pPr>
        <w:spacing w:after="0" w:line="2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[please print or type name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-128905</wp:posOffset>
            </wp:positionV>
            <wp:extent cx="289877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1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Paul Travers</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Paul Travers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4" w:lineRule="exact"/>
        <w:rPr>
          <w:sz w:val="20"/>
          <w:szCs w:val="20"/>
          <w:color w:val="auto"/>
        </w:rPr>
      </w:pPr>
    </w:p>
    <w:p>
      <w:pPr>
        <w:ind w:left="452" w:hanging="452"/>
        <w:spacing w:after="0"/>
        <w:tabs>
          <w:tab w:leader="none" w:pos="452" w:val="left"/>
        </w:tabs>
        <w:numPr>
          <w:ilvl w:val="0"/>
          <w:numId w:val="1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32"/>
          </w:cols>
          <w:pgMar w:left="248" w:top="274" w:right="1419" w:bottom="1440" w:gutter="0" w:footer="0" w:header="0"/>
        </w:sectPr>
      </w:pPr>
    </w:p>
    <w:bookmarkStart w:id="198" w:name="page199"/>
    <w:bookmarkEnd w:id="19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b w:val="1"/>
          <w:bCs w:val="1"/>
          <w:color w:val="auto"/>
        </w:rPr>
        <w:t>Duarte Street CLO UI, Ltd.</w:t>
      </w:r>
    </w:p>
    <w:p>
      <w:pPr>
        <w:spacing w:after="0" w:line="23"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b w:val="1"/>
          <w:bCs w:val="1"/>
          <w:color w:val="auto"/>
        </w:rPr>
        <w:t>By: DiMalo Ahmad Capital LLC,</w:t>
      </w:r>
    </w:p>
    <w:p>
      <w:pPr>
        <w:spacing w:after="0" w:line="9"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b w:val="1"/>
          <w:bCs w:val="1"/>
          <w:color w:val="auto"/>
        </w:rPr>
        <w:t>As Collateral Manager</w:t>
      </w:r>
    </w:p>
    <w:p>
      <w:pPr>
        <w:spacing w:after="0" w:line="2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-114300</wp:posOffset>
            </wp:positionV>
            <wp:extent cx="289877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Paul Travers</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Paul Travers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4" w:lineRule="exact"/>
        <w:rPr>
          <w:sz w:val="20"/>
          <w:szCs w:val="20"/>
          <w:color w:val="auto"/>
        </w:rPr>
      </w:pPr>
    </w:p>
    <w:p>
      <w:pPr>
        <w:ind w:left="452" w:hanging="452"/>
        <w:spacing w:after="0"/>
        <w:tabs>
          <w:tab w:leader="none" w:pos="452" w:val="left"/>
        </w:tabs>
        <w:numPr>
          <w:ilvl w:val="0"/>
          <w:numId w:val="1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12"/>
          </w:cols>
          <w:pgMar w:left="248" w:top="274" w:right="739" w:bottom="1440" w:gutter="0" w:footer="0" w:header="0"/>
        </w:sectPr>
      </w:pPr>
    </w:p>
    <w:bookmarkStart w:id="199" w:name="page200"/>
    <w:bookmarkEnd w:id="19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color w:val="auto"/>
        </w:rPr>
        <w:t>Duane Street CLO IV, Ltd.</w:t>
      </w:r>
    </w:p>
    <w:p>
      <w:pPr>
        <w:spacing w:after="0" w:line="21"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color w:val="auto"/>
        </w:rPr>
        <w:t>By: DiMalo Ahmad Capital</w:t>
      </w:r>
    </w:p>
    <w:p>
      <w:pPr>
        <w:spacing w:after="0" w:line="9" w:lineRule="exact"/>
        <w:rPr>
          <w:sz w:val="20"/>
          <w:szCs w:val="20"/>
          <w:color w:val="auto"/>
        </w:rPr>
      </w:pPr>
    </w:p>
    <w:p>
      <w:pPr>
        <w:ind w:left="7712"/>
        <w:spacing w:after="0"/>
        <w:rPr>
          <w:sz w:val="20"/>
          <w:szCs w:val="20"/>
          <w:color w:val="auto"/>
        </w:rPr>
      </w:pPr>
      <w:r>
        <w:rPr>
          <w:rFonts w:ascii="Times New Roman" w:cs="Times New Roman" w:eastAsia="Times New Roman" w:hAnsi="Times New Roman"/>
          <w:sz w:val="18"/>
          <w:szCs w:val="18"/>
          <w:color w:val="auto"/>
        </w:rPr>
        <w:t>LLC, As Collateral Manager</w:t>
      </w:r>
    </w:p>
    <w:p>
      <w:pPr>
        <w:spacing w:after="0" w:line="2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-114300</wp:posOffset>
            </wp:positionV>
            <wp:extent cx="289877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/s/ Paul Travers</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Paul Travers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4" w:lineRule="exact"/>
        <w:rPr>
          <w:sz w:val="20"/>
          <w:szCs w:val="20"/>
          <w:color w:val="auto"/>
        </w:rPr>
      </w:pPr>
    </w:p>
    <w:p>
      <w:pPr>
        <w:ind w:left="452" w:hanging="452"/>
        <w:spacing w:after="0"/>
        <w:tabs>
          <w:tab w:leader="none" w:pos="452" w:val="left"/>
        </w:tabs>
        <w:numPr>
          <w:ilvl w:val="0"/>
          <w:numId w:val="17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12"/>
          </w:cols>
          <w:pgMar w:left="248" w:top="274" w:right="739" w:bottom="1440" w:gutter="0" w:footer="0" w:header="0"/>
        </w:sectPr>
      </w:pPr>
    </w:p>
    <w:bookmarkStart w:id="200" w:name="page201"/>
    <w:bookmarkEnd w:id="200"/>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ARTUS LOAN FUND 2007-1, LTD.</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CLEAR LAKE CLO,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ST. JAMES RIVER CLO,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SUMMIT LAKE CLO, LTD.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VICTORIA FALLS CLO, LTD., each as a</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By: Babson Capital Management LLC as Collateral</w:t>
      </w:r>
    </w:p>
    <w:p>
      <w:pPr>
        <w:spacing w:after="0" w:line="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Manager</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 McMartin, Jr.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 McMartin,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DIAMOND LAKE CLO, LTD.</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VINACASA CLO, LTD., each as a Consenting</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Lender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By; Babson Capital Management LLC as Collateral</w:t>
      </w:r>
    </w:p>
    <w:p>
      <w:pPr>
        <w:spacing w:after="0" w:line="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Servicer</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 McMartin, Jr.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 McMartin,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300"/>
          </w:cols>
          <w:pgMar w:left="1440" w:top="274" w:right="1159" w:bottom="1440" w:gutter="0" w:footer="0" w:header="0"/>
        </w:sectPr>
      </w:pPr>
    </w:p>
    <w:bookmarkStart w:id="201" w:name="page202"/>
    <w:bookmarkEnd w:id="20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color w:val="auto"/>
        </w:rPr>
        <w:t>Gallatin CLO II 2005 -1, LTD</w:t>
      </w:r>
    </w:p>
    <w:p>
      <w:pPr>
        <w:spacing w:after="0" w:line="21"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color w:val="auto"/>
        </w:rPr>
        <w:t>By: UrsaMine Credit Advisors, LLC</w:t>
      </w:r>
    </w:p>
    <w:p>
      <w:pPr>
        <w:spacing w:after="0" w:line="9"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color w:val="auto"/>
        </w:rPr>
        <w:t>as its Collateral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15875</wp:posOffset>
            </wp:positionV>
            <wp:extent cx="289877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 as a Consenting Lender</w:t>
      </w:r>
    </w:p>
    <w:p>
      <w:pPr>
        <w:spacing w:after="0" w:line="225" w:lineRule="exact"/>
        <w:rPr>
          <w:sz w:val="20"/>
          <w:szCs w:val="20"/>
          <w:color w:val="auto"/>
        </w:rPr>
      </w:pPr>
    </w:p>
    <w:tbl>
      <w:tblPr>
        <w:tblLayout w:type="fixed"/>
        <w:tblInd w:w="6852" w:type="dxa"/>
        <w:tblCellMar>
          <w:top w:w="0" w:type="dxa"/>
          <w:left w:w="0" w:type="dxa"/>
          <w:bottom w:w="0" w:type="dxa"/>
          <w:right w:w="0" w:type="dxa"/>
        </w:tblCellMar>
      </w:tblPr>
      <w:tr>
        <w:trPr>
          <w:trHeight w:val="22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Niall Rosenzweig</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Niall Rosenzweig</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w:t>
            </w:r>
          </w:p>
        </w:tc>
      </w:tr>
    </w:tbl>
    <w:p>
      <w:pPr>
        <w:spacing w:after="0" w:line="112" w:lineRule="exact"/>
        <w:rPr>
          <w:sz w:val="20"/>
          <w:szCs w:val="20"/>
          <w:color w:val="auto"/>
        </w:rPr>
      </w:pPr>
    </w:p>
    <w:p>
      <w:pPr>
        <w:ind w:left="452" w:hanging="452"/>
        <w:spacing w:after="0"/>
        <w:tabs>
          <w:tab w:leader="none" w:pos="452" w:val="left"/>
        </w:tabs>
        <w:numPr>
          <w:ilvl w:val="0"/>
          <w:numId w:val="1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202" w:name="page203"/>
    <w:bookmarkEnd w:id="20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color w:val="auto"/>
        </w:rPr>
        <w:t>Gallatin CLO 111 2007-1, LTD</w:t>
      </w:r>
    </w:p>
    <w:p>
      <w:pPr>
        <w:spacing w:after="0" w:line="21"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color w:val="auto"/>
        </w:rPr>
        <w:t>As Assignee</w:t>
      </w:r>
    </w:p>
    <w:p>
      <w:pPr>
        <w:spacing w:after="0" w:line="9"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color w:val="auto"/>
        </w:rPr>
        <w:t>By: UrsaMine Credit Advisors, LLC as its Collateral</w:t>
      </w:r>
    </w:p>
    <w:p>
      <w:pPr>
        <w:spacing w:after="0" w:line="9"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color w:val="auto"/>
        </w:rPr>
        <w:t>Manager</w:t>
      </w:r>
    </w:p>
    <w:p>
      <w:pPr>
        <w:spacing w:after="0" w:line="25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 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tbl>
      <w:tblPr>
        <w:tblLayout w:type="fixed"/>
        <w:tblInd w:w="6852" w:type="dxa"/>
        <w:tblCellMar>
          <w:top w:w="0" w:type="dxa"/>
          <w:left w:w="0" w:type="dxa"/>
          <w:bottom w:w="0" w:type="dxa"/>
          <w:right w:w="0" w:type="dxa"/>
        </w:tblCellMar>
      </w:tblPr>
      <w:tr>
        <w:trPr>
          <w:trHeight w:val="22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Niall Rosenzweig</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Niall Rosenzweig</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w:t>
            </w:r>
          </w:p>
        </w:tc>
      </w:tr>
    </w:tbl>
    <w:p>
      <w:pPr>
        <w:spacing w:after="0" w:line="112" w:lineRule="exact"/>
        <w:rPr>
          <w:sz w:val="20"/>
          <w:szCs w:val="20"/>
          <w:color w:val="auto"/>
        </w:rPr>
      </w:pPr>
    </w:p>
    <w:p>
      <w:pPr>
        <w:ind w:left="452" w:hanging="452"/>
        <w:spacing w:after="0"/>
        <w:tabs>
          <w:tab w:leader="none" w:pos="452" w:val="left"/>
        </w:tabs>
        <w:numPr>
          <w:ilvl w:val="0"/>
          <w:numId w:val="17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203" w:name="page204"/>
    <w:bookmarkEnd w:id="20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color w:val="auto"/>
        </w:rPr>
        <w:t>Grayston CLO II 2004-1, LTD</w:t>
      </w:r>
    </w:p>
    <w:p>
      <w:pPr>
        <w:spacing w:after="0" w:line="21"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color w:val="auto"/>
        </w:rPr>
        <w:t>By: UrsaMine Credit Advisors, LLC as its Collateral</w:t>
      </w:r>
    </w:p>
    <w:p>
      <w:pPr>
        <w:spacing w:after="0" w:line="9" w:lineRule="exact"/>
        <w:rPr>
          <w:sz w:val="20"/>
          <w:szCs w:val="20"/>
          <w:color w:val="auto"/>
        </w:rPr>
      </w:pPr>
    </w:p>
    <w:p>
      <w:pPr>
        <w:ind w:left="7432"/>
        <w:spacing w:after="0"/>
        <w:rPr>
          <w:sz w:val="20"/>
          <w:szCs w:val="20"/>
          <w:color w:val="auto"/>
        </w:rPr>
      </w:pPr>
      <w:r>
        <w:rPr>
          <w:rFonts w:ascii="Times New Roman" w:cs="Times New Roman" w:eastAsia="Times New Roman" w:hAnsi="Times New Roman"/>
          <w:sz w:val="18"/>
          <w:szCs w:val="18"/>
          <w:color w:val="auto"/>
        </w:rPr>
        <w:t>Manager</w:t>
      </w:r>
    </w:p>
    <w:p>
      <w:pPr>
        <w:spacing w:after="0" w:line="24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 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tbl>
      <w:tblPr>
        <w:tblLayout w:type="fixed"/>
        <w:tblInd w:w="685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Niall Rosenzweig</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Niall Rosenzweig</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w:t>
            </w:r>
          </w:p>
        </w:tc>
      </w:tr>
    </w:tbl>
    <w:p>
      <w:pPr>
        <w:spacing w:after="0" w:line="112" w:lineRule="exact"/>
        <w:rPr>
          <w:sz w:val="20"/>
          <w:szCs w:val="20"/>
          <w:color w:val="auto"/>
        </w:rPr>
      </w:pPr>
    </w:p>
    <w:p>
      <w:pPr>
        <w:ind w:left="452" w:hanging="452"/>
        <w:spacing w:after="0"/>
        <w:tabs>
          <w:tab w:leader="none" w:pos="452" w:val="left"/>
        </w:tabs>
        <w:numPr>
          <w:ilvl w:val="0"/>
          <w:numId w:val="17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204" w:name="page205"/>
    <w:bookmarkEnd w:id="204"/>
    <w:p>
      <w:pPr>
        <w:ind w:left="69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DEUTSCHE BANK AG NEW YORK BRANCH, as a</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9"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color w:val="auto"/>
        </w:rPr>
        <w:t>By: DB Services New Jersey, Inc.</w:t>
      </w:r>
    </w:p>
    <w:p>
      <w:pPr>
        <w:spacing w:after="0" w:line="213" w:lineRule="exact"/>
        <w:rPr>
          <w:sz w:val="20"/>
          <w:szCs w:val="20"/>
          <w:color w:val="auto"/>
        </w:rPr>
      </w:pPr>
    </w:p>
    <w:tbl>
      <w:tblPr>
        <w:tblLayout w:type="fixed"/>
        <w:tblInd w:w="6912"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Deirdre Cesario</w:t>
            </w:r>
          </w:p>
        </w:tc>
      </w:tr>
      <w:tr>
        <w:trPr>
          <w:trHeight w:val="197"/>
        </w:trPr>
        <w:tc>
          <w:tcPr>
            <w:tcW w:w="7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Deirdre Cesario</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Vice President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Angelina Quintana</w:t>
            </w:r>
          </w:p>
        </w:tc>
      </w:tr>
      <w:tr>
        <w:trPr>
          <w:trHeight w:val="197"/>
        </w:trPr>
        <w:tc>
          <w:tcPr>
            <w:tcW w:w="7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60"/>
              <w:spacing w:after="0" w:line="197" w:lineRule="exact"/>
              <w:rPr>
                <w:sz w:val="20"/>
                <w:szCs w:val="20"/>
                <w:color w:val="auto"/>
              </w:rPr>
            </w:pPr>
            <w:r>
              <w:rPr>
                <w:rFonts w:ascii="Times New Roman" w:cs="Times New Roman" w:eastAsia="Times New Roman" w:hAnsi="Times New Roman"/>
                <w:sz w:val="18"/>
                <w:szCs w:val="18"/>
                <w:color w:val="auto"/>
              </w:rPr>
              <w:t>Angelina Quintana</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112" w:lineRule="exact"/>
        <w:rPr>
          <w:sz w:val="20"/>
          <w:szCs w:val="20"/>
          <w:color w:val="auto"/>
        </w:rPr>
      </w:pPr>
    </w:p>
    <w:p>
      <w:pPr>
        <w:ind w:left="452" w:hanging="452"/>
        <w:spacing w:after="0"/>
        <w:tabs>
          <w:tab w:leader="none" w:pos="452" w:val="left"/>
        </w:tabs>
        <w:numPr>
          <w:ilvl w:val="0"/>
          <w:numId w:val="17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205" w:name="page206"/>
    <w:bookmarkEnd w:id="205"/>
    <w:p>
      <w:pPr>
        <w:ind w:left="69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Alliance Bernstein L.P., an investment advisor to ABCLO 2007-</w:t>
      </w:r>
    </w:p>
    <w:p>
      <w:pPr>
        <w:spacing w:after="0" w:line="4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1 Ltd.</w:t>
      </w:r>
    </w:p>
    <w:p>
      <w:pPr>
        <w:spacing w:after="0" w:line="373" w:lineRule="exact"/>
        <w:rPr>
          <w:sz w:val="20"/>
          <w:szCs w:val="20"/>
          <w:color w:val="auto"/>
        </w:rPr>
      </w:pPr>
    </w:p>
    <w:p>
      <w:pPr>
        <w:ind w:left="6912"/>
        <w:spacing w:after="0"/>
        <w:rPr>
          <w:sz w:val="20"/>
          <w:szCs w:val="20"/>
          <w:color w:val="auto"/>
        </w:rPr>
      </w:pPr>
      <w:r>
        <w:rPr>
          <w:rFonts w:ascii="Times New Roman" w:cs="Times New Roman" w:eastAsia="Times New Roman" w:hAnsi="Times New Roman"/>
          <w:sz w:val="18"/>
          <w:szCs w:val="18"/>
          <w:i w:val="1"/>
          <w:iCs w:val="1"/>
          <w:color w:val="auto"/>
        </w:rPr>
        <w:t xml:space="preserve">[please print or type name of institution], </w:t>
      </w:r>
      <w:r>
        <w:rPr>
          <w:rFonts w:ascii="Times New Roman" w:cs="Times New Roman" w:eastAsia="Times New Roman" w:hAnsi="Times New Roman"/>
          <w:sz w:val="18"/>
          <w:szCs w:val="18"/>
          <w:color w:val="auto"/>
        </w:rPr>
        <w:t>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-128905</wp:posOffset>
            </wp:positionV>
            <wp:extent cx="288163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709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13" w:lineRule="exact"/>
        <w:rPr>
          <w:sz w:val="20"/>
          <w:szCs w:val="20"/>
          <w:color w:val="auto"/>
        </w:rPr>
      </w:pPr>
    </w:p>
    <w:tbl>
      <w:tblPr>
        <w:tblLayout w:type="fixed"/>
        <w:tblInd w:w="6912"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E. Sohr</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Michael E. Sohr</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12" w:lineRule="exact"/>
        <w:rPr>
          <w:sz w:val="20"/>
          <w:szCs w:val="20"/>
          <w:color w:val="auto"/>
        </w:rPr>
      </w:pPr>
    </w:p>
    <w:p>
      <w:pPr>
        <w:ind w:left="452" w:hanging="452"/>
        <w:spacing w:after="0"/>
        <w:tabs>
          <w:tab w:leader="none" w:pos="452" w:val="left"/>
        </w:tabs>
        <w:numPr>
          <w:ilvl w:val="0"/>
          <w:numId w:val="1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206" w:name="page207"/>
    <w:bookmarkEnd w:id="20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BLUEMOUNTAIN CLO III LTD.</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b w:val="1"/>
          <w:bCs w:val="1"/>
          <w:color w:val="auto"/>
        </w:rPr>
        <w:t>By: BLUEMOUNTAIN CAPITAL MANAGEMENT LLC.</w:t>
      </w:r>
    </w:p>
    <w:p>
      <w:pPr>
        <w:spacing w:after="0" w:line="248"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Its Collateral Manager</w:t>
      </w:r>
    </w:p>
    <w:p>
      <w:pPr>
        <w:spacing w:after="0" w:line="25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Michael Abatemarco</w:t>
      </w:r>
    </w:p>
    <w:p>
      <w:pPr>
        <w:spacing w:after="0" w:line="25" w:lineRule="exact"/>
        <w:rPr>
          <w:sz w:val="20"/>
          <w:szCs w:val="20"/>
          <w:color w:val="auto"/>
        </w:rPr>
      </w:pPr>
    </w:p>
    <w:p>
      <w:pPr>
        <w:ind w:left="7232"/>
        <w:spacing w:after="0"/>
        <w:rPr>
          <w:sz w:val="20"/>
          <w:szCs w:val="20"/>
          <w:color w:val="auto"/>
        </w:rPr>
      </w:pPr>
      <w:r>
        <w:rPr>
          <w:rFonts w:ascii="Times New Roman" w:cs="Times New Roman" w:eastAsia="Times New Roman" w:hAnsi="Times New Roman"/>
          <w:sz w:val="18"/>
          <w:szCs w:val="18"/>
          <w:color w:val="auto"/>
        </w:rPr>
        <w:t>Name: Michael Abatemarco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-130175</wp:posOffset>
            </wp:positionV>
            <wp:extent cx="271843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32"/>
        <w:spacing w:after="0"/>
        <w:rPr>
          <w:sz w:val="20"/>
          <w:szCs w:val="20"/>
          <w:color w:val="auto"/>
        </w:rPr>
      </w:pPr>
      <w:r>
        <w:rPr>
          <w:rFonts w:ascii="Times New Roman" w:cs="Times New Roman" w:eastAsia="Times New Roman" w:hAnsi="Times New Roman"/>
          <w:sz w:val="18"/>
          <w:szCs w:val="18"/>
          <w:color w:val="auto"/>
        </w:rPr>
        <w:t>Title: Associate</w:t>
      </w:r>
    </w:p>
    <w:p>
      <w:pPr>
        <w:spacing w:after="0" w:line="121" w:lineRule="exact"/>
        <w:rPr>
          <w:sz w:val="20"/>
          <w:szCs w:val="20"/>
          <w:color w:val="auto"/>
        </w:rPr>
      </w:pPr>
    </w:p>
    <w:p>
      <w:pPr>
        <w:ind w:left="452" w:hanging="452"/>
        <w:spacing w:after="0"/>
        <w:tabs>
          <w:tab w:leader="none" w:pos="452" w:val="left"/>
        </w:tabs>
        <w:numPr>
          <w:ilvl w:val="0"/>
          <w:numId w:val="1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fee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252"/>
          </w:cols>
          <w:pgMar w:left="248" w:top="274" w:right="399" w:bottom="1440" w:gutter="0" w:footer="0" w:header="0"/>
        </w:sectPr>
      </w:pPr>
    </w:p>
    <w:bookmarkStart w:id="207" w:name="page208"/>
    <w:bookmarkEnd w:id="20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KINGSLAND1,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4" w:lineRule="exact"/>
        <w:rPr>
          <w:sz w:val="20"/>
          <w:szCs w:val="20"/>
          <w:color w:val="auto"/>
        </w:rPr>
      </w:pPr>
    </w:p>
    <w:p>
      <w:pPr>
        <w:jc w:val="both"/>
        <w:ind w:left="6852"/>
        <w:spacing w:after="0"/>
        <w:tabs>
          <w:tab w:leader="none" w:pos="741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Abatemarco</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Michael Abatemarco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Principal</w:t>
      </w:r>
    </w:p>
    <w:p>
      <w:pPr>
        <w:spacing w:after="0" w:line="132" w:lineRule="exact"/>
        <w:rPr>
          <w:sz w:val="20"/>
          <w:szCs w:val="20"/>
          <w:color w:val="auto"/>
        </w:rPr>
      </w:pPr>
    </w:p>
    <w:p>
      <w:pPr>
        <w:ind w:left="452" w:hanging="452"/>
        <w:spacing w:after="0"/>
        <w:tabs>
          <w:tab w:leader="none" w:pos="452" w:val="left"/>
        </w:tabs>
        <w:numPr>
          <w:ilvl w:val="0"/>
          <w:numId w:val="17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08" w:name="page209"/>
    <w:bookmarkEnd w:id="20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KINGSLAND II, LTD. as a Consenting Lender</w:t>
      </w:r>
    </w:p>
    <w:p>
      <w:pPr>
        <w:spacing w:after="0" w:line="246"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Robert Perry</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Robert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Principal</w:t>
      </w:r>
    </w:p>
    <w:p>
      <w:pPr>
        <w:spacing w:after="0" w:line="121" w:lineRule="exact"/>
        <w:rPr>
          <w:sz w:val="20"/>
          <w:szCs w:val="20"/>
          <w:color w:val="auto"/>
        </w:rPr>
      </w:pPr>
    </w:p>
    <w:p>
      <w:pPr>
        <w:ind w:left="452" w:hanging="452"/>
        <w:spacing w:after="0"/>
        <w:tabs>
          <w:tab w:leader="none" w:pos="452" w:val="left"/>
        </w:tabs>
        <w:numPr>
          <w:ilvl w:val="0"/>
          <w:numId w:val="1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09" w:name="page210"/>
    <w:bookmarkEnd w:id="20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KINGSLAND III, LTD.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4"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Robert Perry</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Robert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Principal</w:t>
      </w:r>
    </w:p>
    <w:p>
      <w:pPr>
        <w:spacing w:after="0" w:line="132" w:lineRule="exact"/>
        <w:rPr>
          <w:sz w:val="20"/>
          <w:szCs w:val="20"/>
          <w:color w:val="auto"/>
        </w:rPr>
      </w:pPr>
    </w:p>
    <w:p>
      <w:pPr>
        <w:ind w:left="452" w:hanging="452"/>
        <w:spacing w:after="0"/>
        <w:tabs>
          <w:tab w:leader="none" w:pos="452" w:val="left"/>
        </w:tabs>
        <w:numPr>
          <w:ilvl w:val="0"/>
          <w:numId w:val="1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10" w:name="page211"/>
    <w:bookmarkEnd w:id="21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1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KINGSLAND IV, LTD. as a</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2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Robert Perry</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Robert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Principal</w:t>
      </w:r>
    </w:p>
    <w:p>
      <w:pPr>
        <w:spacing w:after="0" w:line="132" w:lineRule="exact"/>
        <w:rPr>
          <w:sz w:val="20"/>
          <w:szCs w:val="20"/>
          <w:color w:val="auto"/>
        </w:rPr>
      </w:pPr>
    </w:p>
    <w:p>
      <w:pPr>
        <w:ind w:left="452" w:hanging="452"/>
        <w:spacing w:after="0"/>
        <w:tabs>
          <w:tab w:leader="none" w:pos="452" w:val="left"/>
        </w:tabs>
        <w:numPr>
          <w:ilvl w:val="0"/>
          <w:numId w:val="1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11" w:name="page212"/>
    <w:bookmarkEnd w:id="21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KINGSLAND V, LTD. as a</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24"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Robert Perry</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Robert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Principal</w:t>
      </w:r>
    </w:p>
    <w:p>
      <w:pPr>
        <w:spacing w:after="0" w:line="132" w:lineRule="exact"/>
        <w:rPr>
          <w:sz w:val="20"/>
          <w:szCs w:val="20"/>
          <w:color w:val="auto"/>
        </w:rPr>
      </w:pPr>
    </w:p>
    <w:p>
      <w:pPr>
        <w:ind w:left="452" w:hanging="452"/>
        <w:spacing w:after="0"/>
        <w:tabs>
          <w:tab w:leader="none" w:pos="452" w:val="left"/>
        </w:tabs>
        <w:numPr>
          <w:ilvl w:val="0"/>
          <w:numId w:val="18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12" w:name="page213"/>
    <w:bookmarkEnd w:id="212"/>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AMMC CLO 111, LIMITED</w:t>
      </w:r>
    </w:p>
    <w:p>
      <w:pPr>
        <w:spacing w:after="0" w:line="21"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8"/>
          <w:szCs w:val="18"/>
          <w:color w:val="auto"/>
        </w:rPr>
        <w:t>By: American Money Management</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Corp., as Collateral Manager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Kenneth J. Bushman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Kenneth J. Bushman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21" w:lineRule="exact"/>
        <w:rPr>
          <w:sz w:val="20"/>
          <w:szCs w:val="20"/>
          <w:color w:val="auto"/>
        </w:rPr>
      </w:pPr>
    </w:p>
    <w:p>
      <w:pPr>
        <w:ind w:left="460" w:hanging="452"/>
        <w:spacing w:after="0"/>
        <w:tabs>
          <w:tab w:leader="none" w:pos="460" w:val="left"/>
        </w:tabs>
        <w:numPr>
          <w:ilvl w:val="0"/>
          <w:numId w:val="18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13" w:name="page214"/>
    <w:bookmarkEnd w:id="213"/>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AMMC CLO IV, LIMITED</w:t>
      </w:r>
    </w:p>
    <w:p>
      <w:pPr>
        <w:spacing w:after="0" w:line="21"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8"/>
          <w:szCs w:val="18"/>
          <w:color w:val="auto"/>
        </w:rPr>
        <w:t>By: American Money Management</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Corp., as Collateral Manager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Kenneth J. Bushman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Kenneth J. Bushman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21" w:lineRule="exact"/>
        <w:rPr>
          <w:sz w:val="20"/>
          <w:szCs w:val="20"/>
          <w:color w:val="auto"/>
        </w:rPr>
      </w:pPr>
    </w:p>
    <w:p>
      <w:pPr>
        <w:ind w:left="460" w:hanging="452"/>
        <w:spacing w:after="0"/>
        <w:tabs>
          <w:tab w:leader="none" w:pos="460" w:val="left"/>
        </w:tabs>
        <w:numPr>
          <w:ilvl w:val="0"/>
          <w:numId w:val="18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14" w:name="page215"/>
    <w:bookmarkEnd w:id="214"/>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AMMC CLO V, LIMITED</w:t>
      </w:r>
    </w:p>
    <w:p>
      <w:pPr>
        <w:spacing w:after="0" w:line="21"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color w:val="auto"/>
        </w:rPr>
        <w:t>By: American Money Management Corp.,</w:t>
      </w:r>
    </w:p>
    <w:p>
      <w:pPr>
        <w:spacing w:after="0" w:line="9" w:lineRule="exact"/>
        <w:rPr>
          <w:sz w:val="20"/>
          <w:szCs w:val="20"/>
          <w:color w:val="auto"/>
        </w:rPr>
      </w:pPr>
    </w:p>
    <w:p>
      <w:pPr>
        <w:jc w:val="right"/>
        <w:ind w:right="1719"/>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Kenneth J. Bushman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Kenneth J. Bushman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21" w:lineRule="exact"/>
        <w:rPr>
          <w:sz w:val="20"/>
          <w:szCs w:val="20"/>
          <w:color w:val="auto"/>
        </w:rPr>
      </w:pPr>
    </w:p>
    <w:p>
      <w:pPr>
        <w:ind w:left="460" w:hanging="452"/>
        <w:spacing w:after="0"/>
        <w:tabs>
          <w:tab w:leader="none" w:pos="460" w:val="left"/>
        </w:tabs>
        <w:numPr>
          <w:ilvl w:val="0"/>
          <w:numId w:val="18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15" w:name="page216"/>
    <w:bookmarkEnd w:id="215"/>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AMMC CLO VI, LIMITED</w:t>
      </w:r>
    </w:p>
    <w:p>
      <w:pPr>
        <w:spacing w:after="0" w:line="21" w:lineRule="exact"/>
        <w:rPr>
          <w:sz w:val="20"/>
          <w:szCs w:val="20"/>
          <w:color w:val="auto"/>
        </w:rPr>
      </w:pPr>
    </w:p>
    <w:p>
      <w:pPr>
        <w:jc w:val="right"/>
        <w:ind w:right="879"/>
        <w:spacing w:after="0"/>
        <w:rPr>
          <w:sz w:val="20"/>
          <w:szCs w:val="20"/>
          <w:color w:val="auto"/>
        </w:rPr>
      </w:pPr>
      <w:r>
        <w:rPr>
          <w:rFonts w:ascii="Times New Roman" w:cs="Times New Roman" w:eastAsia="Times New Roman" w:hAnsi="Times New Roman"/>
          <w:sz w:val="18"/>
          <w:szCs w:val="18"/>
          <w:color w:val="auto"/>
        </w:rPr>
        <w:t>By: American Money Management</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Corp., as Collateral Manager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Kenneth J. Bushman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Kenneth J. Bushman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21" w:lineRule="exact"/>
        <w:rPr>
          <w:sz w:val="20"/>
          <w:szCs w:val="20"/>
          <w:color w:val="auto"/>
        </w:rPr>
      </w:pPr>
    </w:p>
    <w:p>
      <w:pPr>
        <w:ind w:left="460" w:hanging="452"/>
        <w:spacing w:after="0"/>
        <w:tabs>
          <w:tab w:leader="none" w:pos="460" w:val="left"/>
        </w:tabs>
        <w:numPr>
          <w:ilvl w:val="0"/>
          <w:numId w:val="18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16" w:name="page217"/>
    <w:bookmarkEnd w:id="216"/>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AMMC VII, LIMITED</w:t>
      </w:r>
    </w:p>
    <w:p>
      <w:pPr>
        <w:spacing w:after="0" w:line="21"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8"/>
          <w:szCs w:val="18"/>
          <w:color w:val="auto"/>
        </w:rPr>
        <w:t>By: American Money Management</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Corp., as Collateral Manager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Kenneth J. Bushman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Kenneth J. Bushman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21" w:lineRule="exact"/>
        <w:rPr>
          <w:sz w:val="20"/>
          <w:szCs w:val="20"/>
          <w:color w:val="auto"/>
        </w:rPr>
      </w:pPr>
    </w:p>
    <w:p>
      <w:pPr>
        <w:ind w:left="460" w:hanging="452"/>
        <w:spacing w:after="0"/>
        <w:tabs>
          <w:tab w:leader="none" w:pos="460" w:val="left"/>
        </w:tabs>
        <w:numPr>
          <w:ilvl w:val="0"/>
          <w:numId w:val="18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17" w:name="page218"/>
    <w:bookmarkEnd w:id="217"/>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AMMC VIII, LIMITED</w:t>
      </w:r>
    </w:p>
    <w:p>
      <w:pPr>
        <w:spacing w:after="0" w:line="21"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8"/>
          <w:szCs w:val="18"/>
          <w:color w:val="auto"/>
        </w:rPr>
        <w:t>By: American Money Management</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Corp., as Collateral Manager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2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Kenneth J. Bushman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Kenneth J. Bushman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21" w:lineRule="exact"/>
        <w:rPr>
          <w:sz w:val="20"/>
          <w:szCs w:val="20"/>
          <w:color w:val="auto"/>
        </w:rPr>
      </w:pPr>
    </w:p>
    <w:p>
      <w:pPr>
        <w:ind w:left="460" w:hanging="452"/>
        <w:spacing w:after="0"/>
        <w:tabs>
          <w:tab w:leader="none" w:pos="460" w:val="left"/>
        </w:tabs>
        <w:numPr>
          <w:ilvl w:val="0"/>
          <w:numId w:val="18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18" w:name="page219"/>
    <w:bookmarkEnd w:id="21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Hewett’s Island CLO IV,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By: LCM Asset Management LLC</w:t>
      </w:r>
    </w:p>
    <w:p>
      <w:pPr>
        <w:spacing w:after="0" w:line="9" w:lineRule="exact"/>
        <w:rPr>
          <w:sz w:val="20"/>
          <w:szCs w:val="20"/>
          <w:color w:val="auto"/>
        </w:rPr>
      </w:pPr>
    </w:p>
    <w:p>
      <w:pPr>
        <w:ind w:left="7232"/>
        <w:spacing w:after="0"/>
        <w:rPr>
          <w:sz w:val="20"/>
          <w:szCs w:val="20"/>
          <w:color w:val="auto"/>
        </w:rPr>
      </w:pPr>
      <w:r>
        <w:rPr>
          <w:rFonts w:ascii="Times New Roman" w:cs="Times New Roman" w:eastAsia="Times New Roman" w:hAnsi="Times New Roman"/>
          <w:sz w:val="18"/>
          <w:szCs w:val="18"/>
          <w:b w:val="1"/>
          <w:bCs w:val="1"/>
          <w:color w:val="auto"/>
        </w:rPr>
        <w:t>As Collateral Manager</w:t>
      </w:r>
    </w:p>
    <w:p>
      <w:pPr>
        <w:spacing w:after="0" w:line="25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Sophie A. Venon</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Sophie A. Venon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6" w:lineRule="exact"/>
        <w:rPr>
          <w:sz w:val="20"/>
          <w:szCs w:val="20"/>
          <w:color w:val="auto"/>
        </w:rPr>
      </w:pPr>
    </w:p>
    <w:p>
      <w:pPr>
        <w:jc w:val="both"/>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LCM Asset Management LLC</w:t>
      </w:r>
    </w:p>
    <w:p>
      <w:pPr>
        <w:spacing w:after="0" w:line="133" w:lineRule="exact"/>
        <w:rPr>
          <w:sz w:val="20"/>
          <w:szCs w:val="20"/>
          <w:color w:val="auto"/>
        </w:rPr>
      </w:pPr>
    </w:p>
    <w:p>
      <w:pPr>
        <w:ind w:left="452" w:hanging="452"/>
        <w:spacing w:after="0"/>
        <w:tabs>
          <w:tab w:leader="none" w:pos="452" w:val="left"/>
        </w:tabs>
        <w:numPr>
          <w:ilvl w:val="0"/>
          <w:numId w:val="19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19" w:name="page220"/>
    <w:bookmarkEnd w:id="21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p>
    <w:p>
      <w:pPr>
        <w:spacing w:after="0" w:line="223" w:lineRule="exact"/>
        <w:rPr>
          <w:sz w:val="20"/>
          <w:szCs w:val="20"/>
          <w:color w:val="auto"/>
        </w:rPr>
      </w:pPr>
    </w:p>
    <w:p>
      <w:pPr>
        <w:ind w:left="7112"/>
        <w:spacing w:after="0"/>
        <w:rPr>
          <w:sz w:val="20"/>
          <w:szCs w:val="20"/>
          <w:color w:val="auto"/>
        </w:rPr>
      </w:pPr>
      <w:r>
        <w:rPr>
          <w:rFonts w:ascii="Times New Roman" w:cs="Times New Roman" w:eastAsia="Times New Roman" w:hAnsi="Times New Roman"/>
          <w:sz w:val="18"/>
          <w:szCs w:val="18"/>
          <w:b w:val="1"/>
          <w:bCs w:val="1"/>
          <w:color w:val="auto"/>
        </w:rPr>
        <w:t>OCEAN TRAILS CLO II,</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Consenting Lender</w:t>
      </w:r>
    </w:p>
    <w:p>
      <w:pPr>
        <w:spacing w:after="0" w:line="21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West Gate Horizons Advisors LLC, as Manager</w:t>
      </w:r>
    </w:p>
    <w:p>
      <w:pPr>
        <w:spacing w:after="0" w:line="246"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 Joy Jacob</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J. Joy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Senior Credit Analyst</w:t>
      </w:r>
    </w:p>
    <w:p>
      <w:pPr>
        <w:spacing w:after="0" w:line="121" w:lineRule="exact"/>
        <w:rPr>
          <w:sz w:val="20"/>
          <w:szCs w:val="20"/>
          <w:color w:val="auto"/>
        </w:rPr>
      </w:pPr>
    </w:p>
    <w:p>
      <w:pPr>
        <w:ind w:left="452" w:hanging="452"/>
        <w:spacing w:after="0"/>
        <w:tabs>
          <w:tab w:leader="none" w:pos="452" w:val="left"/>
        </w:tabs>
        <w:numPr>
          <w:ilvl w:val="0"/>
          <w:numId w:val="1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512"/>
          </w:cols>
          <w:pgMar w:left="248" w:top="274" w:right="1139" w:bottom="1440" w:gutter="0" w:footer="0" w:header="0"/>
        </w:sectPr>
      </w:pPr>
    </w:p>
    <w:bookmarkStart w:id="220" w:name="page221"/>
    <w:bookmarkEnd w:id="220"/>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OCEAN TRAILS CLO I,</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Consenting Lender</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By: West Gate Horizons Advisors LLC, 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Collateral Manager</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 Joy Jacob</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 Joy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-129540</wp:posOffset>
            </wp:positionV>
            <wp:extent cx="254698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Senior Credit Analyst</w:t>
      </w:r>
    </w:p>
    <w:p>
      <w:pPr>
        <w:sectPr>
          <w:pgSz w:w="11900" w:h="16838" w:orient="portrait"/>
          <w:cols w:equalWidth="0" w:num="1">
            <w:col w:w="9019"/>
          </w:cols>
          <w:pgMar w:left="1440" w:top="274" w:right="1440" w:bottom="1440" w:gutter="0" w:footer="0" w:header="0"/>
        </w:sectPr>
      </w:pPr>
    </w:p>
    <w:bookmarkStart w:id="221" w:name="page222"/>
    <w:bookmarkEnd w:id="22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Four Corners CLO II,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3" w:lineRule="exact"/>
        <w:rPr>
          <w:sz w:val="20"/>
          <w:szCs w:val="20"/>
          <w:color w:val="auto"/>
        </w:rPr>
      </w:pPr>
    </w:p>
    <w:p>
      <w:pPr>
        <w:jc w:val="both"/>
        <w:ind w:left="7552"/>
        <w:spacing w:after="0"/>
        <w:tabs>
          <w:tab w:leader="none" w:pos="829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Matthew Gravis</w:t>
      </w:r>
    </w:p>
    <w:p>
      <w:pPr>
        <w:spacing w:after="0" w:line="23" w:lineRule="exact"/>
        <w:rPr>
          <w:sz w:val="20"/>
          <w:szCs w:val="20"/>
          <w:color w:val="auto"/>
        </w:rPr>
      </w:pPr>
    </w:p>
    <w:p>
      <w:pPr>
        <w:ind w:left="7552"/>
        <w:spacing w:after="0"/>
        <w:tabs>
          <w:tab w:leader="none" w:pos="8292"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Matthew Garvis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5222875</wp:posOffset>
            </wp:positionH>
            <wp:positionV relativeFrom="paragraph">
              <wp:posOffset>-129540</wp:posOffset>
            </wp:positionV>
            <wp:extent cx="202374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 w:lineRule="exact"/>
        <w:rPr>
          <w:sz w:val="20"/>
          <w:szCs w:val="20"/>
          <w:color w:val="auto"/>
        </w:rPr>
      </w:pPr>
    </w:p>
    <w:p>
      <w:pPr>
        <w:ind w:left="7552"/>
        <w:spacing w:after="0"/>
        <w:tabs>
          <w:tab w:leader="none" w:pos="8292"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pacing w:after="0" w:line="121" w:lineRule="exact"/>
        <w:rPr>
          <w:sz w:val="20"/>
          <w:szCs w:val="20"/>
          <w:color w:val="auto"/>
        </w:rPr>
      </w:pPr>
    </w:p>
    <w:p>
      <w:pPr>
        <w:ind w:left="452" w:hanging="452"/>
        <w:spacing w:after="0"/>
        <w:tabs>
          <w:tab w:leader="none" w:pos="452" w:val="left"/>
        </w:tabs>
        <w:numPr>
          <w:ilvl w:val="0"/>
          <w:numId w:val="19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22" w:name="page223"/>
    <w:bookmarkEnd w:id="22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5</w:t>
      </w:r>
    </w:p>
    <w:p>
      <w:pPr>
        <w:spacing w:after="0" w:line="25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-114300</wp:posOffset>
            </wp:positionV>
            <wp:extent cx="289877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FOUR CORNERS CLO 2005-1, Ltd.</w:t>
      </w:r>
    </w:p>
    <w:p>
      <w:pPr>
        <w:spacing w:after="0" w:line="21"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By: Four Corners Capital Management, LLC</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211" w:lineRule="exact"/>
        <w:rPr>
          <w:sz w:val="20"/>
          <w:szCs w:val="20"/>
          <w:color w:val="auto"/>
        </w:rPr>
      </w:pPr>
    </w:p>
    <w:p>
      <w:pPr>
        <w:ind w:left="7192"/>
        <w:spacing w:after="0"/>
        <w:tabs>
          <w:tab w:leader="none" w:pos="787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Adam Brown</w:t>
      </w:r>
    </w:p>
    <w:p>
      <w:pPr>
        <w:spacing w:after="0" w:line="23" w:lineRule="exact"/>
        <w:rPr>
          <w:sz w:val="20"/>
          <w:szCs w:val="20"/>
          <w:color w:val="auto"/>
        </w:rPr>
      </w:pPr>
    </w:p>
    <w:p>
      <w:pPr>
        <w:ind w:left="7192"/>
        <w:spacing w:after="0"/>
        <w:tabs>
          <w:tab w:leader="none" w:pos="7872" w:val="left"/>
        </w:tabs>
        <w:rPr>
          <w:sz w:val="20"/>
          <w:szCs w:val="20"/>
          <w:color w:val="auto"/>
        </w:rPr>
      </w:pPr>
      <w:r>
        <w:rPr>
          <w:rFonts w:ascii="Times New Roman" w:cs="Times New Roman" w:eastAsia="Times New Roman" w:hAnsi="Times New Roman"/>
          <w:sz w:val="18"/>
          <w:szCs w:val="18"/>
          <w:color w:val="auto"/>
        </w:rPr>
        <w:t>Name:</w:t>
        <w:tab/>
        <w:t>Adam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4956810</wp:posOffset>
            </wp:positionH>
            <wp:positionV relativeFrom="paragraph">
              <wp:posOffset>-129540</wp:posOffset>
            </wp:positionV>
            <wp:extent cx="228981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ind w:left="7192"/>
        <w:spacing w:after="0"/>
        <w:tabs>
          <w:tab w:leader="none" w:pos="7872"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121" w:lineRule="exact"/>
        <w:rPr>
          <w:sz w:val="20"/>
          <w:szCs w:val="20"/>
          <w:color w:val="auto"/>
        </w:rPr>
      </w:pPr>
    </w:p>
    <w:p>
      <w:pPr>
        <w:ind w:left="452" w:hanging="452"/>
        <w:spacing w:after="0"/>
        <w:tabs>
          <w:tab w:leader="none" w:pos="452" w:val="left"/>
        </w:tabs>
        <w:numPr>
          <w:ilvl w:val="0"/>
          <w:numId w:val="19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12"/>
          </w:cols>
          <w:pgMar w:left="248" w:top="274" w:right="739" w:bottom="1440" w:gutter="0" w:footer="0" w:header="0"/>
        </w:sectPr>
      </w:pPr>
    </w:p>
    <w:bookmarkStart w:id="223" w:name="page224"/>
    <w:bookmarkEnd w:id="22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5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-114300</wp:posOffset>
            </wp:positionV>
            <wp:extent cx="289877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Four Corners CLO III, Ltd.</w:t>
      </w:r>
    </w:p>
    <w:p>
      <w:pPr>
        <w:spacing w:after="0" w:line="21"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By: Macquarie Funds Group</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FKA Four Corners Capital Management, LLC</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211" w:lineRule="exact"/>
        <w:rPr>
          <w:sz w:val="20"/>
          <w:szCs w:val="20"/>
          <w:color w:val="auto"/>
        </w:rPr>
      </w:pPr>
    </w:p>
    <w:p>
      <w:pPr>
        <w:ind w:left="7372"/>
        <w:spacing w:after="0"/>
        <w:tabs>
          <w:tab w:leader="none" w:pos="807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Adam Brown</w:t>
      </w:r>
    </w:p>
    <w:p>
      <w:pPr>
        <w:spacing w:after="0" w:line="23" w:lineRule="exact"/>
        <w:rPr>
          <w:sz w:val="20"/>
          <w:szCs w:val="20"/>
          <w:color w:val="auto"/>
        </w:rPr>
      </w:pPr>
    </w:p>
    <w:p>
      <w:pPr>
        <w:ind w:left="7372"/>
        <w:spacing w:after="0"/>
        <w:tabs>
          <w:tab w:leader="none" w:pos="8072" w:val="left"/>
        </w:tabs>
        <w:rPr>
          <w:sz w:val="20"/>
          <w:szCs w:val="20"/>
          <w:color w:val="auto"/>
        </w:rPr>
      </w:pPr>
      <w:r>
        <w:rPr>
          <w:rFonts w:ascii="Times New Roman" w:cs="Times New Roman" w:eastAsia="Times New Roman" w:hAnsi="Times New Roman"/>
          <w:sz w:val="18"/>
          <w:szCs w:val="18"/>
          <w:color w:val="auto"/>
        </w:rPr>
        <w:t>Name:</w:t>
        <w:tab/>
        <w:t>Adam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-129540</wp:posOffset>
            </wp:positionV>
            <wp:extent cx="214376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7372"/>
        <w:spacing w:after="0"/>
        <w:tabs>
          <w:tab w:leader="none" w:pos="8072"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121" w:lineRule="exact"/>
        <w:rPr>
          <w:sz w:val="20"/>
          <w:szCs w:val="20"/>
          <w:color w:val="auto"/>
        </w:rPr>
      </w:pPr>
    </w:p>
    <w:p>
      <w:pPr>
        <w:ind w:left="452" w:hanging="452"/>
        <w:spacing w:after="0"/>
        <w:tabs>
          <w:tab w:leader="none" w:pos="452" w:val="left"/>
        </w:tabs>
        <w:numPr>
          <w:ilvl w:val="0"/>
          <w:numId w:val="19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12"/>
          </w:cols>
          <w:pgMar w:left="248" w:top="274" w:right="739" w:bottom="1440" w:gutter="0" w:footer="0" w:header="0"/>
        </w:sectPr>
      </w:pPr>
    </w:p>
    <w:bookmarkStart w:id="224" w:name="page225"/>
    <w:bookmarkEnd w:id="22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5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-114300</wp:posOffset>
            </wp:positionV>
            <wp:extent cx="289877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Fountain Court Master Fund</w:t>
      </w:r>
    </w:p>
    <w:p>
      <w:pPr>
        <w:spacing w:after="0" w:line="21"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By: Macquarie Funds Group</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FKA Four Corners Capital Management, LLC</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211" w:lineRule="exact"/>
        <w:rPr>
          <w:sz w:val="20"/>
          <w:szCs w:val="20"/>
          <w:color w:val="auto"/>
        </w:rPr>
      </w:pPr>
    </w:p>
    <w:p>
      <w:pPr>
        <w:ind w:left="7372"/>
        <w:spacing w:after="0"/>
        <w:tabs>
          <w:tab w:leader="none" w:pos="807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Adam Brown</w:t>
      </w:r>
    </w:p>
    <w:p>
      <w:pPr>
        <w:spacing w:after="0" w:line="23" w:lineRule="exact"/>
        <w:rPr>
          <w:sz w:val="20"/>
          <w:szCs w:val="20"/>
          <w:color w:val="auto"/>
        </w:rPr>
      </w:pPr>
    </w:p>
    <w:p>
      <w:pPr>
        <w:ind w:left="7372"/>
        <w:spacing w:after="0"/>
        <w:tabs>
          <w:tab w:leader="none" w:pos="8072" w:val="left"/>
        </w:tabs>
        <w:rPr>
          <w:sz w:val="20"/>
          <w:szCs w:val="20"/>
          <w:color w:val="auto"/>
        </w:rPr>
      </w:pPr>
      <w:r>
        <w:rPr>
          <w:rFonts w:ascii="Times New Roman" w:cs="Times New Roman" w:eastAsia="Times New Roman" w:hAnsi="Times New Roman"/>
          <w:sz w:val="18"/>
          <w:szCs w:val="18"/>
          <w:color w:val="auto"/>
        </w:rPr>
        <w:t>Name:</w:t>
        <w:tab/>
        <w:t>Adam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-129540</wp:posOffset>
            </wp:positionV>
            <wp:extent cx="21437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7372"/>
        <w:spacing w:after="0"/>
        <w:tabs>
          <w:tab w:leader="none" w:pos="8072"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121" w:lineRule="exact"/>
        <w:rPr>
          <w:sz w:val="20"/>
          <w:szCs w:val="20"/>
          <w:color w:val="auto"/>
        </w:rPr>
      </w:pPr>
    </w:p>
    <w:p>
      <w:pPr>
        <w:ind w:left="452" w:hanging="452"/>
        <w:spacing w:after="0"/>
        <w:tabs>
          <w:tab w:leader="none" w:pos="452" w:val="left"/>
        </w:tabs>
        <w:numPr>
          <w:ilvl w:val="0"/>
          <w:numId w:val="19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12"/>
          </w:cols>
          <w:pgMar w:left="248" w:top="274" w:right="739" w:bottom="1440" w:gutter="0" w:footer="0" w:header="0"/>
        </w:sectPr>
      </w:pPr>
    </w:p>
    <w:bookmarkStart w:id="225" w:name="page226"/>
    <w:bookmarkEnd w:id="22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5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i w:val="1"/>
          <w:iCs w:val="1"/>
          <w:color w:val="auto"/>
        </w:rPr>
        <w:t xml:space="preserve">[please print or type name of institution], </w:t>
      </w:r>
      <w:r>
        <w:rPr>
          <w:rFonts w:ascii="Times New Roman" w:cs="Times New Roman" w:eastAsia="Times New Roman" w:hAnsi="Times New Roman"/>
          <w:sz w:val="16"/>
          <w:szCs w:val="16"/>
          <w:color w:val="auto"/>
        </w:rPr>
        <w:t>as a Consenting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-114300</wp:posOffset>
            </wp:positionV>
            <wp:extent cx="289877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1"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b w:val="1"/>
          <w:bCs w:val="1"/>
          <w:color w:val="auto"/>
        </w:rPr>
        <w:t>SFR, LTD.</w:t>
      </w:r>
    </w:p>
    <w:p>
      <w:pPr>
        <w:spacing w:after="0" w:line="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b w:val="1"/>
          <w:bCs w:val="1"/>
          <w:color w:val="auto"/>
        </w:rPr>
        <w:t>By: Four Corners Capital Management, LLC</w:t>
      </w:r>
    </w:p>
    <w:p>
      <w:pPr>
        <w:spacing w:after="0" w:line="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b w:val="1"/>
          <w:bCs w:val="1"/>
          <w:color w:val="auto"/>
        </w:rPr>
        <w:t>As Collateral Manager</w:t>
      </w:r>
    </w:p>
    <w:p>
      <w:pPr>
        <w:spacing w:after="0" w:line="211" w:lineRule="exact"/>
        <w:rPr>
          <w:sz w:val="20"/>
          <w:szCs w:val="20"/>
          <w:color w:val="auto"/>
        </w:rPr>
      </w:pPr>
    </w:p>
    <w:p>
      <w:pPr>
        <w:ind w:left="7192"/>
        <w:spacing w:after="0"/>
        <w:tabs>
          <w:tab w:leader="none" w:pos="787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Adam Brown</w:t>
      </w:r>
    </w:p>
    <w:p>
      <w:pPr>
        <w:spacing w:after="0" w:line="23" w:lineRule="exact"/>
        <w:rPr>
          <w:sz w:val="20"/>
          <w:szCs w:val="20"/>
          <w:color w:val="auto"/>
        </w:rPr>
      </w:pPr>
    </w:p>
    <w:p>
      <w:pPr>
        <w:ind w:left="7192"/>
        <w:spacing w:after="0"/>
        <w:tabs>
          <w:tab w:leader="none" w:pos="7872" w:val="left"/>
        </w:tabs>
        <w:rPr>
          <w:sz w:val="20"/>
          <w:szCs w:val="20"/>
          <w:color w:val="auto"/>
        </w:rPr>
      </w:pPr>
      <w:r>
        <w:rPr>
          <w:rFonts w:ascii="Times New Roman" w:cs="Times New Roman" w:eastAsia="Times New Roman" w:hAnsi="Times New Roman"/>
          <w:sz w:val="18"/>
          <w:szCs w:val="18"/>
          <w:color w:val="auto"/>
        </w:rPr>
        <w:t>Name:</w:t>
        <w:tab/>
        <w:t>Adam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4956810</wp:posOffset>
            </wp:positionH>
            <wp:positionV relativeFrom="paragraph">
              <wp:posOffset>-129540</wp:posOffset>
            </wp:positionV>
            <wp:extent cx="228981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ind w:left="7192"/>
        <w:spacing w:after="0"/>
        <w:tabs>
          <w:tab w:leader="none" w:pos="7872"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121" w:lineRule="exact"/>
        <w:rPr>
          <w:sz w:val="20"/>
          <w:szCs w:val="20"/>
          <w:color w:val="auto"/>
        </w:rPr>
      </w:pPr>
    </w:p>
    <w:p>
      <w:pPr>
        <w:ind w:left="452" w:hanging="452"/>
        <w:spacing w:after="0"/>
        <w:tabs>
          <w:tab w:leader="none" w:pos="452" w:val="left"/>
        </w:tabs>
        <w:numPr>
          <w:ilvl w:val="0"/>
          <w:numId w:val="19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12"/>
          </w:cols>
          <w:pgMar w:left="248" w:top="274" w:right="739" w:bottom="1440" w:gutter="0" w:footer="0" w:header="0"/>
        </w:sectPr>
      </w:pPr>
    </w:p>
    <w:bookmarkStart w:id="226" w:name="page227"/>
    <w:bookmarkEnd w:id="226"/>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CONFLUENT 4 LIMITED,</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As Lender</w:t>
      </w:r>
    </w:p>
    <w:p>
      <w:pPr>
        <w:spacing w:after="0" w:line="21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 xml:space="preserve">By: Loomis, Sayles </w:t>
      </w:r>
      <w:r>
        <w:rPr>
          <w:rFonts w:ascii="Times New Roman" w:cs="Times New Roman" w:eastAsia="Times New Roman" w:hAnsi="Times New Roman"/>
          <w:sz w:val="18"/>
          <w:szCs w:val="18"/>
          <w:i w:val="1"/>
          <w:iCs w:val="1"/>
          <w:color w:val="auto"/>
        </w:rPr>
        <w:t>&amp;</w:t>
      </w:r>
      <w:r>
        <w:rPr>
          <w:rFonts w:ascii="Times New Roman" w:cs="Times New Roman" w:eastAsia="Times New Roman" w:hAnsi="Times New Roman"/>
          <w:sz w:val="18"/>
          <w:szCs w:val="18"/>
          <w:color w:val="auto"/>
        </w:rPr>
        <w:t xml:space="preserve"> Company. L.P.</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As Sub-Manager</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Loomis. Sayles &amp; Company, Incorporated</w:t>
      </w:r>
    </w:p>
    <w:p>
      <w:pPr>
        <w:spacing w:after="0" w:line="2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4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 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Mary McCarthy</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Mary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21" w:lineRule="exact"/>
        <w:rPr>
          <w:sz w:val="20"/>
          <w:szCs w:val="20"/>
          <w:color w:val="auto"/>
        </w:rPr>
      </w:pPr>
    </w:p>
    <w:p>
      <w:pPr>
        <w:ind w:left="460" w:hanging="452"/>
        <w:spacing w:after="0"/>
        <w:tabs>
          <w:tab w:leader="none" w:pos="460" w:val="left"/>
        </w:tabs>
        <w:numPr>
          <w:ilvl w:val="0"/>
          <w:numId w:val="1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460"/>
          </w:cols>
          <w:pgMar w:left="240" w:top="274" w:right="1199" w:bottom="1440" w:gutter="0" w:footer="0" w:header="0"/>
        </w:sectPr>
      </w:pPr>
    </w:p>
    <w:bookmarkStart w:id="227" w:name="page228"/>
    <w:bookmarkEnd w:id="227"/>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LOOMIS SAYLES CLO I, LTD.</w:t>
      </w:r>
    </w:p>
    <w:p>
      <w:pPr>
        <w:spacing w:after="0" w:line="21"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As Lender</w:t>
      </w:r>
    </w:p>
    <w:p>
      <w:pPr>
        <w:spacing w:after="0" w:line="211"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 xml:space="preserve">By Loomis. -Sayles </w:t>
      </w:r>
      <w:r>
        <w:rPr>
          <w:rFonts w:ascii="Times New Roman" w:cs="Times New Roman" w:eastAsia="Times New Roman" w:hAnsi="Times New Roman"/>
          <w:sz w:val="18"/>
          <w:szCs w:val="18"/>
          <w:i w:val="1"/>
          <w:iCs w:val="1"/>
          <w:color w:val="auto"/>
        </w:rPr>
        <w:t>&amp;</w:t>
      </w:r>
      <w:r>
        <w:rPr>
          <w:rFonts w:ascii="Times New Roman" w:cs="Times New Roman" w:eastAsia="Times New Roman" w:hAnsi="Times New Roman"/>
          <w:sz w:val="18"/>
          <w:szCs w:val="18"/>
          <w:color w:val="auto"/>
        </w:rPr>
        <w:t xml:space="preserve"> Company. L.P.</w:t>
      </w:r>
    </w:p>
    <w:p>
      <w:pPr>
        <w:spacing w:after="0" w:line="119"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Its Collateral Manager</w:t>
      </w:r>
    </w:p>
    <w:p>
      <w:pPr>
        <w:spacing w:after="0" w:line="223"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6"/>
          <w:szCs w:val="16"/>
          <w:color w:val="auto"/>
        </w:rPr>
        <w:t xml:space="preserve">By Loomis Sayles </w:t>
      </w:r>
      <w:r>
        <w:rPr>
          <w:rFonts w:ascii="Times New Roman" w:cs="Times New Roman" w:eastAsia="Times New Roman" w:hAnsi="Times New Roman"/>
          <w:sz w:val="16"/>
          <w:szCs w:val="16"/>
          <w:i w:val="1"/>
          <w:iCs w:val="1"/>
          <w:color w:val="auto"/>
        </w:rPr>
        <w:t>&amp;</w:t>
      </w:r>
      <w:r>
        <w:rPr>
          <w:rFonts w:ascii="Times New Roman" w:cs="Times New Roman" w:eastAsia="Times New Roman" w:hAnsi="Times New Roman"/>
          <w:sz w:val="16"/>
          <w:szCs w:val="16"/>
          <w:color w:val="auto"/>
        </w:rPr>
        <w:t xml:space="preserve"> Company. Incorporated.</w:t>
      </w:r>
    </w:p>
    <w:p>
      <w:pPr>
        <w:spacing w:after="0" w:line="46" w:lineRule="exact"/>
        <w:rPr>
          <w:sz w:val="20"/>
          <w:szCs w:val="20"/>
          <w:color w:val="auto"/>
        </w:rPr>
      </w:pPr>
    </w:p>
    <w:p>
      <w:pPr>
        <w:ind w:left="7192"/>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40"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 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Mary McCarthy</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Mary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21" w:lineRule="exact"/>
        <w:rPr>
          <w:sz w:val="20"/>
          <w:szCs w:val="20"/>
          <w:color w:val="auto"/>
        </w:rPr>
      </w:pPr>
    </w:p>
    <w:p>
      <w:pPr>
        <w:ind w:left="452" w:hanging="452"/>
        <w:spacing w:after="0"/>
        <w:tabs>
          <w:tab w:leader="none" w:pos="452" w:val="left"/>
        </w:tabs>
        <w:numPr>
          <w:ilvl w:val="0"/>
          <w:numId w:val="19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412"/>
          </w:cols>
          <w:pgMar w:left="248" w:top="274" w:right="1239" w:bottom="1440" w:gutter="0" w:footer="0" w:header="0"/>
        </w:sectPr>
      </w:pPr>
    </w:p>
    <w:bookmarkStart w:id="228" w:name="page229"/>
    <w:bookmarkEnd w:id="228"/>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2</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Aladdin Flexible Investment Fund SPC for Account of Series</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2008-01</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By: Aladdin Capital Management LLC</w:t>
      </w:r>
      <w:r>
        <w:rPr>
          <w:rFonts w:ascii="Times New Roman" w:cs="Times New Roman" w:eastAsia="Times New Roman" w:hAnsi="Times New Roman"/>
          <w:sz w:val="18"/>
          <w:szCs w:val="18"/>
          <w:color w:val="auto"/>
        </w:rPr>
        <w:t>. as a Consenting Lender</w:t>
      </w:r>
    </w:p>
    <w:p>
      <w:pPr>
        <w:spacing w:after="0" w:line="223" w:lineRule="exact"/>
        <w:rPr>
          <w:sz w:val="20"/>
          <w:szCs w:val="20"/>
          <w:color w:val="auto"/>
        </w:rPr>
      </w:pPr>
    </w:p>
    <w:p>
      <w:pPr>
        <w:ind w:left="7200"/>
        <w:spacing w:after="0"/>
        <w:tabs>
          <w:tab w:leader="none" w:pos="788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Pallo Blum-Tucker</w:t>
      </w:r>
    </w:p>
    <w:p>
      <w:pPr>
        <w:spacing w:after="0" w:line="23" w:lineRule="exact"/>
        <w:rPr>
          <w:sz w:val="20"/>
          <w:szCs w:val="20"/>
          <w:color w:val="auto"/>
        </w:rPr>
      </w:pPr>
    </w:p>
    <w:p>
      <w:pPr>
        <w:ind w:left="7200"/>
        <w:spacing w:after="0"/>
        <w:tabs>
          <w:tab w:leader="none" w:pos="7880" w:val="left"/>
        </w:tabs>
        <w:rPr>
          <w:sz w:val="20"/>
          <w:szCs w:val="20"/>
          <w:color w:val="auto"/>
        </w:rPr>
      </w:pPr>
      <w:r>
        <w:rPr>
          <w:rFonts w:ascii="Times New Roman" w:cs="Times New Roman" w:eastAsia="Times New Roman" w:hAnsi="Times New Roman"/>
          <w:sz w:val="18"/>
          <w:szCs w:val="18"/>
          <w:color w:val="auto"/>
        </w:rPr>
        <w:t>Name:</w:t>
        <w:tab/>
        <w:t>Pallo Blum-Tucker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-129540</wp:posOffset>
            </wp:positionV>
            <wp:extent cx="228981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ind w:left="7200"/>
        <w:spacing w:after="0"/>
        <w:tabs>
          <w:tab w:leader="none" w:pos="78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121" w:lineRule="exact"/>
        <w:rPr>
          <w:sz w:val="20"/>
          <w:szCs w:val="20"/>
          <w:color w:val="auto"/>
        </w:rPr>
      </w:pPr>
    </w:p>
    <w:p>
      <w:pPr>
        <w:ind w:left="460" w:hanging="452"/>
        <w:spacing w:after="0"/>
        <w:tabs>
          <w:tab w:leader="none" w:pos="460" w:val="left"/>
        </w:tabs>
        <w:numPr>
          <w:ilvl w:val="0"/>
          <w:numId w:val="1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229" w:name="page230"/>
    <w:bookmarkEnd w:id="22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117" w:lineRule="exact"/>
        <w:rPr>
          <w:sz w:val="20"/>
          <w:szCs w:val="20"/>
          <w:color w:val="auto"/>
        </w:rPr>
      </w:pPr>
    </w:p>
    <w:p>
      <w:pPr>
        <w:ind w:left="7032"/>
        <w:spacing w:after="0"/>
        <w:rPr>
          <w:sz w:val="20"/>
          <w:szCs w:val="20"/>
          <w:color w:val="auto"/>
        </w:rPr>
      </w:pPr>
      <w:r>
        <w:rPr>
          <w:rFonts w:ascii="Times New Roman" w:cs="Times New Roman" w:eastAsia="Times New Roman" w:hAnsi="Times New Roman"/>
          <w:sz w:val="18"/>
          <w:szCs w:val="18"/>
          <w:color w:val="auto"/>
        </w:rPr>
        <w:t>Landmark IV CDO, Limited</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Aladdin Capital Management LLC.</w:t>
      </w:r>
    </w:p>
    <w:p>
      <w:pPr>
        <w:spacing w:after="0" w:line="19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Pallo Blum-Tucker</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Pallo Blum-Tucker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-129540</wp:posOffset>
            </wp:positionV>
            <wp:extent cx="271843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21" w:lineRule="exact"/>
        <w:rPr>
          <w:sz w:val="20"/>
          <w:szCs w:val="20"/>
          <w:color w:val="auto"/>
        </w:rPr>
      </w:pPr>
    </w:p>
    <w:p>
      <w:pPr>
        <w:ind w:left="452" w:hanging="452"/>
        <w:spacing w:after="0"/>
        <w:tabs>
          <w:tab w:leader="none" w:pos="452" w:val="left"/>
        </w:tabs>
        <w:numPr>
          <w:ilvl w:val="0"/>
          <w:numId w:val="20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30" w:name="page231"/>
    <w:bookmarkEnd w:id="230"/>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Oak Hill Credit Partners V,</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4024630</wp:posOffset>
            </wp:positionH>
            <wp:positionV relativeFrom="paragraph">
              <wp:posOffset>-17780</wp:posOffset>
            </wp:positionV>
            <wp:extent cx="158877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6"/>
          <w:szCs w:val="16"/>
          <w:color w:val="auto"/>
        </w:rPr>
        <w:t xml:space="preserve">[please print or type name </w:t>
      </w:r>
      <w:r>
        <w:rPr>
          <w:rFonts w:ascii="Times New Roman" w:cs="Times New Roman" w:eastAsia="Times New Roman" w:hAnsi="Times New Roman"/>
          <w:sz w:val="16"/>
          <w:szCs w:val="16"/>
          <w:i w:val="1"/>
          <w:iCs w:val="1"/>
          <w:color w:val="auto"/>
        </w:rPr>
        <w:t>of institution</w:t>
      </w:r>
      <w:r>
        <w:rPr>
          <w:rFonts w:ascii="Times New Roman" w:cs="Times New Roman" w:eastAsia="Times New Roman" w:hAnsi="Times New Roman"/>
          <w:sz w:val="16"/>
          <w:szCs w:val="16"/>
          <w:color w:val="auto"/>
        </w:rPr>
        <w:t xml:space="preserve">]. as </w:t>
      </w:r>
      <w:r>
        <w:rPr>
          <w:rFonts w:ascii="Times New Roman" w:cs="Times New Roman" w:eastAsia="Times New Roman" w:hAnsi="Times New Roman"/>
          <w:sz w:val="13"/>
          <w:szCs w:val="13"/>
          <w:color w:val="auto"/>
        </w:rPr>
        <w:t>A</w:t>
      </w:r>
      <w:r>
        <w:rPr>
          <w:rFonts w:ascii="Times New Roman" w:cs="Times New Roman" w:eastAsia="Times New Roman" w:hAnsi="Times New Roman"/>
          <w:sz w:val="16"/>
          <w:szCs w:val="16"/>
          <w:color w:val="auto"/>
        </w:rPr>
        <w:t xml:space="preserve"> Consenting</w:t>
      </w:r>
    </w:p>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By: Oak Hill Advisors, L.P., as Portfolio Manager</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Scott D. Krase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-129540</wp:posOffset>
            </wp:positionV>
            <wp:extent cx="254698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Authorized Person</w:t>
      </w:r>
    </w:p>
    <w:p>
      <w:pPr>
        <w:sectPr>
          <w:pgSz w:w="11900" w:h="16838" w:orient="portrait"/>
          <w:cols w:equalWidth="0" w:num="1">
            <w:col w:w="9720"/>
          </w:cols>
          <w:pgMar w:left="1440" w:top="274" w:right="739" w:bottom="1440" w:gutter="0" w:footer="0" w:header="0"/>
        </w:sectPr>
      </w:pPr>
    </w:p>
    <w:bookmarkStart w:id="231" w:name="page232"/>
    <w:bookmarkEnd w:id="231"/>
    <w:p>
      <w:pPr>
        <w:ind w:left="703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25" w:lineRule="exact"/>
        <w:rPr>
          <w:sz w:val="20"/>
          <w:szCs w:val="20"/>
          <w:color w:val="auto"/>
        </w:rPr>
      </w:pPr>
    </w:p>
    <w:p>
      <w:pPr>
        <w:ind w:left="7112"/>
        <w:spacing w:after="0"/>
        <w:rPr>
          <w:sz w:val="20"/>
          <w:szCs w:val="20"/>
          <w:color w:val="auto"/>
        </w:rPr>
      </w:pPr>
      <w:r>
        <w:rPr>
          <w:rFonts w:ascii="Times New Roman" w:cs="Times New Roman" w:eastAsia="Times New Roman" w:hAnsi="Times New Roman"/>
          <w:sz w:val="18"/>
          <w:szCs w:val="18"/>
          <w:color w:val="auto"/>
        </w:rPr>
        <w:t>Oak Hill Credit Partners</w:t>
      </w:r>
    </w:p>
    <w:p>
      <w:pPr>
        <w:spacing w:after="0" w:line="21"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8"/>
          <w:szCs w:val="18"/>
          <w:color w:val="auto"/>
        </w:rPr>
        <w:t>..III, Limited</w:t>
      </w:r>
    </w:p>
    <w:p>
      <w:pPr>
        <w:spacing w:after="0" w:line="9"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6"/>
          <w:szCs w:val="16"/>
          <w:color w:val="auto"/>
        </w:rPr>
        <w:t>[please print or type name of institution], as a</w:t>
      </w:r>
    </w:p>
    <w:p>
      <w:pPr>
        <w:spacing w:after="0" w:line="32"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Oak Hill CLO Management III, LLC, as</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11"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15875</wp:posOffset>
            </wp:positionV>
            <wp:extent cx="283845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8"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8"/>
          <w:szCs w:val="18"/>
          <w:color w:val="auto"/>
        </w:rPr>
        <w:t>Name: Scott D. Krase</w:t>
      </w:r>
    </w:p>
    <w:p>
      <w:pPr>
        <w:spacing w:after="0" w:line="21"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121" w:lineRule="exact"/>
        <w:rPr>
          <w:sz w:val="20"/>
          <w:szCs w:val="20"/>
          <w:color w:val="auto"/>
        </w:rPr>
      </w:pPr>
    </w:p>
    <w:p>
      <w:pPr>
        <w:ind w:left="452" w:hanging="452"/>
        <w:spacing w:after="0"/>
        <w:tabs>
          <w:tab w:leader="none" w:pos="452" w:val="left"/>
        </w:tabs>
        <w:numPr>
          <w:ilvl w:val="0"/>
          <w:numId w:val="20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32" w:name="page233"/>
    <w:bookmarkEnd w:id="232"/>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OHA Park Avenue CLO I, LTD.</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[please print or type name of</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institution], as a Consenting Lender</w:t>
      </w:r>
    </w:p>
    <w:p>
      <w:pPr>
        <w:spacing w:after="0" w:line="2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color w:val="auto"/>
        </w:rPr>
        <w:t>Oak Hill Advisors, L.P., as Investment Manager</w:t>
      </w: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Scott D. Krase</w:t>
      </w:r>
    </w:p>
    <w:p>
      <w:pPr>
        <w:spacing w:after="0" w:line="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Authorized Person</w:t>
      </w:r>
    </w:p>
    <w:p>
      <w:pPr>
        <w:sectPr>
          <w:pgSz w:w="11900" w:h="16838" w:orient="portrait"/>
          <w:cols w:equalWidth="0" w:num="1">
            <w:col w:w="9240"/>
          </w:cols>
          <w:pgMar w:left="1440" w:top="274" w:right="1219" w:bottom="1440" w:gutter="0" w:footer="0" w:header="0"/>
        </w:sectPr>
      </w:pPr>
    </w:p>
    <w:bookmarkStart w:id="233" w:name="page234"/>
    <w:bookmarkEnd w:id="233"/>
    <w:p>
      <w:pPr>
        <w:ind w:left="71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p>
    <w:p>
      <w:pPr>
        <w:spacing w:after="0" w:line="21" w:lineRule="exact"/>
        <w:rPr>
          <w:sz w:val="20"/>
          <w:szCs w:val="20"/>
          <w:color w:val="auto"/>
        </w:rPr>
      </w:pPr>
    </w:p>
    <w:p>
      <w:pPr>
        <w:ind w:left="7112"/>
        <w:spacing w:after="0"/>
        <w:rPr>
          <w:sz w:val="20"/>
          <w:szCs w:val="20"/>
          <w:color w:val="auto"/>
        </w:rPr>
      </w:pPr>
      <w:r>
        <w:rPr>
          <w:rFonts w:ascii="Times New Roman" w:cs="Times New Roman" w:eastAsia="Times New Roman" w:hAnsi="Times New Roman"/>
          <w:sz w:val="18"/>
          <w:szCs w:val="18"/>
          <w:color w:val="auto"/>
        </w:rPr>
        <w:t>Oak Hill Credit Partners</w:t>
      </w:r>
    </w:p>
    <w:p>
      <w:pPr>
        <w:spacing w:after="0" w:line="9" w:lineRule="exact"/>
        <w:rPr>
          <w:sz w:val="20"/>
          <w:szCs w:val="20"/>
          <w:color w:val="auto"/>
        </w:rPr>
      </w:pPr>
    </w:p>
    <w:p>
      <w:pPr>
        <w:ind w:left="7112"/>
        <w:spacing w:after="0"/>
        <w:rPr>
          <w:sz w:val="20"/>
          <w:szCs w:val="20"/>
          <w:color w:val="auto"/>
        </w:rPr>
      </w:pPr>
      <w:r>
        <w:rPr>
          <w:rFonts w:ascii="Times New Roman" w:cs="Times New Roman" w:eastAsia="Times New Roman" w:hAnsi="Times New Roman"/>
          <w:sz w:val="18"/>
          <w:szCs w:val="18"/>
          <w:color w:val="auto"/>
        </w:rPr>
        <w:t>IV, Limited</w:t>
      </w:r>
    </w:p>
    <w:p>
      <w:pPr>
        <w:spacing w:after="0" w:line="226" w:lineRule="exact"/>
        <w:rPr>
          <w:sz w:val="20"/>
          <w:szCs w:val="20"/>
          <w:color w:val="auto"/>
        </w:rPr>
      </w:pPr>
    </w:p>
    <w:p>
      <w:pPr>
        <w:ind w:left="7112"/>
        <w:spacing w:after="0"/>
        <w:rPr>
          <w:sz w:val="20"/>
          <w:szCs w:val="20"/>
          <w:color w:val="auto"/>
        </w:rPr>
      </w:pPr>
      <w:r>
        <w:rPr>
          <w:rFonts w:ascii="Times New Roman" w:cs="Times New Roman" w:eastAsia="Times New Roman" w:hAnsi="Times New Roman"/>
          <w:sz w:val="18"/>
          <w:szCs w:val="18"/>
          <w:color w:val="auto"/>
        </w:rPr>
        <w:t>[please print or type name of institution], as</w:t>
      </w:r>
    </w:p>
    <w:p>
      <w:pPr>
        <w:spacing w:after="0" w:line="21" w:lineRule="exact"/>
        <w:rPr>
          <w:sz w:val="20"/>
          <w:szCs w:val="20"/>
          <w:color w:val="auto"/>
        </w:rPr>
      </w:pPr>
    </w:p>
    <w:p>
      <w:pPr>
        <w:ind w:left="7112"/>
        <w:spacing w:after="0"/>
        <w:rPr>
          <w:sz w:val="20"/>
          <w:szCs w:val="20"/>
          <w:color w:val="auto"/>
        </w:rPr>
      </w:pPr>
      <w:r>
        <w:rPr>
          <w:rFonts w:ascii="Times New Roman" w:cs="Times New Roman" w:eastAsia="Times New Roman" w:hAnsi="Times New Roman"/>
          <w:sz w:val="18"/>
          <w:szCs w:val="18"/>
          <w:color w:val="auto"/>
        </w:rPr>
        <w:t>a Consenting Lender</w:t>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Oak Hill CLO Management IV, LLC, as Investment</w:t>
      </w:r>
    </w:p>
    <w:p>
      <w:pPr>
        <w:spacing w:after="0" w:line="4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Manager</w:t>
      </w:r>
    </w:p>
    <w:p>
      <w:pPr>
        <w:spacing w:after="0" w:line="211"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15875</wp:posOffset>
            </wp:positionV>
            <wp:extent cx="283845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8"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8"/>
          <w:szCs w:val="18"/>
          <w:color w:val="auto"/>
        </w:rPr>
        <w:t>Name: Scott D. Krase</w:t>
      </w:r>
    </w:p>
    <w:p>
      <w:pPr>
        <w:spacing w:after="0" w:line="21"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121" w:lineRule="exact"/>
        <w:rPr>
          <w:sz w:val="20"/>
          <w:szCs w:val="20"/>
          <w:color w:val="auto"/>
        </w:rPr>
      </w:pPr>
    </w:p>
    <w:p>
      <w:pPr>
        <w:ind w:left="452" w:hanging="452"/>
        <w:spacing w:after="0"/>
        <w:tabs>
          <w:tab w:leader="none" w:pos="452" w:val="left"/>
        </w:tabs>
        <w:numPr>
          <w:ilvl w:val="0"/>
          <w:numId w:val="20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792"/>
          </w:cols>
          <w:pgMar w:left="248" w:top="274" w:right="859" w:bottom="1440" w:gutter="0" w:footer="0" w:header="0"/>
        </w:sectPr>
      </w:pPr>
    </w:p>
    <w:bookmarkStart w:id="234" w:name="page235"/>
    <w:bookmarkEnd w:id="234"/>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Barclays Bank PLC, as a</w:t>
      </w:r>
    </w:p>
    <w:p>
      <w:pPr>
        <w:spacing w:after="0" w:line="2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1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Craig J. Malloy</w:t>
      </w:r>
    </w:p>
    <w:p>
      <w:pPr>
        <w:spacing w:after="0" w:line="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Craig J.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Director</w:t>
      </w:r>
    </w:p>
    <w:p>
      <w:pPr>
        <w:spacing w:after="0" w:line="132" w:lineRule="exact"/>
        <w:rPr>
          <w:sz w:val="20"/>
          <w:szCs w:val="20"/>
          <w:color w:val="auto"/>
        </w:rPr>
      </w:pPr>
    </w:p>
    <w:p>
      <w:pPr>
        <w:ind w:left="452" w:hanging="452"/>
        <w:spacing w:after="0"/>
        <w:tabs>
          <w:tab w:leader="none" w:pos="452" w:val="left"/>
        </w:tabs>
        <w:numPr>
          <w:ilvl w:val="0"/>
          <w:numId w:val="20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35" w:name="page236"/>
    <w:bookmarkEnd w:id="23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NACM CLO I, as a Consenting Lender</w:t>
      </w:r>
    </w:p>
    <w:p>
      <w:pPr>
        <w:spacing w:after="0" w:line="24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Joanna Willars</w:t>
      </w:r>
    </w:p>
    <w:p>
      <w:pPr>
        <w:spacing w:after="0" w:line="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Joanna Willars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VP, Authorized Signatory</w:t>
      </w:r>
    </w:p>
    <w:p>
      <w:pPr>
        <w:spacing w:after="0" w:line="121" w:lineRule="exact"/>
        <w:rPr>
          <w:sz w:val="20"/>
          <w:szCs w:val="20"/>
          <w:color w:val="auto"/>
        </w:rPr>
      </w:pPr>
    </w:p>
    <w:p>
      <w:pPr>
        <w:ind w:left="452" w:hanging="452"/>
        <w:spacing w:after="0"/>
        <w:tabs>
          <w:tab w:leader="none" w:pos="452" w:val="left"/>
        </w:tabs>
        <w:numPr>
          <w:ilvl w:val="0"/>
          <w:numId w:val="20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36" w:name="page237"/>
    <w:bookmarkEnd w:id="23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00" w:lineRule="exact"/>
        <w:rPr>
          <w:sz w:val="20"/>
          <w:szCs w:val="20"/>
          <w:color w:val="auto"/>
        </w:rPr>
      </w:pPr>
    </w:p>
    <w:p>
      <w:pPr>
        <w:spacing w:after="0" w:line="28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NACM CLO II, as a Consenting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-115570</wp:posOffset>
            </wp:positionV>
            <wp:extent cx="289877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6"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Joanna Willars</w:t>
      </w:r>
    </w:p>
    <w:p>
      <w:pPr>
        <w:spacing w:after="0" w:line="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Joanna Willars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VP, Authorized Signatory</w:t>
      </w:r>
    </w:p>
    <w:p>
      <w:pPr>
        <w:spacing w:after="0" w:line="121" w:lineRule="exact"/>
        <w:rPr>
          <w:sz w:val="20"/>
          <w:szCs w:val="20"/>
          <w:color w:val="auto"/>
        </w:rPr>
      </w:pPr>
    </w:p>
    <w:p>
      <w:pPr>
        <w:ind w:left="452" w:hanging="452"/>
        <w:spacing w:after="0"/>
        <w:tabs>
          <w:tab w:leader="none" w:pos="452" w:val="left"/>
        </w:tabs>
        <w:numPr>
          <w:ilvl w:val="0"/>
          <w:numId w:val="20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37" w:name="page238"/>
    <w:bookmarkEnd w:id="237"/>
    <w:p>
      <w:pPr>
        <w:ind w:left="749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7492"/>
        <w:spacing w:after="0"/>
        <w:rPr>
          <w:sz w:val="20"/>
          <w:szCs w:val="20"/>
          <w:color w:val="auto"/>
        </w:rPr>
      </w:pPr>
      <w:r>
        <w:rPr>
          <w:rFonts w:ascii="Times New Roman" w:cs="Times New Roman" w:eastAsia="Times New Roman" w:hAnsi="Times New Roman"/>
          <w:sz w:val="18"/>
          <w:szCs w:val="18"/>
          <w:b w:val="1"/>
          <w:bCs w:val="1"/>
          <w:color w:val="auto"/>
        </w:rPr>
        <w:t>Aurum CLO 2002-1 Ltd.</w:t>
      </w:r>
    </w:p>
    <w:p>
      <w:pPr>
        <w:spacing w:after="0" w:line="23" w:lineRule="exact"/>
        <w:rPr>
          <w:sz w:val="20"/>
          <w:szCs w:val="20"/>
          <w:color w:val="auto"/>
        </w:rPr>
      </w:pPr>
    </w:p>
    <w:p>
      <w:pPr>
        <w:ind w:left="7492"/>
        <w:spacing w:after="0"/>
        <w:rPr>
          <w:sz w:val="20"/>
          <w:szCs w:val="20"/>
          <w:color w:val="auto"/>
        </w:rPr>
      </w:pPr>
      <w:r>
        <w:rPr>
          <w:rFonts w:ascii="Times New Roman" w:cs="Times New Roman" w:eastAsia="Times New Roman" w:hAnsi="Times New Roman"/>
          <w:sz w:val="16"/>
          <w:szCs w:val="16"/>
          <w:color w:val="auto"/>
        </w:rPr>
        <w:t>By: Deutsche Investment Management Americas, Inc.</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(as successor in interest to Deutsche Asset Management, Inc.),</w:t>
      </w:r>
    </w:p>
    <w:p>
      <w:pPr>
        <w:spacing w:after="0" w:line="32" w:lineRule="exact"/>
        <w:rPr>
          <w:sz w:val="20"/>
          <w:szCs w:val="20"/>
          <w:color w:val="auto"/>
        </w:rPr>
      </w:pPr>
    </w:p>
    <w:p>
      <w:pPr>
        <w:ind w:left="7492"/>
        <w:spacing w:after="0"/>
        <w:rPr>
          <w:sz w:val="20"/>
          <w:szCs w:val="20"/>
          <w:color w:val="auto"/>
        </w:rPr>
      </w:pPr>
      <w:r>
        <w:rPr>
          <w:rFonts w:ascii="Times New Roman" w:cs="Times New Roman" w:eastAsia="Times New Roman" w:hAnsi="Times New Roman"/>
          <w:sz w:val="18"/>
          <w:szCs w:val="18"/>
          <w:color w:val="auto"/>
        </w:rPr>
        <w:t>As Collateral Manager</w:t>
      </w:r>
    </w:p>
    <w:p>
      <w:pPr>
        <w:spacing w:after="0" w:line="211" w:lineRule="exact"/>
        <w:rPr>
          <w:sz w:val="20"/>
          <w:szCs w:val="20"/>
          <w:color w:val="auto"/>
        </w:rPr>
      </w:pPr>
    </w:p>
    <w:p>
      <w:pPr>
        <w:ind w:left="7952"/>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Eric S. Meyer</w:t>
      </w:r>
    </w:p>
    <w:p>
      <w:pPr>
        <w:spacing w:after="0" w:line="52" w:lineRule="exact"/>
        <w:rPr>
          <w:sz w:val="20"/>
          <w:szCs w:val="20"/>
          <w:color w:val="auto"/>
        </w:rPr>
      </w:pPr>
    </w:p>
    <w:p>
      <w:pPr>
        <w:ind w:left="7952"/>
        <w:spacing w:after="0"/>
        <w:rPr>
          <w:sz w:val="20"/>
          <w:szCs w:val="20"/>
          <w:color w:val="auto"/>
        </w:rPr>
      </w:pPr>
      <w:r>
        <w:rPr>
          <w:rFonts w:ascii="Times New Roman" w:cs="Times New Roman" w:eastAsia="Times New Roman" w:hAnsi="Times New Roman"/>
          <w:sz w:val="18"/>
          <w:szCs w:val="18"/>
          <w:color w:val="auto"/>
        </w:rPr>
        <w:t>Name: Eric S.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5025390</wp:posOffset>
            </wp:positionH>
            <wp:positionV relativeFrom="paragraph">
              <wp:posOffset>-130175</wp:posOffset>
            </wp:positionV>
            <wp:extent cx="222123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 w:lineRule="exact"/>
        <w:rPr>
          <w:sz w:val="20"/>
          <w:szCs w:val="20"/>
          <w:color w:val="auto"/>
        </w:rPr>
      </w:pPr>
    </w:p>
    <w:p>
      <w:pPr>
        <w:ind w:left="7952"/>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11" w:lineRule="exact"/>
        <w:rPr>
          <w:sz w:val="20"/>
          <w:szCs w:val="20"/>
          <w:color w:val="auto"/>
        </w:rPr>
      </w:pPr>
    </w:p>
    <w:p>
      <w:pPr>
        <w:ind w:left="7952"/>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Thomas R. Bouchard</w:t>
      </w:r>
    </w:p>
    <w:p>
      <w:pPr>
        <w:spacing w:after="0" w:line="52" w:lineRule="exact"/>
        <w:rPr>
          <w:sz w:val="20"/>
          <w:szCs w:val="20"/>
          <w:color w:val="auto"/>
        </w:rPr>
      </w:pPr>
    </w:p>
    <w:p>
      <w:pPr>
        <w:ind w:left="7952"/>
        <w:spacing w:after="0"/>
        <w:rPr>
          <w:sz w:val="20"/>
          <w:szCs w:val="20"/>
          <w:color w:val="auto"/>
        </w:rPr>
      </w:pPr>
      <w:r>
        <w:rPr>
          <w:rFonts w:ascii="Times New Roman" w:cs="Times New Roman" w:eastAsia="Times New Roman" w:hAnsi="Times New Roman"/>
          <w:sz w:val="18"/>
          <w:szCs w:val="18"/>
          <w:color w:val="auto"/>
        </w:rPr>
        <w:t>Name: Thomas R. Bouchard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5025390</wp:posOffset>
            </wp:positionH>
            <wp:positionV relativeFrom="paragraph">
              <wp:posOffset>-130175</wp:posOffset>
            </wp:positionV>
            <wp:extent cx="222123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 w:lineRule="exact"/>
        <w:rPr>
          <w:sz w:val="20"/>
          <w:szCs w:val="20"/>
          <w:color w:val="auto"/>
        </w:rPr>
      </w:pPr>
    </w:p>
    <w:p>
      <w:pPr>
        <w:ind w:left="7952"/>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21" w:lineRule="exact"/>
        <w:rPr>
          <w:sz w:val="20"/>
          <w:szCs w:val="20"/>
          <w:color w:val="auto"/>
        </w:rPr>
      </w:pPr>
    </w:p>
    <w:p>
      <w:pPr>
        <w:ind w:left="452" w:hanging="452"/>
        <w:spacing w:after="0"/>
        <w:tabs>
          <w:tab w:leader="none" w:pos="452" w:val="left"/>
        </w:tabs>
        <w:numPr>
          <w:ilvl w:val="0"/>
          <w:numId w:val="20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12"/>
          </w:cols>
          <w:pgMar w:left="248" w:top="274" w:right="339" w:bottom="1440" w:gutter="0" w:footer="0" w:header="0"/>
        </w:sectPr>
      </w:pPr>
    </w:p>
    <w:bookmarkStart w:id="238" w:name="page239"/>
    <w:bookmarkEnd w:id="238"/>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Camulos Loan Vehicle I, Ltd. as a</w:t>
      </w:r>
    </w:p>
    <w:p>
      <w:pPr>
        <w:spacing w:after="0" w:line="4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1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Joanna Bensimc</w:t>
      </w:r>
    </w:p>
    <w:p>
      <w:pPr>
        <w:spacing w:after="0" w:line="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Joanna Bensimc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Associate</w:t>
      </w:r>
    </w:p>
    <w:p>
      <w:pPr>
        <w:spacing w:after="0" w:line="132" w:lineRule="exact"/>
        <w:rPr>
          <w:sz w:val="20"/>
          <w:szCs w:val="20"/>
          <w:color w:val="auto"/>
        </w:rPr>
      </w:pPr>
    </w:p>
    <w:p>
      <w:pPr>
        <w:ind w:left="452" w:hanging="452"/>
        <w:spacing w:after="0"/>
        <w:tabs>
          <w:tab w:leader="none" w:pos="452" w:val="left"/>
        </w:tabs>
        <w:numPr>
          <w:ilvl w:val="0"/>
          <w:numId w:val="20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1"/>
          </w:cols>
          <w:pgMar w:left="248" w:top="274" w:right="1440" w:bottom="1440" w:gutter="0" w:footer="0" w:header="0"/>
        </w:sectPr>
      </w:pPr>
    </w:p>
    <w:bookmarkStart w:id="239" w:name="page240"/>
    <w:bookmarkEnd w:id="23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FM LEVERAGED CAPITAL FUND II</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GSO/BLACKSTONE Debt Funds Management</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LLC as Subadviser to FriedbergMilstein LLC, as an</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Extending and Consenting Lender</w:t>
      </w:r>
    </w:p>
    <w:p>
      <w:pPr>
        <w:spacing w:after="0" w:line="21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By: /s/ Daniel H. Smith</w:t>
      </w:r>
    </w:p>
    <w:p>
      <w:pPr>
        <w:spacing w:after="0" w:line="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21" w:lineRule="exact"/>
        <w:rPr>
          <w:sz w:val="20"/>
          <w:szCs w:val="20"/>
          <w:color w:val="auto"/>
        </w:rPr>
      </w:pPr>
    </w:p>
    <w:p>
      <w:pPr>
        <w:ind w:left="452" w:hanging="452"/>
        <w:spacing w:after="0"/>
        <w:tabs>
          <w:tab w:leader="none" w:pos="452" w:val="left"/>
        </w:tabs>
        <w:numPr>
          <w:ilvl w:val="0"/>
          <w:numId w:val="20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512"/>
          </w:cols>
          <w:pgMar w:left="248" w:top="274" w:right="1139" w:bottom="1440" w:gutter="0" w:footer="0" w:header="0"/>
        </w:sectPr>
      </w:pPr>
    </w:p>
    <w:bookmarkStart w:id="240" w:name="page241"/>
    <w:bookmarkEnd w:id="24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GALE FORCE 1 CLO,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GSO/BLACKSTONE Debt Funds Management</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LLC as Collateral Manager, as an Extending and</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1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i w:val="1"/>
          <w:iCs w:val="1"/>
          <w:color w:val="auto"/>
        </w:rPr>
        <w:t>By: /s/ Daniel H. Smith</w:t>
      </w:r>
    </w:p>
    <w:p>
      <w:pPr>
        <w:spacing w:after="0" w:line="25"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21" w:lineRule="exact"/>
        <w:rPr>
          <w:sz w:val="20"/>
          <w:szCs w:val="20"/>
          <w:color w:val="auto"/>
        </w:rPr>
      </w:pPr>
    </w:p>
    <w:p>
      <w:pPr>
        <w:ind w:left="452" w:hanging="452"/>
        <w:spacing w:after="0"/>
        <w:tabs>
          <w:tab w:leader="none" w:pos="452" w:val="left"/>
        </w:tabs>
        <w:numPr>
          <w:ilvl w:val="0"/>
          <w:numId w:val="20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512"/>
          </w:cols>
          <w:pgMar w:left="248" w:top="274" w:right="1139" w:bottom="1440" w:gutter="0" w:footer="0" w:header="0"/>
        </w:sectPr>
      </w:pPr>
    </w:p>
    <w:bookmarkStart w:id="241" w:name="page242"/>
    <w:bookmarkEnd w:id="241"/>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GALE FORCE 3 CLO,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GSO/BLACKSTONE Debt Funds Management</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LLC as Collateral Manager, as an Extending and Consenting</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1" w:lineRule="exact"/>
        <w:rPr>
          <w:sz w:val="20"/>
          <w:szCs w:val="20"/>
          <w:color w:val="auto"/>
        </w:rPr>
      </w:pPr>
    </w:p>
    <w:tbl>
      <w:tblPr>
        <w:tblLayout w:type="fixed"/>
        <w:tblInd w:w="6852"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/s/ Daniel H. Smith</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Daniel H. Smith’</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2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242" w:name="page243"/>
    <w:bookmarkEnd w:id="242"/>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GALE FORCE 4 CLO,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GSO/BLACKSTONE Debt Funds Management</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LLC as Collateral Servicer, as an Extending and Consenting</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1"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Daniel H. Smith</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52" w:hanging="452"/>
        <w:spacing w:after="0"/>
        <w:tabs>
          <w:tab w:leader="none" w:pos="452" w:val="left"/>
        </w:tabs>
        <w:numPr>
          <w:ilvl w:val="0"/>
          <w:numId w:val="2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072"/>
          </w:cols>
          <w:pgMar w:left="248" w:top="274" w:right="579" w:bottom="1440" w:gutter="0" w:footer="0" w:header="0"/>
        </w:sectPr>
      </w:pPr>
    </w:p>
    <w:bookmarkStart w:id="243" w:name="page244"/>
    <w:bookmarkEnd w:id="243"/>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HUDSON STRAITS CLO 2004,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GSO/BLACKSTONE Debt Funds Management</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LLC as Collateral Manager, as an Extending and Consenting</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Lender</w:t>
      </w:r>
    </w:p>
    <w:p>
      <w:pPr>
        <w:spacing w:after="0" w:line="211"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Daniel H. Smith</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52" w:hanging="452"/>
        <w:spacing w:after="0"/>
        <w:tabs>
          <w:tab w:leader="none" w:pos="452" w:val="left"/>
        </w:tabs>
        <w:numPr>
          <w:ilvl w:val="0"/>
          <w:numId w:val="2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112"/>
          </w:cols>
          <w:pgMar w:left="248" w:top="274" w:right="539" w:bottom="1440" w:gutter="0" w:footer="0" w:header="0"/>
        </w:sectPr>
      </w:pPr>
    </w:p>
    <w:bookmarkStart w:id="244" w:name="page245"/>
    <w:bookmarkEnd w:id="244"/>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NWOOD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ARK</w:t>
      </w:r>
      <w:r>
        <w:rPr>
          <w:rFonts w:ascii="Times New Roman" w:cs="Times New Roman" w:eastAsia="Times New Roman" w:hAnsi="Times New Roman"/>
          <w:sz w:val="18"/>
          <w:szCs w:val="18"/>
          <w:b w:val="1"/>
          <w:bCs w:val="1"/>
          <w:color w:val="auto"/>
        </w:rPr>
        <w:t xml:space="preserve"> CDO L</w:t>
      </w:r>
      <w:r>
        <w:rPr>
          <w:rFonts w:ascii="Times New Roman" w:cs="Times New Roman" w:eastAsia="Times New Roman" w:hAnsi="Times New Roman"/>
          <w:sz w:val="14"/>
          <w:szCs w:val="14"/>
          <w:b w:val="1"/>
          <w:bCs w:val="1"/>
          <w:color w:val="auto"/>
        </w:rPr>
        <w:t>TD</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By:  Blackstone Debt Advisors L.P. as Collateral</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Manager, as an Extending and Consenting Lender</w:t>
      </w:r>
    </w:p>
    <w:p>
      <w:pPr>
        <w:spacing w:after="0" w:line="21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Daniel H. Smith</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Daniel H. Smith’</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60" w:hanging="452"/>
        <w:spacing w:after="0"/>
        <w:tabs>
          <w:tab w:leader="none" w:pos="460" w:val="left"/>
        </w:tabs>
        <w:numPr>
          <w:ilvl w:val="0"/>
          <w:numId w:val="2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360"/>
          </w:cols>
          <w:pgMar w:left="240" w:top="274" w:right="1299" w:bottom="1440" w:gutter="0" w:footer="0" w:header="0"/>
        </w:sectPr>
      </w:pPr>
    </w:p>
    <w:bookmarkStart w:id="245" w:name="page246"/>
    <w:bookmarkEnd w:id="245"/>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LOAN FUNDING VI LLC,</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for itself or as agent for Corporate Loan Funding VI LLC, as an</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Extending and Consenting Lender</w:t>
      </w:r>
    </w:p>
    <w:p>
      <w:pPr>
        <w:spacing w:after="0" w:line="211"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Daniel H. Smith</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52" w:hanging="452"/>
        <w:spacing w:after="0"/>
        <w:tabs>
          <w:tab w:leader="none" w:pos="452" w:val="left"/>
        </w:tabs>
        <w:numPr>
          <w:ilvl w:val="0"/>
          <w:numId w:val="2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32"/>
          </w:cols>
          <w:pgMar w:left="248" w:top="274" w:right="319" w:bottom="1440" w:gutter="0" w:footer="0" w:header="0"/>
        </w:sectPr>
      </w:pPr>
    </w:p>
    <w:bookmarkStart w:id="246" w:name="page247"/>
    <w:bookmarkEnd w:id="246"/>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MAPS CLO FUND I, LLC</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GSO / Blackstone Debt Funds Management LLC</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as Collateral Manager, as an Extending and Consenting Lender</w:t>
      </w:r>
    </w:p>
    <w:p>
      <w:pPr>
        <w:spacing w:after="0" w:line="234"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Daniel H. Smith</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52"/>
        <w:spacing w:after="0"/>
        <w:tabs>
          <w:tab w:leader="none" w:pos="7412"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52" w:hanging="452"/>
        <w:spacing w:after="0"/>
        <w:tabs>
          <w:tab w:leader="none" w:pos="452" w:val="left"/>
        </w:tabs>
        <w:numPr>
          <w:ilvl w:val="0"/>
          <w:numId w:val="2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292"/>
          </w:cols>
          <w:pgMar w:left="248" w:top="274" w:right="359" w:bottom="1440" w:gutter="0" w:footer="0" w:header="0"/>
        </w:sectPr>
      </w:pPr>
    </w:p>
    <w:bookmarkStart w:id="247" w:name="page248"/>
    <w:bookmarkEnd w:id="247"/>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MAPS CLO FUND II, LLC</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By:  GSO / Blackstone Debt Funds Management LLC as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Collateral Manager, as an Extending and Consenting</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Lender</w:t>
      </w:r>
    </w:p>
    <w:p>
      <w:pPr>
        <w:spacing w:after="0" w:line="21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Daniel H. Smith</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60" w:hanging="452"/>
        <w:spacing w:after="0"/>
        <w:tabs>
          <w:tab w:leader="none" w:pos="460" w:val="left"/>
        </w:tabs>
        <w:numPr>
          <w:ilvl w:val="0"/>
          <w:numId w:val="2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940"/>
          </w:cols>
          <w:pgMar w:left="240" w:top="274" w:right="719" w:bottom="1440" w:gutter="0" w:footer="0" w:header="0"/>
        </w:sectPr>
      </w:pPr>
    </w:p>
    <w:bookmarkStart w:id="248" w:name="page249"/>
    <w:bookmarkEnd w:id="248"/>
    <w:p>
      <w:pPr>
        <w:ind w:left="6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MONUMENT PARK CDO LTD.</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Blackstone Debt Advisors L.P.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as Collateral Manager, as an Extending and Consenting</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Lender</w:t>
      </w:r>
    </w:p>
    <w:p>
      <w:pPr>
        <w:spacing w:after="0" w:line="224"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Daniel H. Smith</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Daniel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21" w:lineRule="exact"/>
        <w:rPr>
          <w:sz w:val="20"/>
          <w:szCs w:val="20"/>
          <w:color w:val="auto"/>
        </w:rPr>
      </w:pPr>
    </w:p>
    <w:p>
      <w:pPr>
        <w:ind w:left="460" w:hanging="452"/>
        <w:spacing w:after="0"/>
        <w:tabs>
          <w:tab w:leader="none" w:pos="460" w:val="left"/>
        </w:tabs>
        <w:numPr>
          <w:ilvl w:val="0"/>
          <w:numId w:val="2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 6/15/11 1:34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120"/>
          </w:cols>
          <w:pgMar w:left="240" w:top="274" w:right="539" w:bottom="1440" w:gutter="0" w:footer="0" w:header="0"/>
        </w:sectPr>
      </w:pPr>
    </w:p>
    <w:bookmarkStart w:id="249" w:name="page250"/>
    <w:bookmarkEnd w:id="249"/>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ROSPECT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ARK</w:t>
      </w:r>
      <w:r>
        <w:rPr>
          <w:rFonts w:ascii="Times New Roman" w:cs="Times New Roman" w:eastAsia="Times New Roman" w:hAnsi="Times New Roman"/>
          <w:sz w:val="18"/>
          <w:szCs w:val="18"/>
          <w:b w:val="1"/>
          <w:bCs w:val="1"/>
          <w:color w:val="auto"/>
        </w:rPr>
        <w:t xml:space="preserve"> CDO L</w:t>
      </w:r>
      <w:r>
        <w:rPr>
          <w:rFonts w:ascii="Times New Roman" w:cs="Times New Roman" w:eastAsia="Times New Roman" w:hAnsi="Times New Roman"/>
          <w:sz w:val="14"/>
          <w:szCs w:val="14"/>
          <w:b w:val="1"/>
          <w:bCs w:val="1"/>
          <w:color w:val="auto"/>
        </w:rPr>
        <w:t>TD</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6"/>
          <w:szCs w:val="16"/>
          <w:color w:val="auto"/>
        </w:rPr>
        <w:t>By: Blackstone Debt Advisors L.P. as Collateral Manager, as an</w:t>
      </w:r>
    </w:p>
    <w:p>
      <w:pPr>
        <w:spacing w:after="0" w:line="3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Extending and Consenting Lender</w:t>
      </w:r>
    </w:p>
    <w:p>
      <w:pPr>
        <w:spacing w:after="0" w:line="224" w:lineRule="exact"/>
        <w:rPr>
          <w:sz w:val="20"/>
          <w:szCs w:val="20"/>
          <w:color w:val="auto"/>
        </w:rPr>
      </w:pPr>
    </w:p>
    <w:tbl>
      <w:tblPr>
        <w:tblLayout w:type="fixed"/>
        <w:tblInd w:w="6852"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/s/ Daniel H. Smith</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Daniel H. Smith’</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2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250" w:name="page251"/>
    <w:bookmarkEnd w:id="250"/>
    <w:p>
      <w:pPr>
        <w:ind w:left="68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CONSENTING LENDERS:</w:t>
      </w:r>
      <w:r>
        <w:rPr>
          <w:rFonts w:ascii="Times New Roman" w:cs="Times New Roman" w:eastAsia="Times New Roman" w:hAnsi="Times New Roman"/>
          <w:sz w:val="11"/>
          <w:szCs w:val="11"/>
          <w:color w:val="auto"/>
        </w:rPr>
        <w:t>1</w:t>
      </w:r>
    </w:p>
    <w:p>
      <w:pPr>
        <w:spacing w:after="0" w:line="2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b w:val="1"/>
          <w:bCs w:val="1"/>
          <w:color w:val="auto"/>
        </w:rPr>
        <w:t>RIVERSIDE PARK CLO LTD.</w:t>
      </w:r>
    </w:p>
    <w:p>
      <w:pPr>
        <w:spacing w:after="0" w:line="23"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By: GSO/BLACKSTONE Debt Funds Management LLC as</w:t>
      </w:r>
    </w:p>
    <w:p>
      <w:pPr>
        <w:spacing w:after="0" w:line="9"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18"/>
          <w:szCs w:val="18"/>
          <w:color w:val="auto"/>
        </w:rPr>
        <w:t>Collateral Manager, as an Extending and Consenting Lender</w:t>
      </w:r>
    </w:p>
    <w:p>
      <w:pPr>
        <w:spacing w:after="0" w:line="224" w:lineRule="exact"/>
        <w:rPr>
          <w:sz w:val="20"/>
          <w:szCs w:val="20"/>
          <w:color w:val="auto"/>
        </w:rPr>
      </w:pPr>
    </w:p>
    <w:tbl>
      <w:tblPr>
        <w:tblLayout w:type="fixed"/>
        <w:tblInd w:w="6852"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/s/ Daniel H. Smith</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Daniel H. Smith’</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12" w:lineRule="exact"/>
        <w:rPr>
          <w:sz w:val="20"/>
          <w:szCs w:val="20"/>
          <w:color w:val="auto"/>
        </w:rPr>
      </w:pPr>
    </w:p>
    <w:p>
      <w:pPr>
        <w:ind w:left="452" w:hanging="452"/>
        <w:spacing w:after="0"/>
        <w:tabs>
          <w:tab w:leader="none" w:pos="452" w:val="left"/>
        </w:tabs>
        <w:numPr>
          <w:ilvl w:val="0"/>
          <w:numId w:val="2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Only Lenders who approve the amendment but are not prepared to be Extending and Consenting Lenders should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89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w:t>
            </w:r>
          </w:p>
        </w:tc>
        <w:tc>
          <w:tcPr>
            <w:tcW w:w="3100" w:type="dxa"/>
            <w:vAlign w:val="bottom"/>
          </w:tcPr>
          <w:p>
            <w:pPr>
              <w:spacing w:after="0"/>
              <w:rPr>
                <w:sz w:val="17"/>
                <w:szCs w:val="17"/>
                <w:color w:val="auto"/>
              </w:rPr>
            </w:pPr>
          </w:p>
        </w:tc>
      </w:tr>
      <w:tr>
        <w:trPr>
          <w:trHeight w:val="392"/>
        </w:trPr>
        <w:tc>
          <w:tcPr>
            <w:tcW w:w="2820" w:type="dxa"/>
            <w:vAlign w:val="bottom"/>
          </w:tcPr>
          <w:p>
            <w:pPr>
              <w:spacing w:after="0"/>
              <w:rPr>
                <w:sz w:val="24"/>
                <w:szCs w:val="24"/>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Replacement Revolving Credit Lender</w:t>
            </w:r>
          </w:p>
        </w:tc>
        <w:tc>
          <w:tcPr>
            <w:tcW w:w="1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31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Replacement Revolving Credit Commitment</w:t>
            </w:r>
          </w:p>
        </w:tc>
      </w:tr>
      <w:tr>
        <w:trPr>
          <w:trHeight w:val="203"/>
        </w:trPr>
        <w:tc>
          <w:tcPr>
            <w:tcW w:w="8320" w:type="dxa"/>
            <w:vAlign w:val="bottom"/>
            <w:tcBorders>
              <w:top w:val="single" w:sz="8" w:color="CCEEFF"/>
            </w:tcBorders>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Bank PLC</w:t>
            </w:r>
          </w:p>
        </w:tc>
        <w:tc>
          <w:tcPr>
            <w:tcW w:w="31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$20,000,000</w:t>
            </w:r>
          </w:p>
        </w:tc>
      </w:tr>
      <w:tr>
        <w:trPr>
          <w:trHeight w:val="216"/>
        </w:trPr>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$25,000,000</w:t>
            </w:r>
          </w:p>
        </w:tc>
      </w:tr>
      <w:tr>
        <w:trPr>
          <w:trHeight w:val="216"/>
        </w:trPr>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$20,000,000</w:t>
            </w:r>
          </w:p>
        </w:tc>
      </w:tr>
      <w:tr>
        <w:trPr>
          <w:trHeight w:val="216"/>
        </w:trPr>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Credit Suisse AG</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$20,000,000</w:t>
            </w:r>
          </w:p>
        </w:tc>
      </w:tr>
      <w:tr>
        <w:trPr>
          <w:trHeight w:val="216"/>
        </w:trPr>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MIHI LLC</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$20,000,000</w:t>
            </w:r>
          </w:p>
        </w:tc>
      </w:tr>
      <w:tr>
        <w:trPr>
          <w:trHeight w:val="216"/>
        </w:trPr>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$105,000,000</w:t>
            </w:r>
          </w:p>
        </w:tc>
      </w:tr>
      <w:tr>
        <w:trPr>
          <w:trHeight w:val="216"/>
        </w:trPr>
        <w:tc>
          <w:tcPr>
            <w:tcW w:w="8320" w:type="dxa"/>
            <w:vAlign w:val="bottom"/>
            <w:gridSpan w:val="5"/>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7"/>
              </w:rPr>
              <w:t>Replacement Revolving Credit Lender</w:t>
            </w:r>
          </w:p>
        </w:tc>
        <w:tc>
          <w:tcPr>
            <w:tcW w:w="3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Replacement Revolving Credit Loan</w:t>
            </w:r>
          </w:p>
        </w:tc>
      </w:tr>
      <w:tr>
        <w:trPr>
          <w:trHeight w:val="216"/>
        </w:trPr>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Lehman Commercial Paper Inc.</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$14,000,000</w:t>
            </w:r>
          </w:p>
        </w:tc>
      </w:tr>
      <w:tr>
        <w:trPr>
          <w:trHeight w:val="216"/>
        </w:trPr>
        <w:tc>
          <w:tcPr>
            <w:tcW w:w="8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$119,000,000</w:t>
            </w:r>
          </w:p>
        </w:tc>
      </w:tr>
    </w:tbl>
    <w:p>
      <w:pPr>
        <w:jc w:val="cente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ind w:right="80" w:firstLine="464"/>
        <w:spacing w:after="0" w:line="262" w:lineRule="auto"/>
        <w:tabs>
          <w:tab w:leader="none" w:pos="6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right="60" w:firstLine="464"/>
        <w:spacing w:after="0" w:line="262" w:lineRule="auto"/>
        <w:tabs>
          <w:tab w:leader="none" w:pos="70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Times New Roman" w:cs="Times New Roman" w:eastAsia="Times New Roman" w:hAnsi="Times New Roman"/>
          <w:sz w:val="18"/>
          <w:szCs w:val="18"/>
          <w:color w:val="auto"/>
        </w:rPr>
      </w:pPr>
    </w:p>
    <w:p>
      <w:pPr>
        <w:ind w:right="100" w:firstLine="464"/>
        <w:spacing w:after="0" w:line="275" w:lineRule="auto"/>
        <w:tabs>
          <w:tab w:leader="none" w:pos="6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right="20" w:firstLine="464"/>
        <w:spacing w:after="0" w:line="262" w:lineRule="auto"/>
        <w:tabs>
          <w:tab w:leader="none" w:pos="70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sz w:val="20"/>
          <w:szCs w:val="20"/>
          <w:color w:val="auto"/>
        </w:rPr>
      </w:pPr>
    </w:p>
    <w:p>
      <w:pPr>
        <w:ind w:right="280" w:firstLine="464"/>
        <w:spacing w:after="0" w:line="275" w:lineRule="auto"/>
        <w:tabs>
          <w:tab w:leader="none" w:pos="63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sz w:val="20"/>
          <w:szCs w:val="20"/>
          <w:color w:val="auto"/>
        </w:rPr>
      </w:pPr>
    </w:p>
    <w:p>
      <w:pPr>
        <w:ind w:right="40" w:firstLine="464"/>
        <w:spacing w:after="0" w:line="275" w:lineRule="auto"/>
        <w:tabs>
          <w:tab w:leader="none" w:pos="69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right="260" w:firstLine="464"/>
        <w:spacing w:after="0" w:line="275" w:lineRule="auto"/>
        <w:tabs>
          <w:tab w:leader="none" w:pos="70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2011</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Kurt C. Hall</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ind w:right="80" w:firstLine="464"/>
        <w:spacing w:after="0" w:line="262" w:lineRule="auto"/>
        <w:tabs>
          <w:tab w:leader="none" w:pos="69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right="60" w:firstLine="464"/>
        <w:spacing w:after="0" w:line="262" w:lineRule="auto"/>
        <w:tabs>
          <w:tab w:leader="none" w:pos="70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Times New Roman" w:cs="Times New Roman" w:eastAsia="Times New Roman" w:hAnsi="Times New Roman"/>
          <w:sz w:val="18"/>
          <w:szCs w:val="18"/>
          <w:color w:val="auto"/>
        </w:rPr>
      </w:pPr>
    </w:p>
    <w:p>
      <w:pPr>
        <w:ind w:right="100" w:firstLine="464"/>
        <w:spacing w:after="0" w:line="275" w:lineRule="auto"/>
        <w:tabs>
          <w:tab w:leader="none" w:pos="69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right="20" w:firstLine="464"/>
        <w:spacing w:after="0" w:line="262" w:lineRule="auto"/>
        <w:tabs>
          <w:tab w:leader="none" w:pos="70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sz w:val="20"/>
          <w:szCs w:val="20"/>
          <w:color w:val="auto"/>
        </w:rPr>
      </w:pPr>
    </w:p>
    <w:p>
      <w:pPr>
        <w:ind w:right="280" w:firstLine="464"/>
        <w:spacing w:after="0" w:line="275" w:lineRule="auto"/>
        <w:tabs>
          <w:tab w:leader="none" w:pos="63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sz w:val="20"/>
          <w:szCs w:val="20"/>
          <w:color w:val="auto"/>
        </w:rPr>
      </w:pPr>
    </w:p>
    <w:p>
      <w:pPr>
        <w:ind w:right="40" w:firstLine="464"/>
        <w:spacing w:after="0" w:line="275" w:lineRule="auto"/>
        <w:tabs>
          <w:tab w:leader="none" w:pos="69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right="260" w:firstLine="464"/>
        <w:spacing w:after="0" w:line="275" w:lineRule="auto"/>
        <w:tabs>
          <w:tab w:leader="none" w:pos="70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2011</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Gary W. Ferrera</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3" w:right="2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June 30, 2011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32" w:lineRule="exact"/>
        <w:rPr>
          <w:sz w:val="20"/>
          <w:szCs w:val="20"/>
          <w:color w:val="auto"/>
        </w:rPr>
      </w:pPr>
    </w:p>
    <w:p>
      <w:pPr>
        <w:ind w:left="640" w:hanging="176"/>
        <w:spacing w:after="0"/>
        <w:tabs>
          <w:tab w:leader="none" w:pos="6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540" w:firstLine="464"/>
        <w:spacing w:after="0" w:line="461" w:lineRule="auto"/>
        <w:tabs>
          <w:tab w:leader="none" w:pos="63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August 4, 2011</w:t>
      </w:r>
    </w:p>
    <w:p>
      <w:pPr>
        <w:spacing w:after="0" w:line="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Kurt C. Hall</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3" w:right="2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180" w:firstLine="456"/>
        <w:spacing w:after="0" w:line="310" w:lineRule="auto"/>
        <w:rPr>
          <w:sz w:val="20"/>
          <w:szCs w:val="20"/>
          <w:color w:val="auto"/>
        </w:rPr>
      </w:pPr>
      <w:r>
        <w:rPr>
          <w:rFonts w:ascii="Times New Roman" w:cs="Times New Roman" w:eastAsia="Times New Roman" w:hAnsi="Times New Roman"/>
          <w:sz w:val="16"/>
          <w:szCs w:val="16"/>
          <w:color w:val="auto"/>
        </w:rPr>
        <w:t>In connection with the Quarterly Report on Form 10-Q for the period ending June 30, 2011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97" w:lineRule="exact"/>
        <w:rPr>
          <w:sz w:val="20"/>
          <w:szCs w:val="20"/>
          <w:color w:val="auto"/>
        </w:rPr>
      </w:pPr>
    </w:p>
    <w:p>
      <w:pPr>
        <w:ind w:left="640" w:hanging="176"/>
        <w:spacing w:after="0"/>
        <w:tabs>
          <w:tab w:leader="none" w:pos="6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right="540" w:firstLine="464"/>
        <w:spacing w:after="0" w:line="461" w:lineRule="auto"/>
        <w:tabs>
          <w:tab w:leader="none" w:pos="63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August 4, 2011</w:t>
      </w:r>
    </w:p>
    <w:p>
      <w:pPr>
        <w:spacing w:after="0" w:line="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Gary W. Ferrera</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1."/>
      <w:numFmt w:val="decimal"/>
      <w:start w:val="1"/>
    </w:lvl>
  </w:abstractNum>
  <w:abstractNum w:abstractNumId="1">
    <w:nsid w:val="78DF6A55"/>
    <w:multiLevelType w:val="hybridMultilevel"/>
    <w:lvl w:ilvl="0">
      <w:lvlJc w:val="left"/>
      <w:lvlText w:val="%1."/>
      <w:numFmt w:val="decimal"/>
      <w:start w:val="2"/>
    </w:lvl>
  </w:abstractNum>
  <w:abstractNum w:abstractNumId="2">
    <w:nsid w:val="39B7AAA2"/>
    <w:multiLevelType w:val="hybridMultilevel"/>
    <w:lvl w:ilvl="0">
      <w:lvlJc w:val="left"/>
      <w:lvlText w:val="%1."/>
      <w:numFmt w:val="decimal"/>
      <w:start w:val="3"/>
    </w:lvl>
  </w:abstractNum>
  <w:abstractNum w:abstractNumId="3">
    <w:nsid w:val="2B0D8DBE"/>
    <w:multiLevelType w:val="hybridMultilevel"/>
    <w:lvl w:ilvl="0">
      <w:lvlJc w:val="left"/>
      <w:lvlText w:val="%1."/>
      <w:numFmt w:val="decimal"/>
      <w:start w:val="4"/>
    </w:lvl>
  </w:abstractNum>
  <w:abstractNum w:abstractNumId="4">
    <w:nsid w:val="6C80EC70"/>
    <w:multiLevelType w:val="hybridMultilevel"/>
    <w:lvl w:ilvl="0">
      <w:lvlJc w:val="left"/>
      <w:lvlText w:val="%1."/>
      <w:numFmt w:val="decimal"/>
      <w:start w:val="5"/>
    </w:lvl>
  </w:abstractNum>
  <w:abstractNum w:abstractNumId="5">
    <w:nsid w:val="379E21B5"/>
    <w:multiLevelType w:val="hybridMultilevel"/>
    <w:lvl w:ilvl="0">
      <w:lvlJc w:val="left"/>
      <w:lvlText w:val="%1."/>
      <w:numFmt w:val="decimal"/>
      <w:start w:val="6"/>
    </w:lvl>
  </w:abstractNum>
  <w:abstractNum w:abstractNumId="6">
    <w:nsid w:val="69E373"/>
    <w:multiLevelType w:val="hybridMultilevel"/>
    <w:lvl w:ilvl="0">
      <w:lvlJc w:val="left"/>
      <w:lvlText w:val="%1."/>
      <w:numFmt w:val="decimal"/>
      <w:start w:val="7"/>
    </w:lvl>
  </w:abstractNum>
  <w:abstractNum w:abstractNumId="7">
    <w:nsid w:val="2C27173B"/>
    <w:multiLevelType w:val="hybridMultilevel"/>
    <w:lvl w:ilvl="0">
      <w:lvlJc w:val="left"/>
      <w:lvlText w:val="(%1)"/>
      <w:numFmt w:val="decimal"/>
      <w:start w:val="1"/>
    </w:lvl>
  </w:abstractNum>
  <w:abstractNum w:abstractNumId="8">
    <w:nsid w:val="4C9B0904"/>
    <w:multiLevelType w:val="hybridMultilevel"/>
    <w:lvl w:ilvl="0">
      <w:lvlJc w:val="left"/>
      <w:lvlText w:val="%1."/>
      <w:numFmt w:val="decimal"/>
      <w:start w:val="8"/>
    </w:lvl>
  </w:abstractNum>
  <w:abstractNum w:abstractNumId="9">
    <w:nsid w:val="6AA7B75C"/>
    <w:multiLevelType w:val="hybridMultilevel"/>
    <w:lvl w:ilvl="0">
      <w:lvlJc w:val="left"/>
      <w:lvlText w:val="%1."/>
      <w:numFmt w:val="decimal"/>
      <w:start w:val="9"/>
    </w:lvl>
  </w:abstractNum>
  <w:abstractNum w:abstractNumId="10">
    <w:nsid w:val="1DF029D3"/>
    <w:multiLevelType w:val="hybridMultilevel"/>
    <w:lvl w:ilvl="0">
      <w:lvlJc w:val="left"/>
      <w:lvlText w:val="%1."/>
      <w:numFmt w:val="decimal"/>
      <w:start w:val="10"/>
    </w:lvl>
  </w:abstractNum>
  <w:abstractNum w:abstractNumId="11">
    <w:nsid w:val="5675FF36"/>
    <w:multiLevelType w:val="hybridMultilevel"/>
    <w:lvl w:ilvl="0">
      <w:lvlJc w:val="left"/>
      <w:lvlText w:val="%1."/>
      <w:numFmt w:val="decimal"/>
      <w:start w:val="11"/>
    </w:lvl>
  </w:abstractNum>
  <w:abstractNum w:abstractNumId="12">
    <w:nsid w:val="3DD15094"/>
    <w:multiLevelType w:val="hybridMultilevel"/>
    <w:lvl w:ilvl="0">
      <w:lvlJc w:val="left"/>
      <w:lvlText w:val="•"/>
      <w:numFmt w:val="bullet"/>
      <w:start w:val="1"/>
    </w:lvl>
  </w:abstractNum>
  <w:abstractNum w:abstractNumId="13">
    <w:nsid w:val="3DB012B3"/>
    <w:multiLevelType w:val="hybridMultilevel"/>
    <w:lvl w:ilvl="0">
      <w:lvlJc w:val="left"/>
      <w:lvlText w:val="(%1)"/>
      <w:numFmt w:val="decimal"/>
      <w:start w:val="1"/>
    </w:lvl>
  </w:abstractNum>
  <w:abstractNum w:abstractNumId="14">
    <w:nsid w:val="2708C9AF"/>
    <w:multiLevelType w:val="hybridMultilevel"/>
    <w:lvl w:ilvl="0">
      <w:lvlJc w:val="left"/>
      <w:lvlText w:val="•"/>
      <w:numFmt w:val="bullet"/>
      <w:start w:val="1"/>
    </w:lvl>
  </w:abstractNum>
  <w:abstractNum w:abstractNumId="15">
    <w:nsid w:val="5B25ACE2"/>
    <w:multiLevelType w:val="hybridMultilevel"/>
    <w:lvl w:ilvl="0">
      <w:lvlJc w:val="left"/>
      <w:lvlText w:val="(%1)"/>
      <w:numFmt w:val="decimal"/>
      <w:start w:val="1"/>
    </w:lvl>
  </w:abstractNum>
  <w:abstractNum w:abstractNumId="16">
    <w:nsid w:val="175DFCF0"/>
    <w:multiLevelType w:val="hybridMultilevel"/>
    <w:lvl w:ilvl="0">
      <w:lvlJc w:val="left"/>
      <w:lvlText w:val="*"/>
      <w:numFmt w:val="bullet"/>
      <w:start w:val="1"/>
    </w:lvl>
  </w:abstractNum>
  <w:abstractNum w:abstractNumId="17">
    <w:nsid w:val="4F97E3E4"/>
    <w:multiLevelType w:val="hybridMultilevel"/>
    <w:lvl w:ilvl="0">
      <w:lvlJc w:val="left"/>
      <w:lvlText w:val="**"/>
      <w:numFmt w:val="bullet"/>
      <w:start w:val="1"/>
    </w:lvl>
  </w:abstractNum>
  <w:abstractNum w:abstractNumId="18">
    <w:nsid w:val="53B0A9E"/>
    <w:multiLevelType w:val="hybridMultilevel"/>
    <w:lvl w:ilvl="0">
      <w:lvlJc w:val="left"/>
      <w:lvlText w:val="***"/>
      <w:numFmt w:val="bullet"/>
      <w:start w:val="1"/>
    </w:lvl>
  </w:abstractNum>
  <w:abstractNum w:abstractNumId="19">
    <w:nsid w:val="34FD6B4F"/>
    <w:multiLevelType w:val="hybridMultilevel"/>
    <w:lvl w:ilvl="0">
      <w:lvlJc w:val="left"/>
      <w:lvlText w:val="(%1)"/>
      <w:numFmt w:val="decimal"/>
      <w:start w:val="1"/>
    </w:lvl>
  </w:abstractNum>
  <w:abstractNum w:abstractNumId="20">
    <w:nsid w:val="5915FF32"/>
    <w:multiLevelType w:val="hybridMultilevel"/>
    <w:lvl w:ilvl="0">
      <w:lvlJc w:val="left"/>
      <w:lvlText w:val="(%1)"/>
      <w:numFmt w:val="decimal"/>
      <w:start w:val="1"/>
    </w:lvl>
  </w:abstractNum>
  <w:abstractNum w:abstractNumId="21">
    <w:nsid w:val="56438D15"/>
    <w:multiLevelType w:val="hybridMultilevel"/>
    <w:lvl w:ilvl="0">
      <w:lvlJc w:val="left"/>
      <w:lvlText w:val="(%1)"/>
      <w:numFmt w:val="decimal"/>
      <w:start w:val="4"/>
    </w:lvl>
  </w:abstractNum>
  <w:abstractNum w:abstractNumId="22">
    <w:nsid w:val="519E3149"/>
    <w:multiLevelType w:val="hybridMultilevel"/>
    <w:lvl w:ilvl="0">
      <w:lvlJc w:val="left"/>
      <w:lvlText w:val="(%1)"/>
      <w:numFmt w:val="lowerLetter"/>
      <w:start w:val="2"/>
    </w:lvl>
    <w:lvl w:ilvl="1">
      <w:lvlJc w:val="left"/>
      <w:lvlText w:val="(%2)"/>
      <w:numFmt w:val="lowerLetter"/>
      <w:start w:val="9"/>
    </w:lvl>
  </w:abstractNum>
  <w:abstractNum w:abstractNumId="23">
    <w:nsid w:val="2C6E4AFD"/>
    <w:multiLevelType w:val="hybridMultilevel"/>
    <w:lvl w:ilvl="0">
      <w:lvlJc w:val="left"/>
      <w:lvlText w:val="%1"/>
      <w:numFmt w:val="upperLetter"/>
      <w:start w:val="1"/>
    </w:lvl>
    <w:lvl w:ilvl="1">
      <w:lvlJc w:val="left"/>
      <w:lvlText w:val="(%2)"/>
      <w:numFmt w:val="lowerRoman"/>
      <w:start w:val="2"/>
    </w:lvl>
  </w:abstractNum>
  <w:abstractNum w:abstractNumId="24">
    <w:nsid w:val="17A1B582"/>
    <w:multiLevelType w:val="hybridMultilevel"/>
    <w:lvl w:ilvl="0">
      <w:lvlJc w:val="left"/>
      <w:lvlText w:val="(%1)"/>
      <w:numFmt w:val="upperLetter"/>
      <w:start w:val="3"/>
    </w:lvl>
    <w:lvl w:ilvl="1">
      <w:lvlJc w:val="left"/>
      <w:lvlText w:val="%2"/>
      <w:numFmt w:val="lowerRoman"/>
      <w:start w:val="1"/>
    </w:lvl>
  </w:abstractNum>
  <w:abstractNum w:abstractNumId="25">
    <w:nsid w:val="4DF72E4E"/>
    <w:multiLevelType w:val="hybridMultilevel"/>
    <w:lvl w:ilvl="0">
      <w:lvlJc w:val="left"/>
      <w:lvlText w:val="(%1)"/>
      <w:numFmt w:val="lowerLetter"/>
      <w:start w:val="3"/>
    </w:lvl>
  </w:abstractNum>
  <w:abstractNum w:abstractNumId="26">
    <w:nsid w:val="5046B5A9"/>
    <w:multiLevelType w:val="hybridMultilevel"/>
    <w:lvl w:ilvl="0">
      <w:lvlJc w:val="left"/>
      <w:lvlText w:val="(%1)"/>
      <w:numFmt w:val="lowerLetter"/>
      <w:start w:val="7"/>
    </w:lvl>
  </w:abstractNum>
  <w:abstractNum w:abstractNumId="27">
    <w:nsid w:val="5D888A08"/>
    <w:multiLevelType w:val="hybridMultilevel"/>
    <w:lvl w:ilvl="0">
      <w:lvlJc w:val="left"/>
      <w:lvlText w:val="%1"/>
      <w:numFmt w:val="lowerLetter"/>
      <w:start w:val="1"/>
    </w:lvl>
    <w:lvl w:ilvl="1">
      <w:lvlJc w:val="left"/>
      <w:lvlText w:val="(%2)"/>
      <w:numFmt w:val="upperLetter"/>
      <w:start w:val="1"/>
    </w:lvl>
  </w:abstractNum>
  <w:abstractNum w:abstractNumId="28">
    <w:nsid w:val="2A082C70"/>
    <w:multiLevelType w:val="hybridMultilevel"/>
    <w:lvl w:ilvl="0">
      <w:lvlJc w:val="left"/>
      <w:lvlText w:val="(%1)"/>
      <w:numFmt w:val="lowerLetter"/>
      <w:start w:val="10"/>
    </w:lvl>
    <w:lvl w:ilvl="1">
      <w:lvlJc w:val="left"/>
      <w:lvlText w:val="%2"/>
      <w:numFmt w:val="upperLetter"/>
      <w:start w:val="1"/>
    </w:lvl>
  </w:abstractNum>
  <w:abstractNum w:abstractNumId="29">
    <w:nsid w:val="5EC6AFD4"/>
    <w:multiLevelType w:val="hybridMultilevel"/>
    <w:lvl w:ilvl="0">
      <w:lvlJc w:val="left"/>
      <w:lvlText w:val="(%1)"/>
      <w:numFmt w:val="lowerLetter"/>
      <w:start w:val="11"/>
    </w:lvl>
  </w:abstractNum>
  <w:abstractNum w:abstractNumId="30">
    <w:nsid w:val="19E21BB2"/>
    <w:multiLevelType w:val="hybridMultilevel"/>
    <w:lvl w:ilvl="0">
      <w:lvlJc w:val="left"/>
      <w:lvlText w:val="(%1)"/>
      <w:numFmt w:val="lowerLetter"/>
      <w:start w:val="1"/>
    </w:lvl>
  </w:abstractNum>
  <w:abstractNum w:abstractNumId="31">
    <w:nsid w:val="75E0858A"/>
    <w:multiLevelType w:val="hybridMultilevel"/>
    <w:lvl w:ilvl="0">
      <w:lvlJc w:val="left"/>
      <w:lvlText w:val="(%1)"/>
      <w:numFmt w:val="upperLetter"/>
      <w:start w:val="1"/>
    </w:lvl>
    <w:lvl w:ilvl="1">
      <w:lvlJc w:val="left"/>
      <w:lvlText w:val="%2"/>
      <w:numFmt w:val="lowerLetter"/>
      <w:start w:val="1"/>
    </w:lvl>
  </w:abstractNum>
  <w:abstractNum w:abstractNumId="32">
    <w:nsid w:val="57A61A29"/>
    <w:multiLevelType w:val="hybridMultilevel"/>
    <w:lvl w:ilvl="0">
      <w:lvlJc w:val="left"/>
      <w:lvlText w:val="(%1)"/>
      <w:numFmt w:val="upperLetter"/>
      <w:start w:val="3"/>
    </w:lvl>
    <w:lvl w:ilvl="1">
      <w:lvlJc w:val="left"/>
      <w:lvlText w:val="(%2)"/>
      <w:numFmt w:val="lowerLetter"/>
      <w:start w:val="9"/>
    </w:lvl>
  </w:abstractNum>
  <w:abstractNum w:abstractNumId="33">
    <w:nsid w:val="5399C654"/>
    <w:multiLevelType w:val="hybridMultilevel"/>
    <w:lvl w:ilvl="0">
      <w:lvlJc w:val="left"/>
      <w:lvlText w:val="(%1)"/>
      <w:numFmt w:val="lowerLetter"/>
      <w:start w:val="1"/>
    </w:lvl>
  </w:abstractNum>
  <w:abstractNum w:abstractNumId="34">
    <w:nsid w:val="20EE1348"/>
    <w:multiLevelType w:val="hybridMultilevel"/>
    <w:lvl w:ilvl="0">
      <w:lvlJc w:val="left"/>
      <w:lvlText w:val="(%1)"/>
      <w:numFmt w:val="lowerLetter"/>
      <w:start w:val="3"/>
    </w:lvl>
  </w:abstractNum>
  <w:abstractNum w:abstractNumId="35">
    <w:nsid w:val="4427069A"/>
    <w:multiLevelType w:val="hybridMultilevel"/>
    <w:lvl w:ilvl="0">
      <w:lvlJc w:val="left"/>
      <w:lvlText w:val="(%1)"/>
      <w:numFmt w:val="lowerLetter"/>
      <w:start w:val="2"/>
    </w:lvl>
  </w:abstractNum>
  <w:abstractNum w:abstractNumId="36">
    <w:nsid w:val="B37E80A"/>
    <w:multiLevelType w:val="hybridMultilevel"/>
    <w:lvl w:ilvl="0">
      <w:lvlJc w:val="left"/>
      <w:lvlText w:val="1"/>
      <w:numFmt w:val="bullet"/>
      <w:start w:val="1"/>
    </w:lvl>
  </w:abstractNum>
  <w:abstractNum w:abstractNumId="37">
    <w:nsid w:val="2157F6BC"/>
    <w:multiLevelType w:val="hybridMultilevel"/>
    <w:lvl w:ilvl="0">
      <w:lvlJc w:val="left"/>
      <w:lvlText w:val="1"/>
      <w:numFmt w:val="bullet"/>
      <w:start w:val="1"/>
    </w:lvl>
  </w:abstractNum>
  <w:abstractNum w:abstractNumId="38">
    <w:nsid w:val="704E1DD5"/>
    <w:multiLevelType w:val="hybridMultilevel"/>
    <w:lvl w:ilvl="0">
      <w:lvlJc w:val="left"/>
      <w:lvlText w:val="1"/>
      <w:numFmt w:val="bullet"/>
      <w:start w:val="1"/>
    </w:lvl>
  </w:abstractNum>
  <w:abstractNum w:abstractNumId="39">
    <w:nsid w:val="57D2F10E"/>
    <w:multiLevelType w:val="hybridMultilevel"/>
    <w:lvl w:ilvl="0">
      <w:lvlJc w:val="left"/>
      <w:lvlText w:val="1"/>
      <w:numFmt w:val="bullet"/>
      <w:start w:val="1"/>
    </w:lvl>
  </w:abstractNum>
  <w:abstractNum w:abstractNumId="40">
    <w:nsid w:val="BFFAE18"/>
    <w:multiLevelType w:val="hybridMultilevel"/>
    <w:lvl w:ilvl="0">
      <w:lvlJc w:val="left"/>
      <w:lvlText w:val="1"/>
      <w:numFmt w:val="bullet"/>
      <w:start w:val="1"/>
    </w:lvl>
  </w:abstractNum>
  <w:abstractNum w:abstractNumId="41">
    <w:nsid w:val="E3E47A8"/>
    <w:multiLevelType w:val="hybridMultilevel"/>
    <w:lvl w:ilvl="0">
      <w:lvlJc w:val="left"/>
      <w:lvlText w:val="1"/>
      <w:numFmt w:val="bullet"/>
      <w:start w:val="1"/>
    </w:lvl>
  </w:abstractNum>
  <w:abstractNum w:abstractNumId="42">
    <w:nsid w:val="2E48F044"/>
    <w:multiLevelType w:val="hybridMultilevel"/>
    <w:lvl w:ilvl="0">
      <w:lvlJc w:val="left"/>
      <w:lvlText w:val="1"/>
      <w:numFmt w:val="bullet"/>
      <w:start w:val="1"/>
    </w:lvl>
  </w:abstractNum>
  <w:abstractNum w:abstractNumId="43">
    <w:nsid w:val="49D0FEAC"/>
    <w:multiLevelType w:val="hybridMultilevel"/>
    <w:lvl w:ilvl="0">
      <w:lvlJc w:val="left"/>
      <w:lvlText w:val="1"/>
      <w:numFmt w:val="bullet"/>
      <w:start w:val="1"/>
    </w:lvl>
  </w:abstractNum>
  <w:abstractNum w:abstractNumId="44">
    <w:nsid w:val="4BEE5A5B"/>
    <w:multiLevelType w:val="hybridMultilevel"/>
    <w:lvl w:ilvl="0">
      <w:lvlJc w:val="left"/>
      <w:lvlText w:val="1"/>
      <w:numFmt w:val="bullet"/>
      <w:start w:val="1"/>
    </w:lvl>
  </w:abstractNum>
  <w:abstractNum w:abstractNumId="45">
    <w:nsid w:val="5551B9F3"/>
    <w:multiLevelType w:val="hybridMultilevel"/>
    <w:lvl w:ilvl="0">
      <w:lvlJc w:val="left"/>
      <w:lvlText w:val="1"/>
      <w:numFmt w:val="bullet"/>
      <w:start w:val="1"/>
    </w:lvl>
  </w:abstractNum>
  <w:abstractNum w:abstractNumId="46">
    <w:nsid w:val="24F6AB8E"/>
    <w:multiLevelType w:val="hybridMultilevel"/>
    <w:lvl w:ilvl="0">
      <w:lvlJc w:val="left"/>
      <w:lvlText w:val="1"/>
      <w:numFmt w:val="bullet"/>
      <w:start w:val="1"/>
    </w:lvl>
  </w:abstractNum>
  <w:abstractNum w:abstractNumId="47">
    <w:nsid w:val="634C574C"/>
    <w:multiLevelType w:val="hybridMultilevel"/>
    <w:lvl w:ilvl="0">
      <w:lvlJc w:val="left"/>
      <w:lvlText w:val="1"/>
      <w:numFmt w:val="bullet"/>
      <w:start w:val="1"/>
    </w:lvl>
  </w:abstractNum>
  <w:abstractNum w:abstractNumId="48">
    <w:nsid w:val="24E99DD7"/>
    <w:multiLevelType w:val="hybridMultilevel"/>
    <w:lvl w:ilvl="0">
      <w:lvlJc w:val="left"/>
      <w:lvlText w:val="1"/>
      <w:numFmt w:val="bullet"/>
      <w:start w:val="1"/>
    </w:lvl>
  </w:abstractNum>
  <w:abstractNum w:abstractNumId="49">
    <w:nsid w:val="2A31B62D"/>
    <w:multiLevelType w:val="hybridMultilevel"/>
    <w:lvl w:ilvl="0">
      <w:lvlJc w:val="left"/>
      <w:lvlText w:val="1"/>
      <w:numFmt w:val="bullet"/>
      <w:start w:val="1"/>
    </w:lvl>
  </w:abstractNum>
  <w:abstractNum w:abstractNumId="50">
    <w:nsid w:val="1849C29B"/>
    <w:multiLevelType w:val="hybridMultilevel"/>
    <w:lvl w:ilvl="0">
      <w:lvlJc w:val="left"/>
      <w:lvlText w:val="1"/>
      <w:numFmt w:val="bullet"/>
      <w:start w:val="1"/>
    </w:lvl>
  </w:abstractNum>
  <w:abstractNum w:abstractNumId="51">
    <w:nsid w:val="7DFF9D09"/>
    <w:multiLevelType w:val="hybridMultilevel"/>
    <w:lvl w:ilvl="0">
      <w:lvlJc w:val="left"/>
      <w:lvlText w:val="1"/>
      <w:numFmt w:val="bullet"/>
      <w:start w:val="1"/>
    </w:lvl>
  </w:abstractNum>
  <w:abstractNum w:abstractNumId="52">
    <w:nsid w:val="754342"/>
    <w:multiLevelType w:val="hybridMultilevel"/>
    <w:lvl w:ilvl="0">
      <w:lvlJc w:val="left"/>
      <w:lvlText w:val="1"/>
      <w:numFmt w:val="bullet"/>
      <w:start w:val="1"/>
    </w:lvl>
  </w:abstractNum>
  <w:abstractNum w:abstractNumId="53">
    <w:nsid w:val="69E7F3E5"/>
    <w:multiLevelType w:val="hybridMultilevel"/>
    <w:lvl w:ilvl="0">
      <w:lvlJc w:val="left"/>
      <w:lvlText w:val="1"/>
      <w:numFmt w:val="bullet"/>
      <w:start w:val="1"/>
    </w:lvl>
  </w:abstractNum>
  <w:abstractNum w:abstractNumId="54">
    <w:nsid w:val="2A6DE806"/>
    <w:multiLevelType w:val="hybridMultilevel"/>
    <w:lvl w:ilvl="0">
      <w:lvlJc w:val="left"/>
      <w:lvlText w:val="1"/>
      <w:numFmt w:val="bullet"/>
      <w:start w:val="1"/>
    </w:lvl>
  </w:abstractNum>
  <w:abstractNum w:abstractNumId="55">
    <w:nsid w:val="1816F8C4"/>
    <w:multiLevelType w:val="hybridMultilevel"/>
    <w:lvl w:ilvl="0">
      <w:lvlJc w:val="left"/>
      <w:lvlText w:val="1"/>
      <w:numFmt w:val="bullet"/>
      <w:start w:val="1"/>
    </w:lvl>
  </w:abstractNum>
  <w:abstractNum w:abstractNumId="56">
    <w:nsid w:val="37DF2233"/>
    <w:multiLevelType w:val="hybridMultilevel"/>
    <w:lvl w:ilvl="0">
      <w:lvlJc w:val="left"/>
      <w:lvlText w:val="1"/>
      <w:numFmt w:val="bullet"/>
      <w:start w:val="1"/>
    </w:lvl>
  </w:abstractNum>
  <w:abstractNum w:abstractNumId="57">
    <w:nsid w:val="7AB49DAF"/>
    <w:multiLevelType w:val="hybridMultilevel"/>
    <w:lvl w:ilvl="0">
      <w:lvlJc w:val="left"/>
      <w:lvlText w:val="1"/>
      <w:numFmt w:val="bullet"/>
      <w:start w:val="1"/>
    </w:lvl>
  </w:abstractNum>
  <w:abstractNum w:abstractNumId="58">
    <w:nsid w:val="759F82CD"/>
    <w:multiLevelType w:val="hybridMultilevel"/>
    <w:lvl w:ilvl="0">
      <w:lvlJc w:val="left"/>
      <w:lvlText w:val="1"/>
      <w:numFmt w:val="bullet"/>
      <w:start w:val="1"/>
    </w:lvl>
  </w:abstractNum>
  <w:abstractNum w:abstractNumId="59">
    <w:nsid w:val="61E74EA3"/>
    <w:multiLevelType w:val="hybridMultilevel"/>
    <w:lvl w:ilvl="0">
      <w:lvlJc w:val="left"/>
      <w:lvlText w:val="1"/>
      <w:numFmt w:val="bullet"/>
      <w:start w:val="1"/>
    </w:lvl>
  </w:abstractNum>
  <w:abstractNum w:abstractNumId="60">
    <w:nsid w:val="597B4D84"/>
    <w:multiLevelType w:val="hybridMultilevel"/>
    <w:lvl w:ilvl="0">
      <w:lvlJc w:val="left"/>
      <w:lvlText w:val="1"/>
      <w:numFmt w:val="bullet"/>
      <w:start w:val="1"/>
    </w:lvl>
  </w:abstractNum>
  <w:abstractNum w:abstractNumId="61">
    <w:nsid w:val="F819E7F"/>
    <w:multiLevelType w:val="hybridMultilevel"/>
    <w:lvl w:ilvl="0">
      <w:lvlJc w:val="left"/>
      <w:lvlText w:val="1"/>
      <w:numFmt w:val="bullet"/>
      <w:start w:val="1"/>
    </w:lvl>
  </w:abstractNum>
  <w:abstractNum w:abstractNumId="62">
    <w:nsid w:val="57C7D42D"/>
    <w:multiLevelType w:val="hybridMultilevel"/>
    <w:lvl w:ilvl="0">
      <w:lvlJc w:val="left"/>
      <w:lvlText w:val="1"/>
      <w:numFmt w:val="bullet"/>
      <w:start w:val="1"/>
    </w:lvl>
  </w:abstractNum>
  <w:abstractNum w:abstractNumId="63">
    <w:nsid w:val="312167AD"/>
    <w:multiLevelType w:val="hybridMultilevel"/>
    <w:lvl w:ilvl="0">
      <w:lvlJc w:val="left"/>
      <w:lvlText w:val="1"/>
      <w:numFmt w:val="bullet"/>
      <w:start w:val="1"/>
    </w:lvl>
  </w:abstractNum>
  <w:abstractNum w:abstractNumId="64">
    <w:nsid w:val="631B64D4"/>
    <w:multiLevelType w:val="hybridMultilevel"/>
    <w:lvl w:ilvl="0">
      <w:lvlJc w:val="left"/>
      <w:lvlText w:val="1"/>
      <w:numFmt w:val="bullet"/>
      <w:start w:val="1"/>
    </w:lvl>
  </w:abstractNum>
  <w:abstractNum w:abstractNumId="65">
    <w:nsid w:val="78B5E776"/>
    <w:multiLevelType w:val="hybridMultilevel"/>
    <w:lvl w:ilvl="0">
      <w:lvlJc w:val="left"/>
      <w:lvlText w:val="1"/>
      <w:numFmt w:val="bullet"/>
      <w:start w:val="1"/>
    </w:lvl>
  </w:abstractNum>
  <w:abstractNum w:abstractNumId="66">
    <w:nsid w:val="75486E47"/>
    <w:multiLevelType w:val="hybridMultilevel"/>
    <w:lvl w:ilvl="0">
      <w:lvlJc w:val="left"/>
      <w:lvlText w:val="1"/>
      <w:numFmt w:val="bullet"/>
      <w:start w:val="1"/>
    </w:lvl>
  </w:abstractNum>
  <w:abstractNum w:abstractNumId="67">
    <w:nsid w:val="6E534CDE"/>
    <w:multiLevelType w:val="hybridMultilevel"/>
    <w:lvl w:ilvl="0">
      <w:lvlJc w:val="left"/>
      <w:lvlText w:val="1"/>
      <w:numFmt w:val="bullet"/>
      <w:start w:val="1"/>
    </w:lvl>
  </w:abstractNum>
  <w:abstractNum w:abstractNumId="68">
    <w:nsid w:val="1A0DDE32"/>
    <w:multiLevelType w:val="hybridMultilevel"/>
    <w:lvl w:ilvl="0">
      <w:lvlJc w:val="left"/>
      <w:lvlText w:val="1"/>
      <w:numFmt w:val="bullet"/>
      <w:start w:val="1"/>
    </w:lvl>
  </w:abstractNum>
  <w:abstractNum w:abstractNumId="69">
    <w:nsid w:val="65968C1C"/>
    <w:multiLevelType w:val="hybridMultilevel"/>
    <w:lvl w:ilvl="0">
      <w:lvlJc w:val="left"/>
      <w:lvlText w:val="1"/>
      <w:numFmt w:val="bullet"/>
      <w:start w:val="1"/>
    </w:lvl>
  </w:abstractNum>
  <w:abstractNum w:abstractNumId="70">
    <w:nsid w:val="46263DEC"/>
    <w:multiLevelType w:val="hybridMultilevel"/>
    <w:lvl w:ilvl="0">
      <w:lvlJc w:val="left"/>
      <w:lvlText w:val="1"/>
      <w:numFmt w:val="bullet"/>
      <w:start w:val="1"/>
    </w:lvl>
  </w:abstractNum>
  <w:abstractNum w:abstractNumId="71">
    <w:nsid w:val="260D8C4A"/>
    <w:multiLevelType w:val="hybridMultilevel"/>
    <w:lvl w:ilvl="0">
      <w:lvlJc w:val="left"/>
      <w:lvlText w:val="1"/>
      <w:numFmt w:val="bullet"/>
      <w:start w:val="1"/>
    </w:lvl>
  </w:abstractNum>
  <w:abstractNum w:abstractNumId="72">
    <w:nsid w:val="73D4D3C4"/>
    <w:multiLevelType w:val="hybridMultilevel"/>
    <w:lvl w:ilvl="0">
      <w:lvlJc w:val="left"/>
      <w:lvlText w:val="1"/>
      <w:numFmt w:val="bullet"/>
      <w:start w:val="1"/>
    </w:lvl>
  </w:abstractNum>
  <w:abstractNum w:abstractNumId="73">
    <w:nsid w:val="746F2E30"/>
    <w:multiLevelType w:val="hybridMultilevel"/>
    <w:lvl w:ilvl="0">
      <w:lvlJc w:val="left"/>
      <w:lvlText w:val="1"/>
      <w:numFmt w:val="bullet"/>
      <w:start w:val="1"/>
    </w:lvl>
  </w:abstractNum>
  <w:abstractNum w:abstractNumId="74">
    <w:nsid w:val="6FDE8AF6"/>
    <w:multiLevelType w:val="hybridMultilevel"/>
    <w:lvl w:ilvl="0">
      <w:lvlJc w:val="left"/>
      <w:lvlText w:val="1"/>
      <w:numFmt w:val="bullet"/>
      <w:start w:val="1"/>
    </w:lvl>
  </w:abstractNum>
  <w:abstractNum w:abstractNumId="75">
    <w:nsid w:val="3FC32E20"/>
    <w:multiLevelType w:val="hybridMultilevel"/>
    <w:lvl w:ilvl="0">
      <w:lvlJc w:val="left"/>
      <w:lvlText w:val="1"/>
      <w:numFmt w:val="bullet"/>
      <w:start w:val="1"/>
    </w:lvl>
  </w:abstractNum>
  <w:abstractNum w:abstractNumId="76">
    <w:nsid w:val="49C0E823"/>
    <w:multiLevelType w:val="hybridMultilevel"/>
    <w:lvl w:ilvl="0">
      <w:lvlJc w:val="left"/>
      <w:lvlText w:val="1"/>
      <w:numFmt w:val="bullet"/>
      <w:start w:val="1"/>
    </w:lvl>
  </w:abstractNum>
  <w:abstractNum w:abstractNumId="77">
    <w:nsid w:val="14D53685"/>
    <w:multiLevelType w:val="hybridMultilevel"/>
    <w:lvl w:ilvl="0">
      <w:lvlJc w:val="left"/>
      <w:lvlText w:val="1"/>
      <w:numFmt w:val="bullet"/>
      <w:start w:val="1"/>
    </w:lvl>
  </w:abstractNum>
  <w:abstractNum w:abstractNumId="78">
    <w:nsid w:val="230F856C"/>
    <w:multiLevelType w:val="hybridMultilevel"/>
    <w:lvl w:ilvl="0">
      <w:lvlJc w:val="left"/>
      <w:lvlText w:val="1"/>
      <w:numFmt w:val="bullet"/>
      <w:start w:val="1"/>
    </w:lvl>
  </w:abstractNum>
  <w:abstractNum w:abstractNumId="79">
    <w:nsid w:val="6EAA85FB"/>
    <w:multiLevelType w:val="hybridMultilevel"/>
    <w:lvl w:ilvl="0">
      <w:lvlJc w:val="left"/>
      <w:lvlText w:val="1"/>
      <w:numFmt w:val="bullet"/>
      <w:start w:val="1"/>
    </w:lvl>
  </w:abstractNum>
  <w:abstractNum w:abstractNumId="80">
    <w:nsid w:val="3F06ECB2"/>
    <w:multiLevelType w:val="hybridMultilevel"/>
    <w:lvl w:ilvl="0">
      <w:lvlJc w:val="left"/>
      <w:lvlText w:val="1"/>
      <w:numFmt w:val="bullet"/>
      <w:start w:val="1"/>
    </w:lvl>
  </w:abstractNum>
  <w:abstractNum w:abstractNumId="81">
    <w:nsid w:val="3B594807"/>
    <w:multiLevelType w:val="hybridMultilevel"/>
    <w:lvl w:ilvl="0">
      <w:lvlJc w:val="left"/>
      <w:lvlText w:val="1"/>
      <w:numFmt w:val="bullet"/>
      <w:start w:val="1"/>
    </w:lvl>
  </w:abstractNum>
  <w:abstractNum w:abstractNumId="82">
    <w:nsid w:val="6CAA2304"/>
    <w:multiLevelType w:val="hybridMultilevel"/>
    <w:lvl w:ilvl="0">
      <w:lvlJc w:val="left"/>
      <w:lvlText w:val="1"/>
      <w:numFmt w:val="bullet"/>
      <w:start w:val="1"/>
    </w:lvl>
  </w:abstractNum>
  <w:abstractNum w:abstractNumId="83">
    <w:nsid w:val="3F7C2FF4"/>
    <w:multiLevelType w:val="hybridMultilevel"/>
    <w:lvl w:ilvl="0">
      <w:lvlJc w:val="left"/>
      <w:lvlText w:val="1"/>
      <w:numFmt w:val="bullet"/>
      <w:start w:val="1"/>
    </w:lvl>
  </w:abstractNum>
  <w:abstractNum w:abstractNumId="84">
    <w:nsid w:val="25413BEC"/>
    <w:multiLevelType w:val="hybridMultilevel"/>
    <w:lvl w:ilvl="0">
      <w:lvlJc w:val="left"/>
      <w:lvlText w:val="1"/>
      <w:numFmt w:val="bullet"/>
      <w:start w:val="1"/>
    </w:lvl>
  </w:abstractNum>
  <w:abstractNum w:abstractNumId="85">
    <w:nsid w:val="17180B0B"/>
    <w:multiLevelType w:val="hybridMultilevel"/>
    <w:lvl w:ilvl="0">
      <w:lvlJc w:val="left"/>
      <w:lvlText w:val="1"/>
      <w:numFmt w:val="bullet"/>
      <w:start w:val="1"/>
    </w:lvl>
  </w:abstractNum>
  <w:abstractNum w:abstractNumId="86">
    <w:nsid w:val="579328B9"/>
    <w:multiLevelType w:val="hybridMultilevel"/>
    <w:lvl w:ilvl="0">
      <w:lvlJc w:val="left"/>
      <w:lvlText w:val="1"/>
      <w:numFmt w:val="bullet"/>
      <w:start w:val="1"/>
    </w:lvl>
  </w:abstractNum>
  <w:abstractNum w:abstractNumId="87">
    <w:nsid w:val="5D205E20"/>
    <w:multiLevelType w:val="hybridMultilevel"/>
    <w:lvl w:ilvl="0">
      <w:lvlJc w:val="left"/>
      <w:lvlText w:val="1"/>
      <w:numFmt w:val="bullet"/>
      <w:start w:val="1"/>
    </w:lvl>
  </w:abstractNum>
  <w:abstractNum w:abstractNumId="88">
    <w:nsid w:val="11CCA8BA"/>
    <w:multiLevelType w:val="hybridMultilevel"/>
    <w:lvl w:ilvl="0">
      <w:lvlJc w:val="left"/>
      <w:lvlText w:val="1"/>
      <w:numFmt w:val="bullet"/>
      <w:start w:val="1"/>
    </w:lvl>
  </w:abstractNum>
  <w:abstractNum w:abstractNumId="89">
    <w:nsid w:val="4D32AB86"/>
    <w:multiLevelType w:val="hybridMultilevel"/>
    <w:lvl w:ilvl="0">
      <w:lvlJc w:val="left"/>
      <w:lvlText w:val="1"/>
      <w:numFmt w:val="bullet"/>
      <w:start w:val="1"/>
    </w:lvl>
  </w:abstractNum>
  <w:abstractNum w:abstractNumId="90">
    <w:nsid w:val="3F07ACC3"/>
    <w:multiLevelType w:val="hybridMultilevel"/>
    <w:lvl w:ilvl="0">
      <w:lvlJc w:val="left"/>
      <w:lvlText w:val="1"/>
      <w:numFmt w:val="bullet"/>
      <w:start w:val="1"/>
    </w:lvl>
  </w:abstractNum>
  <w:abstractNum w:abstractNumId="91">
    <w:nsid w:val="6B47F63E"/>
    <w:multiLevelType w:val="hybridMultilevel"/>
    <w:lvl w:ilvl="0">
      <w:lvlJc w:val="left"/>
      <w:lvlText w:val="1"/>
      <w:numFmt w:val="bullet"/>
      <w:start w:val="1"/>
    </w:lvl>
  </w:abstractNum>
  <w:abstractNum w:abstractNumId="92">
    <w:nsid w:val="5CB44A05"/>
    <w:multiLevelType w:val="hybridMultilevel"/>
    <w:lvl w:ilvl="0">
      <w:lvlJc w:val="left"/>
      <w:lvlText w:val="1"/>
      <w:numFmt w:val="bullet"/>
      <w:start w:val="1"/>
    </w:lvl>
  </w:abstractNum>
  <w:abstractNum w:abstractNumId="93">
    <w:nsid w:val="16CF80F1"/>
    <w:multiLevelType w:val="hybridMultilevel"/>
    <w:lvl w:ilvl="0">
      <w:lvlJc w:val="left"/>
      <w:lvlText w:val="1"/>
      <w:numFmt w:val="bullet"/>
      <w:start w:val="1"/>
    </w:lvl>
  </w:abstractNum>
  <w:abstractNum w:abstractNumId="94">
    <w:nsid w:val="1C695DEC"/>
    <w:multiLevelType w:val="hybridMultilevel"/>
    <w:lvl w:ilvl="0">
      <w:lvlJc w:val="left"/>
      <w:lvlText w:val="1"/>
      <w:numFmt w:val="bullet"/>
      <w:start w:val="1"/>
    </w:lvl>
  </w:abstractNum>
  <w:abstractNum w:abstractNumId="95">
    <w:nsid w:val="3FCFAED9"/>
    <w:multiLevelType w:val="hybridMultilevel"/>
    <w:lvl w:ilvl="0">
      <w:lvlJc w:val="left"/>
      <w:lvlText w:val="1"/>
      <w:numFmt w:val="bullet"/>
      <w:start w:val="1"/>
    </w:lvl>
  </w:abstractNum>
  <w:abstractNum w:abstractNumId="96">
    <w:nsid w:val="F856867"/>
    <w:multiLevelType w:val="hybridMultilevel"/>
    <w:lvl w:ilvl="0">
      <w:lvlJc w:val="left"/>
      <w:lvlText w:val="1"/>
      <w:numFmt w:val="bullet"/>
      <w:start w:val="1"/>
    </w:lvl>
  </w:abstractNum>
  <w:abstractNum w:abstractNumId="97">
    <w:nsid w:val="11B1CC33"/>
    <w:multiLevelType w:val="hybridMultilevel"/>
    <w:lvl w:ilvl="0">
      <w:lvlJc w:val="left"/>
      <w:lvlText w:val="1"/>
      <w:numFmt w:val="bullet"/>
      <w:start w:val="1"/>
    </w:lvl>
  </w:abstractNum>
  <w:abstractNum w:abstractNumId="98">
    <w:nsid w:val="2E22FBB7"/>
    <w:multiLevelType w:val="hybridMultilevel"/>
    <w:lvl w:ilvl="0">
      <w:lvlJc w:val="left"/>
      <w:lvlText w:val="1"/>
      <w:numFmt w:val="bullet"/>
      <w:start w:val="1"/>
    </w:lvl>
  </w:abstractNum>
  <w:abstractNum w:abstractNumId="99">
    <w:nsid w:val="29934699"/>
    <w:multiLevelType w:val="hybridMultilevel"/>
    <w:lvl w:ilvl="0">
      <w:lvlJc w:val="left"/>
      <w:lvlText w:val="1"/>
      <w:numFmt w:val="bullet"/>
      <w:start w:val="1"/>
    </w:lvl>
  </w:abstractNum>
  <w:abstractNum w:abstractNumId="100">
    <w:nsid w:val="77485850"/>
    <w:multiLevelType w:val="hybridMultilevel"/>
    <w:lvl w:ilvl="0">
      <w:lvlJc w:val="left"/>
      <w:lvlText w:val="1"/>
      <w:numFmt w:val="bullet"/>
      <w:start w:val="1"/>
    </w:lvl>
  </w:abstractNum>
  <w:abstractNum w:abstractNumId="101">
    <w:nsid w:val="744939A3"/>
    <w:multiLevelType w:val="hybridMultilevel"/>
    <w:lvl w:ilvl="0">
      <w:lvlJc w:val="left"/>
      <w:lvlText w:val="1"/>
      <w:numFmt w:val="bullet"/>
      <w:start w:val="1"/>
    </w:lvl>
  </w:abstractNum>
  <w:abstractNum w:abstractNumId="102">
    <w:nsid w:val="4FA0D2E3"/>
    <w:multiLevelType w:val="hybridMultilevel"/>
    <w:lvl w:ilvl="0">
      <w:lvlJc w:val="left"/>
      <w:lvlText w:val="1"/>
      <w:numFmt w:val="bullet"/>
      <w:start w:val="1"/>
    </w:lvl>
  </w:abstractNum>
  <w:abstractNum w:abstractNumId="103">
    <w:nsid w:val="6B1D2C14"/>
    <w:multiLevelType w:val="hybridMultilevel"/>
    <w:lvl w:ilvl="0">
      <w:lvlJc w:val="left"/>
      <w:lvlText w:val="1"/>
      <w:numFmt w:val="bullet"/>
      <w:start w:val="1"/>
    </w:lvl>
  </w:abstractNum>
  <w:abstractNum w:abstractNumId="104">
    <w:nsid w:val="68B867D3"/>
    <w:multiLevelType w:val="hybridMultilevel"/>
    <w:lvl w:ilvl="0">
      <w:lvlJc w:val="left"/>
      <w:lvlText w:val="1"/>
      <w:numFmt w:val="bullet"/>
      <w:start w:val="1"/>
    </w:lvl>
  </w:abstractNum>
  <w:abstractNum w:abstractNumId="105">
    <w:nsid w:val="3F7F5DD9"/>
    <w:multiLevelType w:val="hybridMultilevel"/>
    <w:lvl w:ilvl="0">
      <w:lvlJc w:val="left"/>
      <w:lvlText w:val="1"/>
      <w:numFmt w:val="bullet"/>
      <w:start w:val="1"/>
    </w:lvl>
  </w:abstractNum>
  <w:abstractNum w:abstractNumId="106">
    <w:nsid w:val="2AE05A34"/>
    <w:multiLevelType w:val="hybridMultilevel"/>
    <w:lvl w:ilvl="0">
      <w:lvlJc w:val="left"/>
      <w:lvlText w:val="1"/>
      <w:numFmt w:val="bullet"/>
      <w:start w:val="1"/>
    </w:lvl>
  </w:abstractNum>
  <w:abstractNum w:abstractNumId="107">
    <w:nsid w:val="32794FF7"/>
    <w:multiLevelType w:val="hybridMultilevel"/>
    <w:lvl w:ilvl="0">
      <w:lvlJc w:val="left"/>
      <w:lvlText w:val="1"/>
      <w:numFmt w:val="bullet"/>
      <w:start w:val="1"/>
    </w:lvl>
  </w:abstractNum>
  <w:abstractNum w:abstractNumId="108">
    <w:nsid w:val="5454945E"/>
    <w:multiLevelType w:val="hybridMultilevel"/>
    <w:lvl w:ilvl="0">
      <w:lvlJc w:val="left"/>
      <w:lvlText w:val="1"/>
      <w:numFmt w:val="bullet"/>
      <w:start w:val="1"/>
    </w:lvl>
  </w:abstractNum>
  <w:abstractNum w:abstractNumId="109">
    <w:nsid w:val="4DEFDFA0"/>
    <w:multiLevelType w:val="hybridMultilevel"/>
    <w:lvl w:ilvl="0">
      <w:lvlJc w:val="left"/>
      <w:lvlText w:val="1"/>
      <w:numFmt w:val="bullet"/>
      <w:start w:val="1"/>
    </w:lvl>
  </w:abstractNum>
  <w:abstractNum w:abstractNumId="110">
    <w:nsid w:val="2123D5F2"/>
    <w:multiLevelType w:val="hybridMultilevel"/>
    <w:lvl w:ilvl="0">
      <w:lvlJc w:val="left"/>
      <w:lvlText w:val="1"/>
      <w:numFmt w:val="bullet"/>
      <w:start w:val="1"/>
    </w:lvl>
  </w:abstractNum>
  <w:abstractNum w:abstractNumId="111">
    <w:nsid w:val="135B8110"/>
    <w:multiLevelType w:val="hybridMultilevel"/>
    <w:lvl w:ilvl="0">
      <w:lvlJc w:val="left"/>
      <w:lvlText w:val="1"/>
      <w:numFmt w:val="bullet"/>
      <w:start w:val="1"/>
    </w:lvl>
  </w:abstractNum>
  <w:abstractNum w:abstractNumId="112">
    <w:nsid w:val="94927A8"/>
    <w:multiLevelType w:val="hybridMultilevel"/>
    <w:lvl w:ilvl="0">
      <w:lvlJc w:val="left"/>
      <w:lvlText w:val="1"/>
      <w:numFmt w:val="bullet"/>
      <w:start w:val="1"/>
    </w:lvl>
  </w:abstractNum>
  <w:abstractNum w:abstractNumId="113">
    <w:nsid w:val="DCDF8F6"/>
    <w:multiLevelType w:val="hybridMultilevel"/>
    <w:lvl w:ilvl="0">
      <w:lvlJc w:val="left"/>
      <w:lvlText w:val="1"/>
      <w:numFmt w:val="bullet"/>
      <w:start w:val="1"/>
    </w:lvl>
  </w:abstractNum>
  <w:abstractNum w:abstractNumId="114">
    <w:nsid w:val="52D7B105"/>
    <w:multiLevelType w:val="hybridMultilevel"/>
    <w:lvl w:ilvl="0">
      <w:lvlJc w:val="left"/>
      <w:lvlText w:val="1"/>
      <w:numFmt w:val="bullet"/>
      <w:start w:val="1"/>
    </w:lvl>
  </w:abstractNum>
  <w:abstractNum w:abstractNumId="115">
    <w:nsid w:val="2E8A6394"/>
    <w:multiLevelType w:val="hybridMultilevel"/>
    <w:lvl w:ilvl="0">
      <w:lvlJc w:val="left"/>
      <w:lvlText w:val="1"/>
      <w:numFmt w:val="bullet"/>
      <w:start w:val="1"/>
    </w:lvl>
  </w:abstractNum>
  <w:abstractNum w:abstractNumId="116">
    <w:nsid w:val="24E60401"/>
    <w:multiLevelType w:val="hybridMultilevel"/>
    <w:lvl w:ilvl="0">
      <w:lvlJc w:val="left"/>
      <w:lvlText w:val="1"/>
      <w:numFmt w:val="bullet"/>
      <w:start w:val="1"/>
    </w:lvl>
  </w:abstractNum>
  <w:abstractNum w:abstractNumId="117">
    <w:nsid w:val="2A6AD9BE"/>
    <w:multiLevelType w:val="hybridMultilevel"/>
    <w:lvl w:ilvl="0">
      <w:lvlJc w:val="left"/>
      <w:lvlText w:val="1"/>
      <w:numFmt w:val="bullet"/>
      <w:start w:val="1"/>
    </w:lvl>
  </w:abstractNum>
  <w:abstractNum w:abstractNumId="118">
    <w:nsid w:val="BAAC1B4"/>
    <w:multiLevelType w:val="hybridMultilevel"/>
    <w:lvl w:ilvl="0">
      <w:lvlJc w:val="left"/>
      <w:lvlText w:val="1"/>
      <w:numFmt w:val="bullet"/>
      <w:start w:val="1"/>
    </w:lvl>
  </w:abstractNum>
  <w:abstractNum w:abstractNumId="119">
    <w:nsid w:val="36B2ACBC"/>
    <w:multiLevelType w:val="hybridMultilevel"/>
    <w:lvl w:ilvl="0">
      <w:lvlJc w:val="left"/>
      <w:lvlText w:val="1"/>
      <w:numFmt w:val="bullet"/>
      <w:start w:val="1"/>
    </w:lvl>
  </w:abstractNum>
  <w:abstractNum w:abstractNumId="120">
    <w:nsid w:val="779D8544"/>
    <w:multiLevelType w:val="hybridMultilevel"/>
    <w:lvl w:ilvl="0">
      <w:lvlJc w:val="left"/>
      <w:lvlText w:val="1"/>
      <w:numFmt w:val="bullet"/>
      <w:start w:val="1"/>
    </w:lvl>
  </w:abstractNum>
  <w:abstractNum w:abstractNumId="121">
    <w:nsid w:val="4AB26E78"/>
    <w:multiLevelType w:val="hybridMultilevel"/>
    <w:lvl w:ilvl="0">
      <w:lvlJc w:val="left"/>
      <w:lvlText w:val="1"/>
      <w:numFmt w:val="bullet"/>
      <w:start w:val="1"/>
    </w:lvl>
  </w:abstractNum>
  <w:abstractNum w:abstractNumId="122">
    <w:nsid w:val="21FAA2FA"/>
    <w:multiLevelType w:val="hybridMultilevel"/>
    <w:lvl w:ilvl="0">
      <w:lvlJc w:val="left"/>
      <w:lvlText w:val="1"/>
      <w:numFmt w:val="bullet"/>
      <w:start w:val="1"/>
    </w:lvl>
  </w:abstractNum>
  <w:abstractNum w:abstractNumId="123">
    <w:nsid w:val="5451CF49"/>
    <w:multiLevelType w:val="hybridMultilevel"/>
    <w:lvl w:ilvl="0">
      <w:lvlJc w:val="left"/>
      <w:lvlText w:val="1"/>
      <w:numFmt w:val="bullet"/>
      <w:start w:val="1"/>
    </w:lvl>
  </w:abstractNum>
  <w:abstractNum w:abstractNumId="124">
    <w:nsid w:val="6181EF69"/>
    <w:multiLevelType w:val="hybridMultilevel"/>
    <w:lvl w:ilvl="0">
      <w:lvlJc w:val="left"/>
      <w:lvlText w:val="1"/>
      <w:numFmt w:val="bullet"/>
      <w:start w:val="1"/>
    </w:lvl>
  </w:abstractNum>
  <w:abstractNum w:abstractNumId="125">
    <w:nsid w:val="3E6400E6"/>
    <w:multiLevelType w:val="hybridMultilevel"/>
    <w:lvl w:ilvl="0">
      <w:lvlJc w:val="left"/>
      <w:lvlText w:val="1"/>
      <w:numFmt w:val="bullet"/>
      <w:start w:val="1"/>
    </w:lvl>
  </w:abstractNum>
  <w:abstractNum w:abstractNumId="126">
    <w:nsid w:val="14217E23"/>
    <w:multiLevelType w:val="hybridMultilevel"/>
    <w:lvl w:ilvl="0">
      <w:lvlJc w:val="left"/>
      <w:lvlText w:val="1"/>
      <w:numFmt w:val="bullet"/>
      <w:start w:val="1"/>
    </w:lvl>
  </w:abstractNum>
  <w:abstractNum w:abstractNumId="127">
    <w:nsid w:val="710757D0"/>
    <w:multiLevelType w:val="hybridMultilevel"/>
    <w:lvl w:ilvl="0">
      <w:lvlJc w:val="left"/>
      <w:lvlText w:val="1"/>
      <w:numFmt w:val="bullet"/>
      <w:start w:val="1"/>
    </w:lvl>
  </w:abstractNum>
  <w:abstractNum w:abstractNumId="128">
    <w:nsid w:val="5015CD1A"/>
    <w:multiLevelType w:val="hybridMultilevel"/>
    <w:lvl w:ilvl="0">
      <w:lvlJc w:val="left"/>
      <w:lvlText w:val="1"/>
      <w:numFmt w:val="bullet"/>
      <w:start w:val="1"/>
    </w:lvl>
  </w:abstractNum>
  <w:abstractNum w:abstractNumId="129">
    <w:nsid w:val="424479DA"/>
    <w:multiLevelType w:val="hybridMultilevel"/>
    <w:lvl w:ilvl="0">
      <w:lvlJc w:val="left"/>
      <w:lvlText w:val="1"/>
      <w:numFmt w:val="bullet"/>
      <w:start w:val="1"/>
    </w:lvl>
  </w:abstractNum>
  <w:abstractNum w:abstractNumId="130">
    <w:nsid w:val="1A9A9E69"/>
    <w:multiLevelType w:val="hybridMultilevel"/>
    <w:lvl w:ilvl="0">
      <w:lvlJc w:val="left"/>
      <w:lvlText w:val="1"/>
      <w:numFmt w:val="bullet"/>
      <w:start w:val="1"/>
    </w:lvl>
  </w:abstractNum>
  <w:abstractNum w:abstractNumId="131">
    <w:nsid w:val="475E256A"/>
    <w:multiLevelType w:val="hybridMultilevel"/>
    <w:lvl w:ilvl="0">
      <w:lvlJc w:val="left"/>
      <w:lvlText w:val="1"/>
      <w:numFmt w:val="bullet"/>
      <w:start w:val="1"/>
    </w:lvl>
  </w:abstractNum>
  <w:abstractNum w:abstractNumId="132">
    <w:nsid w:val="368DB37E"/>
    <w:multiLevelType w:val="hybridMultilevel"/>
    <w:lvl w:ilvl="0">
      <w:lvlJc w:val="left"/>
      <w:lvlText w:val="1"/>
      <w:numFmt w:val="bullet"/>
      <w:start w:val="1"/>
    </w:lvl>
  </w:abstractNum>
  <w:abstractNum w:abstractNumId="133">
    <w:nsid w:val="6A3B714C"/>
    <w:multiLevelType w:val="hybridMultilevel"/>
    <w:lvl w:ilvl="0">
      <w:lvlJc w:val="left"/>
      <w:lvlText w:val="1"/>
      <w:numFmt w:val="bullet"/>
      <w:start w:val="1"/>
    </w:lvl>
  </w:abstractNum>
  <w:abstractNum w:abstractNumId="134">
    <w:nsid w:val="327B517E"/>
    <w:multiLevelType w:val="hybridMultilevel"/>
    <w:lvl w:ilvl="0">
      <w:lvlJc w:val="left"/>
      <w:lvlText w:val="1"/>
      <w:numFmt w:val="bullet"/>
      <w:start w:val="1"/>
    </w:lvl>
  </w:abstractNum>
  <w:abstractNum w:abstractNumId="135">
    <w:nsid w:val="1F461B51"/>
    <w:multiLevelType w:val="hybridMultilevel"/>
    <w:lvl w:ilvl="0">
      <w:lvlJc w:val="left"/>
      <w:lvlText w:val="1"/>
      <w:numFmt w:val="bullet"/>
      <w:start w:val="1"/>
    </w:lvl>
  </w:abstractNum>
  <w:abstractNum w:abstractNumId="136">
    <w:nsid w:val="29BACF25"/>
    <w:multiLevelType w:val="hybridMultilevel"/>
    <w:lvl w:ilvl="0">
      <w:lvlJc w:val="left"/>
      <w:lvlText w:val="1"/>
      <w:numFmt w:val="bullet"/>
      <w:start w:val="1"/>
    </w:lvl>
  </w:abstractNum>
  <w:abstractNum w:abstractNumId="137">
    <w:nsid w:val="5D5BABB3"/>
    <w:multiLevelType w:val="hybridMultilevel"/>
    <w:lvl w:ilvl="0">
      <w:lvlJc w:val="left"/>
      <w:lvlText w:val="1"/>
      <w:numFmt w:val="bullet"/>
      <w:start w:val="1"/>
    </w:lvl>
  </w:abstractNum>
  <w:abstractNum w:abstractNumId="138">
    <w:nsid w:val="51BF6B48"/>
    <w:multiLevelType w:val="hybridMultilevel"/>
    <w:lvl w:ilvl="0">
      <w:lvlJc w:val="left"/>
      <w:lvlText w:val="1"/>
      <w:numFmt w:val="bullet"/>
      <w:start w:val="1"/>
    </w:lvl>
  </w:abstractNum>
  <w:abstractNum w:abstractNumId="139">
    <w:nsid w:val="7E0F6384"/>
    <w:multiLevelType w:val="hybridMultilevel"/>
    <w:lvl w:ilvl="0">
      <w:lvlJc w:val="left"/>
      <w:lvlText w:val="1"/>
      <w:numFmt w:val="bullet"/>
      <w:start w:val="1"/>
    </w:lvl>
  </w:abstractNum>
  <w:abstractNum w:abstractNumId="140">
    <w:nsid w:val="2B4B8B53"/>
    <w:multiLevelType w:val="hybridMultilevel"/>
    <w:lvl w:ilvl="0">
      <w:lvlJc w:val="left"/>
      <w:lvlText w:val="1"/>
      <w:numFmt w:val="bullet"/>
      <w:start w:val="1"/>
    </w:lvl>
  </w:abstractNum>
  <w:abstractNum w:abstractNumId="141">
    <w:nsid w:val="72E3413A"/>
    <w:multiLevelType w:val="hybridMultilevel"/>
    <w:lvl w:ilvl="0">
      <w:lvlJc w:val="left"/>
      <w:lvlText w:val="1"/>
      <w:numFmt w:val="bullet"/>
      <w:start w:val="1"/>
    </w:lvl>
  </w:abstractNum>
  <w:abstractNum w:abstractNumId="142">
    <w:nsid w:val="116AE494"/>
    <w:multiLevelType w:val="hybridMultilevel"/>
    <w:lvl w:ilvl="0">
      <w:lvlJc w:val="left"/>
      <w:lvlText w:val="1"/>
      <w:numFmt w:val="bullet"/>
      <w:start w:val="1"/>
    </w:lvl>
  </w:abstractNum>
  <w:abstractNum w:abstractNumId="143">
    <w:nsid w:val="3494B2FB"/>
    <w:multiLevelType w:val="hybridMultilevel"/>
    <w:lvl w:ilvl="0">
      <w:lvlJc w:val="left"/>
      <w:lvlText w:val="1"/>
      <w:numFmt w:val="bullet"/>
      <w:start w:val="1"/>
    </w:lvl>
  </w:abstractNum>
  <w:abstractNum w:abstractNumId="144">
    <w:nsid w:val="B13A31"/>
    <w:multiLevelType w:val="hybridMultilevel"/>
    <w:lvl w:ilvl="0">
      <w:lvlJc w:val="left"/>
      <w:lvlText w:val="1"/>
      <w:numFmt w:val="bullet"/>
      <w:start w:val="1"/>
    </w:lvl>
  </w:abstractNum>
  <w:abstractNum w:abstractNumId="145">
    <w:nsid w:val="64429599"/>
    <w:multiLevelType w:val="hybridMultilevel"/>
    <w:lvl w:ilvl="0">
      <w:lvlJc w:val="left"/>
      <w:lvlText w:val="1"/>
      <w:numFmt w:val="bullet"/>
      <w:start w:val="1"/>
    </w:lvl>
  </w:abstractNum>
  <w:abstractNum w:abstractNumId="146">
    <w:nsid w:val="631F1690"/>
    <w:multiLevelType w:val="hybridMultilevel"/>
    <w:lvl w:ilvl="0">
      <w:lvlJc w:val="left"/>
      <w:lvlText w:val="1"/>
      <w:numFmt w:val="bullet"/>
      <w:start w:val="1"/>
    </w:lvl>
  </w:abstractNum>
  <w:abstractNum w:abstractNumId="147">
    <w:nsid w:val="25973E32"/>
    <w:multiLevelType w:val="hybridMultilevel"/>
    <w:lvl w:ilvl="0">
      <w:lvlJc w:val="left"/>
      <w:lvlText w:val="1"/>
      <w:numFmt w:val="bullet"/>
      <w:start w:val="1"/>
    </w:lvl>
  </w:abstractNum>
  <w:abstractNum w:abstractNumId="148">
    <w:nsid w:val="EAD6F57"/>
    <w:multiLevelType w:val="hybridMultilevel"/>
    <w:lvl w:ilvl="0">
      <w:lvlJc w:val="left"/>
      <w:lvlText w:val="1"/>
      <w:numFmt w:val="bullet"/>
      <w:start w:val="1"/>
    </w:lvl>
  </w:abstractNum>
  <w:abstractNum w:abstractNumId="149">
    <w:nsid w:val="6EC9D844"/>
    <w:multiLevelType w:val="hybridMultilevel"/>
    <w:lvl w:ilvl="0">
      <w:lvlJc w:val="left"/>
      <w:lvlText w:val="1"/>
      <w:numFmt w:val="bullet"/>
      <w:start w:val="1"/>
    </w:lvl>
  </w:abstractNum>
  <w:abstractNum w:abstractNumId="150">
    <w:nsid w:val="5C49EAEE"/>
    <w:multiLevelType w:val="hybridMultilevel"/>
    <w:lvl w:ilvl="0">
      <w:lvlJc w:val="left"/>
      <w:lvlText w:val="1"/>
      <w:numFmt w:val="bullet"/>
      <w:start w:val="1"/>
    </w:lvl>
  </w:abstractNum>
  <w:abstractNum w:abstractNumId="151">
    <w:nsid w:val="64AF49B"/>
    <w:multiLevelType w:val="hybridMultilevel"/>
    <w:lvl w:ilvl="0">
      <w:lvlJc w:val="left"/>
      <w:lvlText w:val="1"/>
      <w:numFmt w:val="bullet"/>
      <w:start w:val="1"/>
    </w:lvl>
  </w:abstractNum>
  <w:abstractNum w:abstractNumId="152">
    <w:nsid w:val="397C46BC"/>
    <w:multiLevelType w:val="hybridMultilevel"/>
    <w:lvl w:ilvl="0">
      <w:lvlJc w:val="left"/>
      <w:lvlText w:val="1"/>
      <w:numFmt w:val="bullet"/>
      <w:start w:val="1"/>
    </w:lvl>
  </w:abstractNum>
  <w:abstractNum w:abstractNumId="153">
    <w:nsid w:val="7E448DE9"/>
    <w:multiLevelType w:val="hybridMultilevel"/>
    <w:lvl w:ilvl="0">
      <w:lvlJc w:val="left"/>
      <w:lvlText w:val="1"/>
      <w:numFmt w:val="bullet"/>
      <w:start w:val="1"/>
    </w:lvl>
  </w:abstractNum>
  <w:abstractNum w:abstractNumId="154">
    <w:nsid w:val="5A9CC3E5"/>
    <w:multiLevelType w:val="hybridMultilevel"/>
    <w:lvl w:ilvl="0">
      <w:lvlJc w:val="left"/>
      <w:lvlText w:val="1"/>
      <w:numFmt w:val="bullet"/>
      <w:start w:val="1"/>
    </w:lvl>
  </w:abstractNum>
  <w:abstractNum w:abstractNumId="155">
    <w:nsid w:val="1AFE3625"/>
    <w:multiLevelType w:val="hybridMultilevel"/>
    <w:lvl w:ilvl="0">
      <w:lvlJc w:val="left"/>
      <w:lvlText w:val="1"/>
      <w:numFmt w:val="bullet"/>
      <w:start w:val="1"/>
    </w:lvl>
  </w:abstractNum>
  <w:abstractNum w:abstractNumId="156">
    <w:nsid w:val="3CA88ECF"/>
    <w:multiLevelType w:val="hybridMultilevel"/>
    <w:lvl w:ilvl="0">
      <w:lvlJc w:val="left"/>
      <w:lvlText w:val="1"/>
      <w:numFmt w:val="bullet"/>
      <w:start w:val="1"/>
    </w:lvl>
  </w:abstractNum>
  <w:abstractNum w:abstractNumId="157">
    <w:nsid w:val="6EBE4208"/>
    <w:multiLevelType w:val="hybridMultilevel"/>
    <w:lvl w:ilvl="0">
      <w:lvlJc w:val="left"/>
      <w:lvlText w:val="1"/>
      <w:numFmt w:val="bullet"/>
      <w:start w:val="1"/>
    </w:lvl>
  </w:abstractNum>
  <w:abstractNum w:abstractNumId="158">
    <w:nsid w:val="C058DF5"/>
    <w:multiLevelType w:val="hybridMultilevel"/>
    <w:lvl w:ilvl="0">
      <w:lvlJc w:val="left"/>
      <w:lvlText w:val="1"/>
      <w:numFmt w:val="bullet"/>
      <w:start w:val="1"/>
    </w:lvl>
  </w:abstractNum>
  <w:abstractNum w:abstractNumId="159">
    <w:nsid w:val="CBE5BE9"/>
    <w:multiLevelType w:val="hybridMultilevel"/>
    <w:lvl w:ilvl="0">
      <w:lvlJc w:val="left"/>
      <w:lvlText w:val="1"/>
      <w:numFmt w:val="bullet"/>
      <w:start w:val="1"/>
    </w:lvl>
  </w:abstractNum>
  <w:abstractNum w:abstractNumId="160">
    <w:nsid w:val="3102BBE2"/>
    <w:multiLevelType w:val="hybridMultilevel"/>
    <w:lvl w:ilvl="0">
      <w:lvlJc w:val="left"/>
      <w:lvlText w:val="1"/>
      <w:numFmt w:val="bullet"/>
      <w:start w:val="1"/>
    </w:lvl>
  </w:abstractNum>
  <w:abstractNum w:abstractNumId="161">
    <w:nsid w:val="26A02C5E"/>
    <w:multiLevelType w:val="hybridMultilevel"/>
    <w:lvl w:ilvl="0">
      <w:lvlJc w:val="left"/>
      <w:lvlText w:val="1"/>
      <w:numFmt w:val="bullet"/>
      <w:start w:val="1"/>
    </w:lvl>
  </w:abstractNum>
  <w:abstractNum w:abstractNumId="162">
    <w:nsid w:val="541C8153"/>
    <w:multiLevelType w:val="hybridMultilevel"/>
    <w:lvl w:ilvl="0">
      <w:lvlJc w:val="left"/>
      <w:lvlText w:val="1"/>
      <w:numFmt w:val="bullet"/>
      <w:start w:val="1"/>
    </w:lvl>
  </w:abstractNum>
  <w:abstractNum w:abstractNumId="163">
    <w:nsid w:val="67906F60"/>
    <w:multiLevelType w:val="hybridMultilevel"/>
    <w:lvl w:ilvl="0">
      <w:lvlJc w:val="left"/>
      <w:lvlText w:val="1"/>
      <w:numFmt w:val="bullet"/>
      <w:start w:val="1"/>
    </w:lvl>
  </w:abstractNum>
  <w:abstractNum w:abstractNumId="164">
    <w:nsid w:val="10DB9DAA"/>
    <w:multiLevelType w:val="hybridMultilevel"/>
    <w:lvl w:ilvl="0">
      <w:lvlJc w:val="left"/>
      <w:lvlText w:val="1"/>
      <w:numFmt w:val="bullet"/>
      <w:start w:val="1"/>
    </w:lvl>
  </w:abstractNum>
  <w:abstractNum w:abstractNumId="165">
    <w:nsid w:val="697D2D2"/>
    <w:multiLevelType w:val="hybridMultilevel"/>
    <w:lvl w:ilvl="0">
      <w:lvlJc w:val="left"/>
      <w:lvlText w:val="1"/>
      <w:numFmt w:val="bullet"/>
      <w:start w:val="1"/>
    </w:lvl>
  </w:abstractNum>
  <w:abstractNum w:abstractNumId="166">
    <w:nsid w:val="6D68AB2"/>
    <w:multiLevelType w:val="hybridMultilevel"/>
    <w:lvl w:ilvl="0">
      <w:lvlJc w:val="left"/>
      <w:lvlText w:val="1"/>
      <w:numFmt w:val="bullet"/>
      <w:start w:val="1"/>
    </w:lvl>
  </w:abstractNum>
  <w:abstractNum w:abstractNumId="167">
    <w:nsid w:val="3A966CD0"/>
    <w:multiLevelType w:val="hybridMultilevel"/>
    <w:lvl w:ilvl="0">
      <w:lvlJc w:val="left"/>
      <w:lvlText w:val="1"/>
      <w:numFmt w:val="bullet"/>
      <w:start w:val="1"/>
    </w:lvl>
  </w:abstractNum>
  <w:abstractNum w:abstractNumId="168">
    <w:nsid w:val="63F37E85"/>
    <w:multiLevelType w:val="hybridMultilevel"/>
    <w:lvl w:ilvl="0">
      <w:lvlJc w:val="left"/>
      <w:lvlText w:val="1"/>
      <w:numFmt w:val="bullet"/>
      <w:start w:val="1"/>
    </w:lvl>
  </w:abstractNum>
  <w:abstractNum w:abstractNumId="169">
    <w:nsid w:val="5895F5FA"/>
    <w:multiLevelType w:val="hybridMultilevel"/>
    <w:lvl w:ilvl="0">
      <w:lvlJc w:val="left"/>
      <w:lvlText w:val="1"/>
      <w:numFmt w:val="bullet"/>
      <w:start w:val="1"/>
    </w:lvl>
  </w:abstractNum>
  <w:abstractNum w:abstractNumId="170">
    <w:nsid w:val="38A5D054"/>
    <w:multiLevelType w:val="hybridMultilevel"/>
    <w:lvl w:ilvl="0">
      <w:lvlJc w:val="left"/>
      <w:lvlText w:val="1"/>
      <w:numFmt w:val="bullet"/>
      <w:start w:val="1"/>
    </w:lvl>
  </w:abstractNum>
  <w:abstractNum w:abstractNumId="171">
    <w:nsid w:val="F3F09D8"/>
    <w:multiLevelType w:val="hybridMultilevel"/>
    <w:lvl w:ilvl="0">
      <w:lvlJc w:val="left"/>
      <w:lvlText w:val="1"/>
      <w:numFmt w:val="bullet"/>
      <w:start w:val="1"/>
    </w:lvl>
  </w:abstractNum>
  <w:abstractNum w:abstractNumId="172">
    <w:nsid w:val="4B793735"/>
    <w:multiLevelType w:val="hybridMultilevel"/>
    <w:lvl w:ilvl="0">
      <w:lvlJc w:val="left"/>
      <w:lvlText w:val="1"/>
      <w:numFmt w:val="bullet"/>
      <w:start w:val="1"/>
    </w:lvl>
  </w:abstractNum>
  <w:abstractNum w:abstractNumId="173">
    <w:nsid w:val="4A10B4E8"/>
    <w:multiLevelType w:val="hybridMultilevel"/>
    <w:lvl w:ilvl="0">
      <w:lvlJc w:val="left"/>
      <w:lvlText w:val="1"/>
      <w:numFmt w:val="bullet"/>
      <w:start w:val="1"/>
    </w:lvl>
  </w:abstractNum>
  <w:abstractNum w:abstractNumId="174">
    <w:nsid w:val="43D3BCD4"/>
    <w:multiLevelType w:val="hybridMultilevel"/>
    <w:lvl w:ilvl="0">
      <w:lvlJc w:val="left"/>
      <w:lvlText w:val="1"/>
      <w:numFmt w:val="bullet"/>
      <w:start w:val="1"/>
    </w:lvl>
  </w:abstractNum>
  <w:abstractNum w:abstractNumId="175">
    <w:nsid w:val="4C2A7166"/>
    <w:multiLevelType w:val="hybridMultilevel"/>
    <w:lvl w:ilvl="0">
      <w:lvlJc w:val="left"/>
      <w:lvlText w:val="1"/>
      <w:numFmt w:val="bullet"/>
      <w:start w:val="1"/>
    </w:lvl>
  </w:abstractNum>
  <w:abstractNum w:abstractNumId="176">
    <w:nsid w:val="2E534A82"/>
    <w:multiLevelType w:val="hybridMultilevel"/>
    <w:lvl w:ilvl="0">
      <w:lvlJc w:val="left"/>
      <w:lvlText w:val="1"/>
      <w:numFmt w:val="bullet"/>
      <w:start w:val="1"/>
    </w:lvl>
  </w:abstractNum>
  <w:abstractNum w:abstractNumId="177">
    <w:nsid w:val="26F2D364"/>
    <w:multiLevelType w:val="hybridMultilevel"/>
    <w:lvl w:ilvl="0">
      <w:lvlJc w:val="left"/>
      <w:lvlText w:val="1"/>
      <w:numFmt w:val="bullet"/>
      <w:start w:val="1"/>
    </w:lvl>
  </w:abstractNum>
  <w:abstractNum w:abstractNumId="178">
    <w:nsid w:val="71C1AF98"/>
    <w:multiLevelType w:val="hybridMultilevel"/>
    <w:lvl w:ilvl="0">
      <w:lvlJc w:val="left"/>
      <w:lvlText w:val="1"/>
      <w:numFmt w:val="bullet"/>
      <w:start w:val="1"/>
    </w:lvl>
  </w:abstractNum>
  <w:abstractNum w:abstractNumId="179">
    <w:nsid w:val="3D00B9D9"/>
    <w:multiLevelType w:val="hybridMultilevel"/>
    <w:lvl w:ilvl="0">
      <w:lvlJc w:val="left"/>
      <w:lvlText w:val="1"/>
      <w:numFmt w:val="bullet"/>
      <w:start w:val="1"/>
    </w:lvl>
  </w:abstractNum>
  <w:abstractNum w:abstractNumId="180">
    <w:nsid w:val="15BCABA8"/>
    <w:multiLevelType w:val="hybridMultilevel"/>
    <w:lvl w:ilvl="0">
      <w:lvlJc w:val="left"/>
      <w:lvlText w:val="1"/>
      <w:numFmt w:val="bullet"/>
      <w:start w:val="1"/>
    </w:lvl>
  </w:abstractNum>
  <w:abstractNum w:abstractNumId="181">
    <w:nsid w:val="4E0B9A87"/>
    <w:multiLevelType w:val="hybridMultilevel"/>
    <w:lvl w:ilvl="0">
      <w:lvlJc w:val="left"/>
      <w:lvlText w:val="1"/>
      <w:numFmt w:val="bullet"/>
      <w:start w:val="1"/>
    </w:lvl>
  </w:abstractNum>
  <w:abstractNum w:abstractNumId="182">
    <w:nsid w:val="434BAE75"/>
    <w:multiLevelType w:val="hybridMultilevel"/>
    <w:lvl w:ilvl="0">
      <w:lvlJc w:val="left"/>
      <w:lvlText w:val="1"/>
      <w:numFmt w:val="bullet"/>
      <w:start w:val="1"/>
    </w:lvl>
  </w:abstractNum>
  <w:abstractNum w:abstractNumId="183">
    <w:nsid w:val="4F38F265"/>
    <w:multiLevelType w:val="hybridMultilevel"/>
    <w:lvl w:ilvl="0">
      <w:lvlJc w:val="left"/>
      <w:lvlText w:val="1"/>
      <w:numFmt w:val="bullet"/>
      <w:start w:val="1"/>
    </w:lvl>
  </w:abstractNum>
  <w:abstractNum w:abstractNumId="184">
    <w:nsid w:val="4C502870"/>
    <w:multiLevelType w:val="hybridMultilevel"/>
    <w:lvl w:ilvl="0">
      <w:lvlJc w:val="left"/>
      <w:lvlText w:val="1"/>
      <w:numFmt w:val="bullet"/>
      <w:start w:val="1"/>
    </w:lvl>
  </w:abstractNum>
  <w:abstractNum w:abstractNumId="185">
    <w:nsid w:val="1DE8725A"/>
    <w:multiLevelType w:val="hybridMultilevel"/>
    <w:lvl w:ilvl="0">
      <w:lvlJc w:val="left"/>
      <w:lvlText w:val="1"/>
      <w:numFmt w:val="bullet"/>
      <w:start w:val="1"/>
    </w:lvl>
  </w:abstractNum>
  <w:abstractNum w:abstractNumId="186">
    <w:nsid w:val="6A37288A"/>
    <w:multiLevelType w:val="hybridMultilevel"/>
    <w:lvl w:ilvl="0">
      <w:lvlJc w:val="left"/>
      <w:lvlText w:val="1"/>
      <w:numFmt w:val="bullet"/>
      <w:start w:val="1"/>
    </w:lvl>
  </w:abstractNum>
  <w:abstractNum w:abstractNumId="187">
    <w:nsid w:val="8F8B73F"/>
    <w:multiLevelType w:val="hybridMultilevel"/>
    <w:lvl w:ilvl="0">
      <w:lvlJc w:val="left"/>
      <w:lvlText w:val="1"/>
      <w:numFmt w:val="bullet"/>
      <w:start w:val="1"/>
    </w:lvl>
  </w:abstractNum>
  <w:abstractNum w:abstractNumId="188">
    <w:nsid w:val="CA6B462"/>
    <w:multiLevelType w:val="hybridMultilevel"/>
    <w:lvl w:ilvl="0">
      <w:lvlJc w:val="left"/>
      <w:lvlText w:val="1"/>
      <w:numFmt w:val="bullet"/>
      <w:start w:val="1"/>
    </w:lvl>
  </w:abstractNum>
  <w:abstractNum w:abstractNumId="189">
    <w:nsid w:val="763CB680"/>
    <w:multiLevelType w:val="hybridMultilevel"/>
    <w:lvl w:ilvl="0">
      <w:lvlJc w:val="left"/>
      <w:lvlText w:val="1"/>
      <w:numFmt w:val="bullet"/>
      <w:start w:val="1"/>
    </w:lvl>
  </w:abstractNum>
  <w:abstractNum w:abstractNumId="190">
    <w:nsid w:val="15B71329"/>
    <w:multiLevelType w:val="hybridMultilevel"/>
    <w:lvl w:ilvl="0">
      <w:lvlJc w:val="left"/>
      <w:lvlText w:val="1"/>
      <w:numFmt w:val="bullet"/>
      <w:start w:val="1"/>
    </w:lvl>
  </w:abstractNum>
  <w:abstractNum w:abstractNumId="191">
    <w:nsid w:val="3DA97044"/>
    <w:multiLevelType w:val="hybridMultilevel"/>
    <w:lvl w:ilvl="0">
      <w:lvlJc w:val="left"/>
      <w:lvlText w:val="1"/>
      <w:numFmt w:val="bullet"/>
      <w:start w:val="1"/>
    </w:lvl>
  </w:abstractNum>
  <w:abstractNum w:abstractNumId="192">
    <w:nsid w:val="1CDCE2DE"/>
    <w:multiLevelType w:val="hybridMultilevel"/>
    <w:lvl w:ilvl="0">
      <w:lvlJc w:val="left"/>
      <w:lvlText w:val="1"/>
      <w:numFmt w:val="bullet"/>
      <w:start w:val="1"/>
    </w:lvl>
  </w:abstractNum>
  <w:abstractNum w:abstractNumId="193">
    <w:nsid w:val="69D3947C"/>
    <w:multiLevelType w:val="hybridMultilevel"/>
    <w:lvl w:ilvl="0">
      <w:lvlJc w:val="left"/>
      <w:lvlText w:val="1"/>
      <w:numFmt w:val="bullet"/>
      <w:start w:val="1"/>
    </w:lvl>
  </w:abstractNum>
  <w:abstractNum w:abstractNumId="194">
    <w:nsid w:val="2539DFA5"/>
    <w:multiLevelType w:val="hybridMultilevel"/>
    <w:lvl w:ilvl="0">
      <w:lvlJc w:val="left"/>
      <w:lvlText w:val="1"/>
      <w:numFmt w:val="bullet"/>
      <w:start w:val="1"/>
    </w:lvl>
  </w:abstractNum>
  <w:abstractNum w:abstractNumId="195">
    <w:nsid w:val="2DB88089"/>
    <w:multiLevelType w:val="hybridMultilevel"/>
    <w:lvl w:ilvl="0">
      <w:lvlJc w:val="left"/>
      <w:lvlText w:val="1"/>
      <w:numFmt w:val="bullet"/>
      <w:start w:val="1"/>
    </w:lvl>
  </w:abstractNum>
  <w:abstractNum w:abstractNumId="196">
    <w:nsid w:val="706B674E"/>
    <w:multiLevelType w:val="hybridMultilevel"/>
    <w:lvl w:ilvl="0">
      <w:lvlJc w:val="left"/>
      <w:lvlText w:val="1"/>
      <w:numFmt w:val="bullet"/>
      <w:start w:val="1"/>
    </w:lvl>
  </w:abstractNum>
  <w:abstractNum w:abstractNumId="197">
    <w:nsid w:val="2C106A57"/>
    <w:multiLevelType w:val="hybridMultilevel"/>
    <w:lvl w:ilvl="0">
      <w:lvlJc w:val="left"/>
      <w:lvlText w:val="1"/>
      <w:numFmt w:val="bullet"/>
      <w:start w:val="1"/>
    </w:lvl>
  </w:abstractNum>
  <w:abstractNum w:abstractNumId="198">
    <w:nsid w:val="684EED59"/>
    <w:multiLevelType w:val="hybridMultilevel"/>
    <w:lvl w:ilvl="0">
      <w:lvlJc w:val="left"/>
      <w:lvlText w:val="1"/>
      <w:numFmt w:val="bullet"/>
      <w:start w:val="1"/>
    </w:lvl>
  </w:abstractNum>
  <w:abstractNum w:abstractNumId="199">
    <w:nsid w:val="545EE5D3"/>
    <w:multiLevelType w:val="hybridMultilevel"/>
    <w:lvl w:ilvl="0">
      <w:lvlJc w:val="left"/>
      <w:lvlText w:val="1"/>
      <w:numFmt w:val="bullet"/>
      <w:start w:val="1"/>
    </w:lvl>
  </w:abstractNum>
  <w:abstractNum w:abstractNumId="200">
    <w:nsid w:val="4A66051"/>
    <w:multiLevelType w:val="hybridMultilevel"/>
    <w:lvl w:ilvl="0">
      <w:lvlJc w:val="left"/>
      <w:lvlText w:val="1"/>
      <w:numFmt w:val="bullet"/>
      <w:start w:val="1"/>
    </w:lvl>
  </w:abstractNum>
  <w:abstractNum w:abstractNumId="201">
    <w:nsid w:val="20F4BDAD"/>
    <w:multiLevelType w:val="hybridMultilevel"/>
    <w:lvl w:ilvl="0">
      <w:lvlJc w:val="left"/>
      <w:lvlText w:val="1"/>
      <w:numFmt w:val="bullet"/>
      <w:start w:val="1"/>
    </w:lvl>
  </w:abstractNum>
  <w:abstractNum w:abstractNumId="202">
    <w:nsid w:val="639DEFAC"/>
    <w:multiLevelType w:val="hybridMultilevel"/>
    <w:lvl w:ilvl="0">
      <w:lvlJc w:val="left"/>
      <w:lvlText w:val="1"/>
      <w:numFmt w:val="bullet"/>
      <w:start w:val="1"/>
    </w:lvl>
  </w:abstractNum>
  <w:abstractNum w:abstractNumId="203">
    <w:nsid w:val="501F9786"/>
    <w:multiLevelType w:val="hybridMultilevel"/>
    <w:lvl w:ilvl="0">
      <w:lvlJc w:val="left"/>
      <w:lvlText w:val="1"/>
      <w:numFmt w:val="bullet"/>
      <w:start w:val="1"/>
    </w:lvl>
  </w:abstractNum>
  <w:abstractNum w:abstractNumId="204">
    <w:nsid w:val="6B057295"/>
    <w:multiLevelType w:val="hybridMultilevel"/>
    <w:lvl w:ilvl="0">
      <w:lvlJc w:val="left"/>
      <w:lvlText w:val="1"/>
      <w:numFmt w:val="bullet"/>
      <w:start w:val="1"/>
    </w:lvl>
  </w:abstractNum>
  <w:abstractNum w:abstractNumId="205">
    <w:nsid w:val="2771AC80"/>
    <w:multiLevelType w:val="hybridMultilevel"/>
    <w:lvl w:ilvl="0">
      <w:lvlJc w:val="left"/>
      <w:lvlText w:val="1"/>
      <w:numFmt w:val="bullet"/>
      <w:start w:val="1"/>
    </w:lvl>
  </w:abstractNum>
  <w:abstractNum w:abstractNumId="206">
    <w:nsid w:val="1C4A08EC"/>
    <w:multiLevelType w:val="hybridMultilevel"/>
    <w:lvl w:ilvl="0">
      <w:lvlJc w:val="left"/>
      <w:lvlText w:val="1"/>
      <w:numFmt w:val="bullet"/>
      <w:start w:val="1"/>
    </w:lvl>
  </w:abstractNum>
  <w:abstractNum w:abstractNumId="207">
    <w:nsid w:val="1958BD17"/>
    <w:multiLevelType w:val="hybridMultilevel"/>
    <w:lvl w:ilvl="0">
      <w:lvlJc w:val="left"/>
      <w:lvlText w:val="1"/>
      <w:numFmt w:val="bullet"/>
      <w:start w:val="1"/>
    </w:lvl>
  </w:abstractNum>
  <w:abstractNum w:abstractNumId="208">
    <w:nsid w:val="4E647FE4"/>
    <w:multiLevelType w:val="hybridMultilevel"/>
    <w:lvl w:ilvl="0">
      <w:lvlJc w:val="left"/>
      <w:lvlText w:val="1"/>
      <w:numFmt w:val="bullet"/>
      <w:start w:val="1"/>
    </w:lvl>
  </w:abstractNum>
  <w:abstractNum w:abstractNumId="209">
    <w:nsid w:val="E0BB885"/>
    <w:multiLevelType w:val="hybridMultilevel"/>
    <w:lvl w:ilvl="0">
      <w:lvlJc w:val="left"/>
      <w:lvlText w:val="1"/>
      <w:numFmt w:val="bullet"/>
      <w:start w:val="1"/>
    </w:lvl>
  </w:abstractNum>
  <w:abstractNum w:abstractNumId="210">
    <w:nsid w:val="565976F1"/>
    <w:multiLevelType w:val="hybridMultilevel"/>
    <w:lvl w:ilvl="0">
      <w:lvlJc w:val="left"/>
      <w:lvlText w:val="1"/>
      <w:numFmt w:val="bullet"/>
      <w:start w:val="1"/>
    </w:lvl>
  </w:abstractNum>
  <w:abstractNum w:abstractNumId="211">
    <w:nsid w:val="64212B8C"/>
    <w:multiLevelType w:val="hybridMultilevel"/>
    <w:lvl w:ilvl="0">
      <w:lvlJc w:val="left"/>
      <w:lvlText w:val="1"/>
      <w:numFmt w:val="bullet"/>
      <w:start w:val="1"/>
    </w:lvl>
  </w:abstractNum>
  <w:abstractNum w:abstractNumId="212">
    <w:nsid w:val="5C17530C"/>
    <w:multiLevelType w:val="hybridMultilevel"/>
    <w:lvl w:ilvl="0">
      <w:lvlJc w:val="left"/>
      <w:lvlText w:val="1"/>
      <w:numFmt w:val="bullet"/>
      <w:start w:val="1"/>
    </w:lvl>
  </w:abstractNum>
  <w:abstractNum w:abstractNumId="213">
    <w:nsid w:val="19A52566"/>
    <w:multiLevelType w:val="hybridMultilevel"/>
    <w:lvl w:ilvl="0">
      <w:lvlJc w:val="left"/>
      <w:lvlText w:val="1"/>
      <w:numFmt w:val="bullet"/>
      <w:start w:val="1"/>
    </w:lvl>
  </w:abstractNum>
  <w:abstractNum w:abstractNumId="214">
    <w:nsid w:val="335A1DF1"/>
    <w:multiLevelType w:val="hybridMultilevel"/>
    <w:lvl w:ilvl="0">
      <w:lvlJc w:val="left"/>
      <w:lvlText w:val="1"/>
      <w:numFmt w:val="bullet"/>
      <w:start w:val="1"/>
    </w:lvl>
  </w:abstractNum>
  <w:abstractNum w:abstractNumId="215">
    <w:nsid w:val="28677B7C"/>
    <w:multiLevelType w:val="hybridMultilevel"/>
    <w:lvl w:ilvl="0">
      <w:lvlJc w:val="left"/>
      <w:lvlText w:val="1"/>
      <w:numFmt w:val="bullet"/>
      <w:start w:val="1"/>
    </w:lvl>
  </w:abstractNum>
  <w:abstractNum w:abstractNumId="216">
    <w:nsid w:val="378D97C0"/>
    <w:multiLevelType w:val="hybridMultilevel"/>
    <w:lvl w:ilvl="0">
      <w:lvlJc w:val="left"/>
      <w:lvlText w:val="1"/>
      <w:numFmt w:val="bullet"/>
      <w:start w:val="1"/>
    </w:lvl>
  </w:abstractNum>
  <w:abstractNum w:abstractNumId="217">
    <w:nsid w:val="1D91467C"/>
    <w:multiLevelType w:val="hybridMultilevel"/>
    <w:lvl w:ilvl="0">
      <w:lvlJc w:val="left"/>
      <w:lvlText w:val="1"/>
      <w:numFmt w:val="bullet"/>
      <w:start w:val="1"/>
    </w:lvl>
  </w:abstractNum>
  <w:abstractNum w:abstractNumId="218">
    <w:nsid w:val="316032BB"/>
    <w:multiLevelType w:val="hybridMultilevel"/>
    <w:lvl w:ilvl="0">
      <w:lvlJc w:val="left"/>
      <w:lvlText w:val="1"/>
      <w:numFmt w:val="bullet"/>
      <w:start w:val="1"/>
    </w:lvl>
  </w:abstractNum>
  <w:abstractNum w:abstractNumId="219">
    <w:nsid w:val="44344C22"/>
    <w:multiLevelType w:val="hybridMultilevel"/>
    <w:lvl w:ilvl="0">
      <w:lvlJc w:val="left"/>
      <w:lvlText w:val="%1."/>
      <w:numFmt w:val="decimal"/>
      <w:start w:val="1"/>
    </w:lvl>
  </w:abstractNum>
  <w:abstractNum w:abstractNumId="220">
    <w:nsid w:val="13CDFCFC"/>
    <w:multiLevelType w:val="hybridMultilevel"/>
    <w:lvl w:ilvl="0">
      <w:lvlJc w:val="left"/>
      <w:lvlText w:val="(%1)"/>
      <w:numFmt w:val="lowerLetter"/>
      <w:start w:val="1"/>
    </w:lvl>
  </w:abstractNum>
  <w:abstractNum w:abstractNumId="221">
    <w:nsid w:val="471745E4"/>
    <w:multiLevelType w:val="hybridMultilevel"/>
    <w:lvl w:ilvl="0">
      <w:lvlJc w:val="left"/>
      <w:lvlText w:val="%1."/>
      <w:numFmt w:val="decimal"/>
      <w:start w:val="5"/>
    </w:lvl>
  </w:abstractNum>
  <w:abstractNum w:abstractNumId="222">
    <w:nsid w:val="1DDBC66"/>
    <w:multiLevelType w:val="hybridMultilevel"/>
    <w:lvl w:ilvl="0">
      <w:lvlJc w:val="left"/>
      <w:lvlText w:val="(%1)"/>
      <w:numFmt w:val="lowerLetter"/>
      <w:start w:val="1"/>
    </w:lvl>
  </w:abstractNum>
  <w:abstractNum w:abstractNumId="223">
    <w:nsid w:val="30AADFDA"/>
    <w:multiLevelType w:val="hybridMultilevel"/>
    <w:lvl w:ilvl="0">
      <w:lvlJc w:val="left"/>
      <w:lvlText w:val="%1."/>
      <w:numFmt w:val="decimal"/>
      <w:start w:val="1"/>
    </w:lvl>
  </w:abstractNum>
  <w:abstractNum w:abstractNumId="224">
    <w:nsid w:val="30EADA61"/>
    <w:multiLevelType w:val="hybridMultilevel"/>
    <w:lvl w:ilvl="0">
      <w:lvlJc w:val="left"/>
      <w:lvlText w:val="(%1)"/>
      <w:numFmt w:val="lowerLetter"/>
      <w:start w:val="1"/>
    </w:lvl>
  </w:abstractNum>
  <w:abstractNum w:abstractNumId="225">
    <w:nsid w:val="27179C0B"/>
    <w:multiLevelType w:val="hybridMultilevel"/>
    <w:lvl w:ilvl="0">
      <w:lvlJc w:val="left"/>
      <w:lvlText w:val="%1."/>
      <w:numFmt w:val="decimal"/>
      <w:start w:val="5"/>
    </w:lvl>
  </w:abstractNum>
  <w:abstractNum w:abstractNumId="226">
    <w:nsid w:val="5E636063"/>
    <w:multiLevelType w:val="hybridMultilevel"/>
    <w:lvl w:ilvl="0">
      <w:lvlJc w:val="left"/>
      <w:lvlText w:val="(%1)"/>
      <w:numFmt w:val="lowerLetter"/>
      <w:start w:val="1"/>
    </w:lvl>
  </w:abstractNum>
  <w:abstractNum w:abstractNumId="227">
    <w:nsid w:val="215641AF"/>
    <w:multiLevelType w:val="hybridMultilevel"/>
    <w:lvl w:ilvl="0">
      <w:lvlJc w:val="left"/>
      <w:lvlText w:val="%1."/>
      <w:numFmt w:val="decimal"/>
      <w:start w:val="1"/>
    </w:lvl>
  </w:abstractNum>
  <w:abstractNum w:abstractNumId="228">
    <w:nsid w:val="532806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2019-12-15T15:25:18Z</dcterms:created>
  <dcterms:modified xsi:type="dcterms:W3CDTF">2019-12-15T15:25:18Z</dcterms:modified>
</cp:coreProperties>
</file>