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line="281" w:lineRule="auto"/>
        <w:rPr>
          <w:sz w:val="20"/>
          <w:szCs w:val="20"/>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29,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May 1, 2012, 56,068,924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540" w:type="dxa"/>
            <w:vAlign w:val="bottom"/>
            <w:gridSpan w:val="5"/>
            <w:vMerge w:val="restart"/>
          </w:tcPr>
          <w:p>
            <w:pPr>
              <w:jc w:val="center"/>
              <w:ind w:right="482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68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Balance Sheets</w:t>
              </w:r>
            </w:hyperlink>
          </w:p>
        </w:tc>
        <w:tc>
          <w:tcPr>
            <w:tcW w:w="63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Comprehensive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47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 of Equity/(Deficit)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Unaudited Condensed Consolidated Financial Statements</w:t>
              </w:r>
            </w:hyperlink>
          </w:p>
        </w:tc>
        <w:tc>
          <w:tcPr>
            <w:tcW w:w="5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9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5"/>
          </w:tcPr>
          <w:p>
            <w:pPr>
              <w:jc w:val="center"/>
              <w:ind w:right="482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88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9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Mine Safety Disclosures</w:t>
              </w:r>
            </w:hyperlink>
          </w:p>
        </w:tc>
        <w:tc>
          <w:tcPr>
            <w:tcW w:w="84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8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$4.6 and $4.3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 of accumulated depreciation of $56.9 and $54.8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Intangible assets, net of accumulated amortization of $23.6 and $20.8 million,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283.5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allowance of $3.2 and $3.2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Debt issuance costs,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Long-term marketable securities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1,071.1</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1,135.9</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EQUITY/(DEFICIT):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NCM, Inc. Stockholders’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$0.01 par value; 175,000,000 shares authorized, 54,438,780 and 53,934,605 issued and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 in capital (deficit)</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(372.1)</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(distributions in excess of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NCM, Inc. stockholders’ equity/(deficit)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(436.7)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(347.4)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085"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085"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8"/>
              </w:rPr>
              <w:t>Advertising (including revenue from founding members of $9.8 and $8.3 million, respectively)</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66.3</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2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Advertising operating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 operating costs (including $2.0 and $1.9 million to founding members,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Network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Theatre access fees—founding members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6"/>
              </w:rPr>
              <w:t>Selling and marketing costs (including $0.2 and $0.3 million to founding members,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Administrative and other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Interest on borrowings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3"/>
              </w:rPr>
              <w:t>Accretion of interest on the discounted payable to founding members under tax sharing agreement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derivative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2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Benefit for income taxes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NET INCOME</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NCM, INC</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LOSS PER NCM, INC.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54,141,234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53,691,186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54,141,234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53,691,186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Quarter Ended</w:t>
            </w:r>
          </w:p>
        </w:tc>
      </w:tr>
      <w:tr>
        <w:trPr>
          <w:trHeight w:val="149"/>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5"/>
              </w:rPr>
              <w:t>March 29,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March 31,</w:t>
            </w:r>
          </w:p>
        </w:tc>
      </w:tr>
      <w:tr>
        <w:trPr>
          <w:trHeight w:val="161"/>
        </w:trPr>
        <w:tc>
          <w:tcPr>
            <w:tcW w:w="8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 NET OF TAX</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 on cash flow hedge, net of tax</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CONSOLIDATED COMPREHENSIVE INCOME</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COMPREHENSIVE INCOME (LOSS) ATTRIBUTABLE TO NCM,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March 29,</w:t>
            </w: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9"/>
              </w:rPr>
              <w:t>Accretion of interest on the discounted payable to founding members under tax sharing agreement</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gain on hedging transactions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Payment to founding members under tax sharing agreement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Income taxes and other</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operating</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Proceeds from sale and maturities of marketable securities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from founding members for intangible assets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Purchase of intangible assets from affiliate</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borrowings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Founding member integration payments</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founding members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Repurchase of stock for restricted stock tax withholding</w:t>
            </w:r>
          </w:p>
        </w:tc>
        <w:tc>
          <w:tcPr>
            <w:tcW w:w="1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Beginning of period</w:t>
            </w:r>
          </w:p>
        </w:tc>
        <w:tc>
          <w:tcPr>
            <w:tcW w:w="10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r>
      <w:tr>
        <w:trPr>
          <w:trHeight w:val="149"/>
        </w:trPr>
        <w:tc>
          <w:tcPr>
            <w:tcW w:w="7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29,</w:t>
            </w: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61"/>
        </w:trPr>
        <w:tc>
          <w:tcPr>
            <w:tcW w:w="704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Purchase of an intangible asset with subsidiary equity (equity returned)</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cost method investment</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Increase in dividends not requiring cash in the period</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9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Cash paid for interest</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9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Paid in</w:t>
            </w:r>
          </w:p>
        </w:tc>
        <w:tc>
          <w:tcPr>
            <w:tcW w:w="3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in Excess of</w:t>
            </w:r>
          </w:p>
        </w:tc>
        <w:tc>
          <w:tcPr>
            <w:tcW w:w="1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Stock</w:t>
            </w:r>
          </w:p>
        </w:tc>
        <w:tc>
          <w:tcPr>
            <w:tcW w:w="4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Earnings)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Balance—December 29,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net of tax</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expense/capitalized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$0.22 per share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Balance—March 29, 2012</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(347.4)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(372.1)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30,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(373.3)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returned for purchase of intangible asset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net of tax</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expense/capitalized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dividends declared $0.20 per share</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(369.9)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jc w:val="both"/>
        <w:ind w:right="9620" w:firstLine="8"/>
        <w:spacing w:after="0" w:line="417" w:lineRule="auto"/>
        <w:tabs>
          <w:tab w:leader="none" w:pos="44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sell advertising and Fathom events (the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the Services to certain third-party theatre circuits under “network affiliate” agreements, which expire at various dates.</w:t>
      </w:r>
    </w:p>
    <w:p>
      <w:pPr>
        <w:spacing w:after="0" w:line="1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March 29, 2012, NCM LLC had 111,970,356 common membership units outstanding, of which 54,438,780 (48.6%) were owned by NCM, Inc., 22,113,150 (19.7%) were owned by Regal, 18,094,644 (16.2%) were owned by Cinemark and 17,323,782 (15.5%) were owned by AMC. The membership units held by the founding members are exchangeable into NCM, Inc. common stock on a one-for-one basis.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2012, the Company restructured Fathom Events to place more focus on the Fathom Consumer division. Based on historical and expected future trends the Company believes the Fathom Consumer division has greater future growth prospects and is more aligned with the movie exhibition business and the Company’s strategy of becoming a more powerful digital media platform. The Company continued to operate the Fathom Business division for a portion of the first quarter of 2012 to satisfy contractual obligations for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29, 2011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29, 2011.</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4, the operating results as presented are not necessarily indicative of the results that might have occurred if all agreements were with non-related third parties.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 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reclassifications of previously reported network, administrative and unallocated costs in segment reporting have been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the current year presentation.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29, 2011 contain a complete discussion of the Company’s significant accounting policies.</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 Bad debts are provided for using the allowance for doubtful accounts method based on historical experience and management’s evaluation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outstanding receivables at the end of the period. Receivables are written off when management determines amounts are uncollectible. Trade accounts receivable are uncollateralized and represent a large number of geographically dispersed debtors. At March 29, 2012, there were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no advertising agency groups through which the Company sources national advertising revenue representing over 10% of the Company’s outstanding gross receivable balance. At December 29, 2011, there was one advertising agency group through which the Company sources national advertising revenue representing approximately 15% of the Company’s outstanding gross receivable balance; however, none of the individual contracts related to the advertising agency were more than 10% of advertising revenue. The collectability risk is reduced by dealing with large, national advertising agencies who have strong reputations in the advertising industry and clients with stable financial positions.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The Company is subject to taxation in the U.S. and various states. NCM LLC’s calendar years 2007 and 2008 tax returns are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examination by the Internal Revenue Service (“IRS”). In September 2011, NCM LLC received a Notice of Proposed Adjustment (“NOPA”) for the calendar year 2007 examination primarily related to characterization of the cash received by the founding members at or around the date of the Company’s initial public offering,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will contest, the IRS’ positions. See Note 6 –Income Taxes below for further discussion. As of March 29, 2012 and December 29, 2011, there were no unrecognized tax benefits.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 NCM, Inc. consolidates the accounts of NCM LLC under the provision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Under ASC 810, a managing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87"/>
              </w:rPr>
              <w:t>Quarters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80" w:type="dxa"/>
            <w:vAlign w:val="bottom"/>
          </w:tcPr>
          <w:p>
            <w:pPr>
              <w:spacing w:after="0"/>
              <w:rPr>
                <w:sz w:val="11"/>
                <w:szCs w:val="11"/>
                <w:color w:val="auto"/>
              </w:rPr>
            </w:pPr>
          </w:p>
        </w:tc>
        <w:tc>
          <w:tcPr>
            <w:tcW w:w="9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March 29,</w:t>
            </w: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NCM, Inc.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Subsidiary equity issued (returned) for purchase of intangible asset</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Change from net income (loss) attributable to NCM, Inc. and transfers from noncontrolling interests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condensed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and restricted stock using the treasury stock method. The components of basic and diluted loss per NCM, Inc, share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5"/>
              </w:rPr>
              <w:t>Quarters Ended</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29, 2012</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NCM, Inc. (in millions)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54,141,234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53,691,186</w:t>
            </w:r>
          </w:p>
        </w:tc>
        <w:tc>
          <w:tcPr>
            <w:tcW w:w="0" w:type="dxa"/>
            <w:vAlign w:val="bottom"/>
          </w:tcPr>
          <w:p>
            <w:pPr>
              <w:spacing w:after="0"/>
              <w:rPr>
                <w:sz w:val="1"/>
                <w:szCs w:val="1"/>
                <w:color w:val="auto"/>
              </w:rPr>
            </w:pPr>
          </w:p>
        </w:tc>
      </w:tr>
      <w:tr>
        <w:trPr>
          <w:trHeight w:val="223"/>
        </w:trPr>
        <w:tc>
          <w:tcPr>
            <w:tcW w:w="678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54,141,234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53,691,186</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Loss per NCM, Inc.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67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effect of the 56,980,212 and 57,153,964 exchangeable NCM LLC common units held by the founding members for the quarters ended March 29, 2012 and March 31, 2011, respectively, have been excluded from the calculation of diluted weighted average shares and earnings per NCM, Inc. share as they were antidilutive. NCM LLC common units do not participate in NCM, Inc. dividends. In addition, there were 854,169 and 1,002,078 stock options and non-vested (restricted) shares for the quarters ended March 29, 2012 and March 31, 2011, respectively, excluded from the calculation as they were antidilutive, primarily as exercise prices were above the average market value. The Company’s non-vested (restricted) shares do not meet the definition of a participating security as the dividends will not be paid if the shares do not vest.</w:t>
      </w:r>
    </w:p>
    <w:p>
      <w:pPr>
        <w:spacing w:after="0" w:line="23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first quarter of 2012, NCM LLC issued 651,612 common membership units to its founding members in exchange for the rights to exclusive access to net new theatre screens and attendees added by the founding members to NCM LLC’s network. A cash payment of $0.2 million was received from AMC in lieu of surrendering 16,727 units. As a result, NCM LLC recorded a net intangible asset at the fair value of $9.9 million.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first quarter of 2011, NCM LLC’s founding members returned a net 322,751 common membership units to NCM LLC, which is an adjustment to the previously issued common membership units issued in exchange for the rights to exclusive access, in accordance with the ESA, to net new theatre screens and attendees added by the founding members to NCM LLC’s network. As a result, NCM LLC recorded a reduction to the intangible asset at fair value of the common membership units of $5.5 million.</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 based the fair value of the intangible assets to its founding members on the market value of NCM, Inc.’s publicly traded stock when the common membership units were issued. The NCM LLC common membership units are fully convertible into NCM, Inc.’s common stock.</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Pursuant to ASC 350-10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the intangible assets have a finite useful life and the Company amortizes the assets over the remaining useful life corresponding with the ESAs or the term of the contract with the network affiliate. Amortization of the asset related to Regal Consolidated Theatres began in the third quarter of 2011 when the Company began to access on-screen advertising in the Regal Consolidated Theatres due to the expiration of their prior on-screen advertising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Founding Member Transactions </w:t>
      </w:r>
      <w:r>
        <w:rPr>
          <w:rFonts w:ascii="Arial" w:cs="Arial" w:eastAsia="Arial" w:hAnsi="Arial"/>
          <w:sz w:val="16"/>
          <w:szCs w:val="16"/>
          <w:color w:val="auto"/>
        </w:rPr>
        <w:t>–Following is a summary of the transactions between the Company and the founding members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6"/>
              </w:rPr>
              <w:t>Quarters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5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29,</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r>
      <w:tr>
        <w:trPr>
          <w:trHeight w:val="161"/>
        </w:trPr>
        <w:tc>
          <w:tcPr>
            <w:tcW w:w="9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Condensed Consolidated Statements of Income: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xml:space="preserve">Beverage concessionaire revenue (in Advertising revenue) </w:t>
            </w:r>
            <w:r>
              <w:rPr>
                <w:rFonts w:ascii="Arial" w:cs="Arial" w:eastAsia="Arial" w:hAnsi="Arial"/>
                <w:sz w:val="18"/>
                <w:szCs w:val="18"/>
                <w:i w:val="1"/>
                <w:iCs w:val="1"/>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 xml:space="preserve">Advertising inventory revenue (in Advertising revenue) </w:t>
            </w:r>
            <w:r>
              <w:rPr>
                <w:rFonts w:ascii="Arial" w:cs="Arial" w:eastAsia="Arial" w:hAnsi="Arial"/>
                <w:sz w:val="18"/>
                <w:szCs w:val="18"/>
                <w:i w:val="1"/>
                <w:iCs w:val="1"/>
                <w:color w:val="auto"/>
              </w:rPr>
              <w:t>(2)</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 xml:space="preserve">Use of screens/theatres for Fathom Events (in Fathom Events operating costs) </w:t>
            </w:r>
            <w:r>
              <w:rPr>
                <w:rFonts w:ascii="Arial" w:cs="Arial" w:eastAsia="Arial" w:hAnsi="Arial"/>
                <w:sz w:val="18"/>
                <w:szCs w:val="18"/>
                <w:i w:val="1"/>
                <w:iCs w:val="1"/>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xml:space="preserve">Purchase of movie tickets and concession products (in Fathom Events operating costs) </w:t>
            </w:r>
            <w:r>
              <w:rPr>
                <w:rFonts w:ascii="Arial" w:cs="Arial" w:eastAsia="Arial" w:hAnsi="Arial"/>
                <w:sz w:val="18"/>
                <w:szCs w:val="18"/>
                <w:i w:val="1"/>
                <w:iCs w:val="1"/>
                <w:color w:val="auto"/>
              </w:rPr>
              <w:t>(5)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(4)</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xml:space="preserve">Purchase of movie tickets and concession products (in Selling and marketing costs) </w:t>
            </w:r>
            <w:r>
              <w:rPr>
                <w:rFonts w:ascii="Arial" w:cs="Arial" w:eastAsia="Arial" w:hAnsi="Arial"/>
                <w:sz w:val="18"/>
                <w:szCs w:val="18"/>
                <w:i w:val="1"/>
                <w:iCs w:val="1"/>
                <w:color w:val="auto"/>
              </w:rPr>
              <w:t>(5)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For the quarters ended March 29, 2012 and March 31, 2011, the founding members purchased 60 seconds of on-screen advertising time (with a right to purchase up to 90 seconds) from NCM LLC to satisfy their obligations under their beverage concessionaire agreements at a specified 30 second equivalent cost per thousand (“CPM”).</w:t>
      </w: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values of such purchases are calculated by reference to NCM LLC’s advertising rate card.</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9" w:lineRule="exact"/>
        <w:rPr>
          <w:rFonts w:ascii="Arial" w:cs="Arial" w:eastAsia="Arial" w:hAnsi="Arial"/>
          <w:sz w:val="18"/>
          <w:szCs w:val="18"/>
          <w:i w:val="1"/>
          <w:iCs w:val="1"/>
          <w:color w:val="auto"/>
        </w:rPr>
      </w:pPr>
    </w:p>
    <w:p>
      <w:pPr>
        <w:ind w:left="460" w:right="340" w:hanging="452"/>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Comprised of a payment per theatre attendee and a payment per digital screen with respect to the founding member theatres included in the Company’s network.</w:t>
      </w: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Business customers.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76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8180" w:type="dxa"/>
            <w:vAlign w:val="bottom"/>
          </w:tcPr>
          <w:p>
            <w:pPr>
              <w:spacing w:after="0"/>
              <w:rPr>
                <w:sz w:val="12"/>
                <w:szCs w:val="12"/>
                <w:color w:val="auto"/>
              </w:rPr>
            </w:pPr>
          </w:p>
        </w:tc>
        <w:tc>
          <w:tcPr>
            <w:tcW w:w="14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9"/>
              </w:rPr>
              <w:t>March 29,</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61"/>
        </w:trPr>
        <w:tc>
          <w:tcPr>
            <w:tcW w:w="8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Condensed Consolidated Balance Sheets:</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 xml:space="preserve">Integration payments (in Intangible assets) </w:t>
            </w:r>
            <w:r>
              <w:rPr>
                <w:rFonts w:ascii="Arial" w:cs="Arial" w:eastAsia="Arial" w:hAnsi="Arial"/>
                <w:sz w:val="18"/>
                <w:szCs w:val="18"/>
                <w:i w:val="1"/>
                <w:iCs w:val="1"/>
                <w:color w:val="auto"/>
              </w:rPr>
              <w:t>(1)</w:t>
            </w: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0.0</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Current payable to founding members under tax sharing agreement </w:t>
            </w:r>
            <w:r>
              <w:rPr>
                <w:rFonts w:ascii="Arial" w:cs="Arial" w:eastAsia="Arial" w:hAnsi="Arial"/>
                <w:sz w:val="18"/>
                <w:szCs w:val="18"/>
                <w:i w:val="1"/>
                <w:iCs w:val="1"/>
                <w:color w:val="auto"/>
              </w:rPr>
              <w:t>(2)</w:t>
            </w: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03" w:lineRule="auto"/>
        <w:tabs>
          <w:tab w:leader="none" w:pos="460" w:val="left"/>
        </w:tabs>
        <w:numPr>
          <w:ilvl w:val="0"/>
          <w:numId w:val="6"/>
        </w:numPr>
        <w:rPr>
          <w:rFonts w:ascii="Arial" w:cs="Arial" w:eastAsia="Arial" w:hAnsi="Arial"/>
          <w:sz w:val="15"/>
          <w:szCs w:val="15"/>
          <w:i w:val="1"/>
          <w:iCs w:val="1"/>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w:t>
      </w:r>
    </w:p>
    <w:p>
      <w:pPr>
        <w:spacing w:after="0" w:line="1" w:lineRule="exact"/>
        <w:rPr>
          <w:rFonts w:ascii="Arial" w:cs="Arial" w:eastAsia="Arial" w:hAnsi="Arial"/>
          <w:sz w:val="15"/>
          <w:szCs w:val="15"/>
          <w:i w:val="1"/>
          <w:iCs w:val="1"/>
          <w:color w:val="auto"/>
        </w:rPr>
      </w:pPr>
    </w:p>
    <w:p>
      <w:pPr>
        <w:ind w:left="460" w:right="20" w:hanging="452"/>
        <w:spacing w:after="0" w:line="261"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Company paid the founding members $18.2 million in the first quarter of 2012, of which $0.9 million was for the 2010 taxable year and $17.3 million was for the 2011 taxable year.</w:t>
      </w:r>
    </w:p>
    <w:p>
      <w:pPr>
        <w:spacing w:after="0" w:line="13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Accrued distributions for the quarters ended March 29, 2012 and March 31, 2011 are as follows (in millions):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Quarters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1300" w:type="dxa"/>
            <w:vAlign w:val="bottom"/>
            <w:gridSpan w:val="3"/>
          </w:tcPr>
          <w:p>
            <w:pPr>
              <w:ind w:left="700"/>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Cinemark</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NCM, Inc.</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3</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available cash payment by NCM LLC to its founding members for the quarter ended March 29, 2012 of $1.7 million, which is included in amounts due to founding members at March 29, 2012, will be made in the second quarter of 2012. The available cash payment by NCM LLC to its founding members for the quarter ended March 31, 2011 of $5.8 million was made in the second quarter of 2011.</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March 29, 2012 were comprised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AMC</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Cinemark</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Regal</w:t>
            </w:r>
          </w:p>
        </w:tc>
        <w:tc>
          <w:tcPr>
            <w:tcW w:w="2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$ 0.6</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900" w:type="dxa"/>
            <w:vAlign w:val="bottom"/>
            <w:gridSpan w:val="4"/>
          </w:tcPr>
          <w:p>
            <w:pPr>
              <w:jc w:val="right"/>
              <w:ind w:right="460"/>
              <w:spacing w:after="0"/>
              <w:rPr>
                <w:sz w:val="20"/>
                <w:szCs w:val="20"/>
                <w:color w:val="auto"/>
              </w:rPr>
            </w:pPr>
            <w:r>
              <w:rPr>
                <w:rFonts w:ascii="Arial" w:cs="Arial" w:eastAsia="Arial" w:hAnsi="Arial"/>
                <w:sz w:val="18"/>
                <w:szCs w:val="18"/>
                <w:color w:val="auto"/>
              </w:rPr>
              <w:t>(0.8)</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$ 0.3</w:t>
            </w:r>
          </w:p>
        </w:tc>
        <w:tc>
          <w:tcPr>
            <w:tcW w:w="5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$ 0.4</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29, 2011 were comprised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AMC</w:t>
            </w:r>
          </w:p>
        </w:tc>
        <w:tc>
          <w:tcPr>
            <w:tcW w:w="2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2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Regal</w:t>
            </w:r>
          </w:p>
        </w:tc>
        <w:tc>
          <w:tcPr>
            <w:tcW w:w="22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22.1</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$ 6.7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22.0</w:t>
            </w: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Related Party Affiliates </w:t>
      </w:r>
      <w:r>
        <w:rPr>
          <w:rFonts w:ascii="Arial" w:cs="Arial" w:eastAsia="Arial" w:hAnsi="Arial"/>
          <w:sz w:val="18"/>
          <w:szCs w:val="18"/>
          <w:color w:val="auto"/>
        </w:rPr>
        <w:t>— During 2012, NCM LLC entered into a digital content agreement with Texas Cinemas, Corp. (“Texas Cinemas”), an affiliate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NCM, Inc.’s directors, for NCM LLC to provide in-theatre advertising and Fathom Events to Texas Cinemas in its theatre locations. The affiliate agreement was entered into at terms that are similar to those of the Company’s other network affiliates. Included in advertising operating costs is an inconsequential amount for the quarter ended March 29, 2012. As of March 29, 2012, an inconsequential amount is included in accounts payable for amounts due to Texas Cinema under the agreement.</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2011, NCM LLC entered into a digital content agreement and a Fathom agreement with Showplex Cinemas, Inc. (“Showplex”), an affiliate of one of NCM, Inc.’s directors, for NCM LLC to provide in-theatre advertising and Fathom Events to Showplex in its theatre locations. The affiliate agreement was entered into at terms that are similar to those of the Company’s other network affiliates. Included in advertising operating costs is approximately $0.1 million for the quarter ended March 29, 2012. As of March 29, 2012 and December 29, 2011, approximately $0.1 million is included in accounts payable for amounts due to Showplex under the agreement.</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2009, NCM LLC entered into a digital content agreement and a Fathom agreement with LA Live Cinemas LLC (“LA Live”), an affiliate of Regal, for NCM LLC to provide in-theatre advertising and Fathom Events to LA Live in its theatre complex. The affiliate agreement was entered into at terms that are similar to those of the Company’s other network affiliates. Included in advertising operating costs is an inconsequential amount for the quarters ended March 29, 2012 and March 31, 2011, respectively, for payments to the affiliate under the agreement. As of March 29, 2012 and December 29, 2011 an inconsequential amount and approximately $0.1 million, respectively, is included in accounts payable for amounts due to LA Live under the agreement.</w:t>
      </w:r>
    </w:p>
    <w:p>
      <w:pPr>
        <w:spacing w:after="0" w:line="11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During 2009, NCM LLC entered into a network affiliate agreement with Starplex Operating L.P. (“Starplex”), an affiliate of Cinemark, for NCM LLC to provide in-theatre advertising services and Fathom Events to Starplex in its theatre locations. The affiliate agreement was entered into at terms that are similar to those of the Company’s other network affiliates. Included in advertising operating costs is approximately $0.5 million and $0.4 million for the quarters ended March 29, 2012 and March 31, 2011, respectively, for its share of advertising sold in its theatres under the affiliate agreement. As of March 29, 2012 and December 29, 2011, approximately $0.5 million and $0.7 million, respectively, is included in accounts payable for amounts due to Starplex under the agreement.</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Senior Secured Credit Facility— </w:t>
      </w:r>
      <w:r>
        <w:rPr>
          <w:rFonts w:ascii="Arial" w:cs="Arial" w:eastAsia="Arial" w:hAnsi="Arial"/>
          <w:sz w:val="18"/>
          <w:szCs w:val="18"/>
          <w:color w:val="auto"/>
        </w:rPr>
        <w:t>On February 13, 2007, concurrently with the closing of the IPO of NCM, Inc., NCM LLC entered into a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group of lenders. The facility consisted of a six-year $80.0 million revolving credit facility and an eight-year, $725.0 million term loan facility. The revolving credit facility portion was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July 5, 2011, NCM LLC completed an amendment to NCM LLC’s senior secured credit facility with a new $105.0 million revolving credit facility that will terminate on December 31, 2014, and to amend certain covenants and administrative items. The unused line fee is 0.50% per annum. The $14.0 million outstanding principal of the revolving credit loans formerly held by Lehman Brothers Holdings, Inc. (“Lehman”) will not be repaid in connection with any future prepayments of revolving credit loans, but rather Lehman’s share of the revolving credit facility will be paid in full by NCM LLC, along with any accrued and unpaid fees and interest, on the revolving credit termination date, December 31, 2014 for a total revolving credit facility of $119.0 million.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outstanding balance of the term loan facility at March 29, 2012 and December 29, 2011 was $550.0 million. The outstanding balance under the revolving credit facility at March 29, 2012 and December 29, 2011 was $71.0 million and $44.0 million, respectively. As of March 29, 2012, the interest rate swaps hedged the entire $550.0 million term loan at a fixed interest rate of 6.484% (both those accounted for as hedges and those that are not). The applicable margin on the term loan was lowered to 1.5% from 1.75% as a result of an upgrade of the corporate credit rating by the credit rating agencies specified in the credit agreement, in the first quarter of 2011. The weighted-average interest rate on the unhedged revolver was 2.03%. Commencing with the fourth fiscal quarter in fiscal year 2009,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credit agreement). The applicable margin is currently at 150 basis points over LIBOR. The senior secured credit facility also contains a number of covenants and financial ratio requirements, with which the Company was in compliance at March 29, 2012, including the consolidated net senior secured leverage ratio. There are no borrower distribution restrictions as long as the Company’s consolidated net senior secured leverage ratio is below 6.5 times and the Company is in compliance with its debt covenants. As of March 29, 2012, the Company’s consolidated net senior secured leverage ratio was 2.8 times (versus a covenant of 6.5 times). See Note 8 for an additional discussion of the interest rate swaps.</w:t>
      </w:r>
    </w:p>
    <w:p>
      <w:pPr>
        <w:spacing w:after="0" w:line="12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Senior Notes due 2021</w:t>
      </w:r>
      <w:r>
        <w:rPr>
          <w:rFonts w:ascii="Arial" w:cs="Arial" w:eastAsia="Arial" w:hAnsi="Arial"/>
          <w:sz w:val="16"/>
          <w:szCs w:val="16"/>
          <w:color w:val="auto"/>
        </w:rPr>
        <w:t>—On July 5, 2011, NCM LLC completed a private placement of $200.0 million in aggregate principal amount of 7.875%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Notes due in 2021 (“Senior Notes”). The Senior Notes have a maturity date of July 15, 2021 and pay interest semi-annually in arrears on January 15 and July 15 of each year, commencing January 15, 2012. The January 15, 2012 interest payment was approximately $8.3 million. The outstanding balance of the Senior Notes at March 29, 2012 and December 29, 2011 was $200.0 million. The notes are subordinated to all existing and future secured debt, including indebtedness under the Company’s existing senior secured credit facility.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10 for a discussion of the amendment of the senior secured credit facility and restructuring of the debt.</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results of operations or cash flows.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 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$33.9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over the remaining terms of the network affiliate agreements. As of March 29, 2012 and December 29, 2011, the Company had no liabilities recorded for these obligations as such guarantees are less than the expected share of revenue paid to the affiliate.</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Due to the IRS examination discussed in Note 1 – Income Taxes, it is reasonably possible that the Company may be required to pay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amounts to the founding members under the tax sharing agreement, and may request refunds from various state and federal taxing authorities. However, at this time the amount of any such payments to the founding members or refunds from the various taxing authorities cannot be reasonably estimated and as such no amounts are included in the condensed consolidated financial statements herein.</w:t>
      </w:r>
    </w:p>
    <w:p>
      <w:pPr>
        <w:spacing w:after="0" w:line="2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The carrying amount of the revolving credit facility is considered a reasonable estimate of fair value due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floating-rate terms. The carrying amounts and fair values of interest rate swap agreements are the same since the Company accounts for these instruments at fair value.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estimated the fair value of its term loan based on an average of at least two non-binding broker quotes and the Company’s analysis to be $543.9 million and $530.6 million at March 29, 2012 and December 29, 2011, respectively (Level 2). The carrying value of the term loan was $550.0 million as of March 29, 2012 and December 29, 2011, respectively.</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estimated the fair value of its Senior Notes based on an average of at least two non-binding broker quotes and the Company’s analysis to be $213.5 million and $198.4 million at March 29, 2012 and December 29, 2011, respectively (Level 2). The carrying value of the Company’s Senior Notes was $200.0 million as of March 29, 2012 and December 29, 2011, respectively.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fourth quarter of 2011 and first quarter of 2012, the Company received equity securities in a privately held company as consideration for an advertising contract, which the Company accounted for as a cost method investment. The fair value of the investment has not been estimated at March 29, 2012 or December 29, 2012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$0.8 million and $0.2 million as of March 29, 2012 and December 29, 2011,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gridSpan w:val="9"/>
          </w:tcPr>
          <w:p>
            <w:pPr>
              <w:ind w:left="44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As of</w:t>
            </w: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6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3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Unobservable</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2012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9"/>
          </w:tcPr>
          <w:p>
            <w:pPr>
              <w:ind w:left="42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As of</w:t>
            </w: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6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3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Unobservable</w:t>
            </w:r>
          </w:p>
        </w:tc>
      </w:tr>
      <w:tr>
        <w:trPr>
          <w:trHeight w:val="149"/>
        </w:trPr>
        <w:tc>
          <w:tcPr>
            <w:tcW w:w="59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u w:val="single" w:color="auto"/>
                <w:color w:val="auto"/>
              </w:rPr>
              <w:t>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w:t>
      </w:r>
    </w:p>
    <w:p>
      <w:pPr>
        <w:spacing w:after="0" w:line="15" w:lineRule="exact"/>
        <w:rPr>
          <w:rFonts w:ascii="Arial" w:cs="Arial" w:eastAsia="Arial" w:hAnsi="Arial"/>
          <w:sz w:val="18"/>
          <w:szCs w:val="18"/>
          <w:i w:val="1"/>
          <w:iCs w:val="1"/>
          <w:color w:val="auto"/>
        </w:rPr>
      </w:pPr>
    </w:p>
    <w:p>
      <w:pPr>
        <w:ind w:left="460" w:right="140" w:hanging="452"/>
        <w:spacing w:after="0" w:line="323" w:lineRule="auto"/>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and Long-Term Marketable Securities </w:t>
      </w:r>
      <w:r>
        <w:rPr>
          <w:rFonts w:ascii="Arial" w:cs="Arial" w:eastAsia="Arial" w:hAnsi="Arial"/>
          <w:sz w:val="16"/>
          <w:szCs w:val="16"/>
          <w:color w:val="auto"/>
        </w:rPr>
        <w:t>— For the quarters ended March 29, 2012 and March 31, 2011, there was an inconsequential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net realized gains (losses) recognized in interest income and no net unrealized holding gains (losses) included in other comprehensive income.</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As of March 29, 2012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Amortized</w:t>
            </w:r>
          </w:p>
        </w:tc>
        <w:tc>
          <w:tcPr>
            <w:tcW w:w="500" w:type="dxa"/>
            <w:vAlign w:val="bottom"/>
          </w:tcPr>
          <w:p>
            <w:pPr>
              <w:spacing w:after="0"/>
              <w:rPr>
                <w:sz w:val="11"/>
                <w:szCs w:val="11"/>
                <w:color w:val="auto"/>
              </w:rPr>
            </w:pPr>
          </w:p>
        </w:tc>
        <w:tc>
          <w:tcPr>
            <w:tcW w:w="1400" w:type="dxa"/>
            <w:vAlign w:val="bottom"/>
            <w:gridSpan w:val="3"/>
          </w:tcPr>
          <w:p>
            <w:pPr>
              <w:jc w:val="right"/>
              <w:ind w:right="740"/>
              <w:spacing w:after="0" w:line="129" w:lineRule="exact"/>
              <w:rPr>
                <w:sz w:val="20"/>
                <w:szCs w:val="20"/>
                <w:color w:val="auto"/>
              </w:rPr>
            </w:pPr>
            <w:r>
              <w:rPr>
                <w:rFonts w:ascii="Arial" w:cs="Arial" w:eastAsia="Arial" w:hAnsi="Arial"/>
                <w:sz w:val="14"/>
                <w:szCs w:val="14"/>
                <w:b w:val="1"/>
                <w:bCs w:val="1"/>
                <w:color w:val="auto"/>
                <w:w w:val="92"/>
              </w:rPr>
              <w:t>Aggregate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Cost Basis</w:t>
            </w:r>
          </w:p>
        </w:tc>
        <w:tc>
          <w:tcPr>
            <w:tcW w:w="500" w:type="dxa"/>
            <w:vAlign w:val="bottom"/>
          </w:tcPr>
          <w:p>
            <w:pPr>
              <w:spacing w:after="0"/>
              <w:rPr>
                <w:sz w:val="12"/>
                <w:szCs w:val="12"/>
                <w:color w:val="auto"/>
              </w:rPr>
            </w:pPr>
          </w:p>
        </w:tc>
        <w:tc>
          <w:tcPr>
            <w:tcW w:w="140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Maturities</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MARKETABLE SECURITIES:</w:t>
            </w:r>
          </w:p>
        </w:tc>
        <w:tc>
          <w:tcPr>
            <w:tcW w:w="2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Commercial Paper</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Agency</w:t>
            </w:r>
          </w:p>
        </w:tc>
        <w:tc>
          <w:tcPr>
            <w:tcW w:w="26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Financial</w:t>
            </w:r>
          </w:p>
        </w:tc>
        <w:tc>
          <w:tcPr>
            <w:tcW w:w="26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w:t>
            </w:r>
          </w:p>
        </w:tc>
        <w:tc>
          <w:tcPr>
            <w:tcW w:w="26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Municipal</w:t>
            </w:r>
          </w:p>
        </w:tc>
        <w:tc>
          <w:tcPr>
            <w:tcW w:w="26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1.9</w:t>
            </w: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short-term marketable securities</w:t>
            </w:r>
          </w:p>
        </w:tc>
        <w:tc>
          <w:tcPr>
            <w:tcW w:w="26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9</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Agency</w:t>
            </w:r>
          </w:p>
        </w:tc>
        <w:tc>
          <w:tcPr>
            <w:tcW w:w="26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long-term marketable securities</w:t>
            </w:r>
          </w:p>
        </w:tc>
        <w:tc>
          <w:tcPr>
            <w:tcW w:w="26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1300"/>
              <w:spacing w:after="0"/>
              <w:rPr>
                <w:sz w:val="20"/>
                <w:szCs w:val="20"/>
                <w:color w:val="auto"/>
              </w:rPr>
            </w:pPr>
            <w:r>
              <w:rPr>
                <w:rFonts w:ascii="Arial" w:cs="Arial" w:eastAsia="Arial" w:hAnsi="Arial"/>
                <w:sz w:val="18"/>
                <w:szCs w:val="18"/>
                <w:color w:val="auto"/>
              </w:rPr>
              <w:t>TOTAL MARKETABLE SECURITIES</w:t>
            </w:r>
          </w:p>
        </w:tc>
        <w:tc>
          <w:tcPr>
            <w:tcW w:w="2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26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26.9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380" w:type="dxa"/>
            <w:vAlign w:val="bottom"/>
            <w:vMerge w:val="restart"/>
          </w:tcPr>
          <w:p>
            <w:pPr>
              <w:ind w:left="52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As of December 29, 2011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3"/>
              </w:rPr>
              <w:t>Amortized</w:t>
            </w:r>
          </w:p>
        </w:tc>
        <w:tc>
          <w:tcPr>
            <w:tcW w:w="680" w:type="dxa"/>
            <w:vAlign w:val="bottom"/>
          </w:tcPr>
          <w:p>
            <w:pPr>
              <w:spacing w:after="0"/>
              <w:rPr>
                <w:sz w:val="11"/>
                <w:szCs w:val="11"/>
                <w:color w:val="auto"/>
              </w:rPr>
            </w:pPr>
          </w:p>
        </w:tc>
        <w:tc>
          <w:tcPr>
            <w:tcW w:w="1400" w:type="dxa"/>
            <w:vAlign w:val="bottom"/>
            <w:gridSpan w:val="3"/>
          </w:tcPr>
          <w:p>
            <w:pPr>
              <w:jc w:val="right"/>
              <w:ind w:right="740"/>
              <w:spacing w:after="0" w:line="129" w:lineRule="exact"/>
              <w:rPr>
                <w:sz w:val="20"/>
                <w:szCs w:val="20"/>
                <w:color w:val="auto"/>
              </w:rPr>
            </w:pPr>
            <w:r>
              <w:rPr>
                <w:rFonts w:ascii="Arial" w:cs="Arial" w:eastAsia="Arial" w:hAnsi="Arial"/>
                <w:sz w:val="14"/>
                <w:szCs w:val="14"/>
                <w:b w:val="1"/>
                <w:bCs w:val="1"/>
                <w:color w:val="auto"/>
                <w:w w:val="92"/>
              </w:rPr>
              <w:t>Aggregate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8"/>
              </w:rPr>
              <w:t>Cost Basis</w:t>
            </w:r>
          </w:p>
        </w:tc>
        <w:tc>
          <w:tcPr>
            <w:tcW w:w="680" w:type="dxa"/>
            <w:vAlign w:val="bottom"/>
          </w:tcPr>
          <w:p>
            <w:pPr>
              <w:spacing w:after="0"/>
              <w:rPr>
                <w:sz w:val="12"/>
                <w:szCs w:val="12"/>
                <w:color w:val="auto"/>
              </w:rPr>
            </w:pPr>
          </w:p>
        </w:tc>
        <w:tc>
          <w:tcPr>
            <w:tcW w:w="140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Maturities</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6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MARKETABLE SECURITIES:</w:t>
            </w: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Agency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short-term marketable securities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2</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Agency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0</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0</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long-term marketable securities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1300"/>
              <w:spacing w:after="0"/>
              <w:rPr>
                <w:sz w:val="20"/>
                <w:szCs w:val="20"/>
                <w:color w:val="auto"/>
              </w:rPr>
            </w:pPr>
            <w:r>
              <w:rPr>
                <w:rFonts w:ascii="Arial" w:cs="Arial" w:eastAsia="Arial" w:hAnsi="Arial"/>
                <w:sz w:val="18"/>
                <w:szCs w:val="18"/>
                <w:color w:val="auto"/>
              </w:rPr>
              <w:t>TOTAL MARKETABLE SECURITIES</w:t>
            </w: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2</w:t>
            </w:r>
          </w:p>
        </w:tc>
        <w:tc>
          <w:tcPr>
            <w:tcW w:w="6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(3)</w:t>
        <w:tab/>
        <w:t>Interest Rate Swap Agreements</w:t>
      </w:r>
      <w:r>
        <w:rPr>
          <w:rFonts w:ascii="Arial" w:cs="Arial" w:eastAsia="Arial" w:hAnsi="Arial"/>
          <w:sz w:val="18"/>
          <w:szCs w:val="18"/>
          <w:color w:val="auto"/>
        </w:rPr>
        <w:t>—Refer to Note 8.</w:t>
      </w:r>
    </w:p>
    <w:p>
      <w:pPr>
        <w:spacing w:after="0" w:line="28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the entire $550.0 million of currently outstanding debt obligations under the senior secured credit facility. The interest rate swap agreements have the effect of converting all of the Company’s variable rate debt to a fixed rate of 6.484%. Refer to Note 10 for discussion of the partial termination of these agreements.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flow hedge accounting was discontinued on September 15, 2008 for one of the interest rate swap agreements due to the event of default created by the bankruptcy of Lehman and the inability of the Company to continue to demonstrate the swap would be effective. The Company did not elect cash flow hedge accounting and the interest rate swap with Barclays is recorded at fair value with any change in the fair value recorded in the statements of income. There was a $0.7 million decrease and $1.5 million decrease in the fair value of the liability for the quarters ended March 29, 2012 and March 31, 2011, respectively, which the Company recorded as a change in derivative fair value.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net derivative loss as of September 14, 2008 related to the discontinued cash flow hedge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quarters ended March 29, 2012 and March 31, 2011 was $0.3 million. The Company estimates approximately $1.3 million will be amortized to interest on borrowings in the next 12 months.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values of the interest rate swaps with the counterparties on which the Company elected and qualified for cash flow hedge accounting (representing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notional amounts of $412.5 million associated with a like amount of the variable rate debt) are recorded on the Company’s balance sheet as a liability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recorded in other comprehensive income since the instruments were determined to be perfectly effective at March 29, 2012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29, 2011. There were no amounts reclassified into current earnings due to ineffectiveness during the periods presented other than as described herein.</w:t>
      </w:r>
    </w:p>
    <w:p>
      <w:pPr>
        <w:spacing w:after="0" w:line="1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March 29, 2012 and December 29, 2011, the estimated fair value and line item caption of derivative instruments recorded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4"/>
          </w:tcPr>
          <w:p>
            <w:pPr>
              <w:jc w:val="right"/>
              <w:ind w:right="1460"/>
              <w:spacing w:after="0"/>
              <w:rPr>
                <w:sz w:val="20"/>
                <w:szCs w:val="20"/>
                <w:color w:val="auto"/>
              </w:rPr>
            </w:pPr>
            <w:r>
              <w:rPr>
                <w:rFonts w:ascii="Arial" w:cs="Arial" w:eastAsia="Arial" w:hAnsi="Arial"/>
                <w:sz w:val="14"/>
                <w:szCs w:val="14"/>
                <w:b w:val="1"/>
                <w:bCs w:val="1"/>
                <w:color w:val="auto"/>
                <w:w w:val="95"/>
              </w:rPr>
              <w:t>Liability Derivatives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19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8"/>
              </w:rPr>
              <w:t>As of March 29, 2012</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As of December 29, 2011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80" w:type="dxa"/>
            <w:vAlign w:val="bottom"/>
          </w:tcPr>
          <w:p>
            <w:pPr>
              <w:spacing w:after="0"/>
              <w:rPr>
                <w:sz w:val="11"/>
                <w:szCs w:val="11"/>
                <w:color w:val="auto"/>
              </w:rPr>
            </w:pPr>
          </w:p>
        </w:tc>
        <w:tc>
          <w:tcPr>
            <w:tcW w:w="15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2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08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Location</w:t>
            </w:r>
          </w:p>
        </w:tc>
        <w:tc>
          <w:tcPr>
            <w:tcW w:w="2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4"/>
                <w:szCs w:val="14"/>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Location</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88"/>
        </w:trPr>
        <w:tc>
          <w:tcPr>
            <w:tcW w:w="50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Derivatives designated as hedging instruments in cash flow</w:t>
            </w: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Current Liabilities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Pr>
          <w:p>
            <w:pPr>
              <w:spacing w:after="0"/>
              <w:rPr>
                <w:sz w:val="18"/>
                <w:szCs w:val="18"/>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Current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Other Liabilities</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Current Liabilities</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Current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Other Liabilities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18"/>
                <w:szCs w:val="18"/>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derivatives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condensed consolidated financial statements for the quarters ended March 29, 2012 and March 31, 2011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6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6"/>
              </w:rPr>
              <w:t>Unrealized Gain (Loss)</w:t>
            </w:r>
          </w:p>
        </w:tc>
        <w:tc>
          <w:tcPr>
            <w:tcW w:w="520" w:type="dxa"/>
            <w:vAlign w:val="bottom"/>
          </w:tcPr>
          <w:p>
            <w:pPr>
              <w:spacing w:after="0"/>
              <w:rPr>
                <w:sz w:val="14"/>
                <w:szCs w:val="14"/>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Realized Loss Recognized in</w:t>
            </w:r>
          </w:p>
        </w:tc>
      </w:tr>
      <w:tr>
        <w:trPr>
          <w:trHeight w:val="149"/>
        </w:trPr>
        <w:tc>
          <w:tcPr>
            <w:tcW w:w="4200" w:type="dxa"/>
            <w:vAlign w:val="bottom"/>
          </w:tcPr>
          <w:p>
            <w:pPr>
              <w:spacing w:after="0"/>
              <w:rPr>
                <w:sz w:val="12"/>
                <w:szCs w:val="12"/>
                <w:color w:val="auto"/>
              </w:rPr>
            </w:pPr>
          </w:p>
        </w:tc>
        <w:tc>
          <w:tcPr>
            <w:tcW w:w="3640" w:type="dxa"/>
            <w:vAlign w:val="bottom"/>
            <w:tcBorders>
              <w:right w:val="single" w:sz="8" w:color="auto"/>
            </w:tcBorders>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Recognized in NCM, Inc’s Other</w:t>
            </w:r>
          </w:p>
        </w:tc>
        <w:tc>
          <w:tcPr>
            <w:tcW w:w="520" w:type="dxa"/>
            <w:vAlign w:val="bottom"/>
          </w:tcPr>
          <w:p>
            <w:pPr>
              <w:spacing w:after="0"/>
              <w:rPr>
                <w:sz w:val="12"/>
                <w:szCs w:val="12"/>
                <w:color w:val="auto"/>
              </w:rPr>
            </w:pPr>
          </w:p>
        </w:tc>
        <w:tc>
          <w:tcPr>
            <w:tcW w:w="2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Interest on Borrowings</w:t>
            </w:r>
          </w:p>
        </w:tc>
      </w:tr>
      <w:tr>
        <w:trPr>
          <w:trHeight w:val="175"/>
        </w:trPr>
        <w:tc>
          <w:tcPr>
            <w:tcW w:w="4200" w:type="dxa"/>
            <w:vAlign w:val="bottom"/>
          </w:tcPr>
          <w:p>
            <w:pPr>
              <w:spacing w:after="0"/>
              <w:rPr>
                <w:sz w:val="15"/>
                <w:szCs w:val="15"/>
                <w:color w:val="auto"/>
              </w:rPr>
            </w:pPr>
          </w:p>
        </w:tc>
        <w:tc>
          <w:tcPr>
            <w:tcW w:w="3640" w:type="dxa"/>
            <w:vAlign w:val="bottom"/>
            <w:tcBorders>
              <w:bottom w:val="single" w:sz="8" w:color="auto"/>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7"/>
              </w:rPr>
              <w:t>Comprehensive Income (Pre-tax)</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702"/>
              <w:spacing w:after="0"/>
              <w:rPr>
                <w:sz w:val="20"/>
                <w:szCs w:val="20"/>
                <w:color w:val="auto"/>
              </w:rPr>
            </w:pPr>
            <w:r>
              <w:rPr>
                <w:rFonts w:ascii="Arial" w:cs="Arial" w:eastAsia="Arial" w:hAnsi="Arial"/>
                <w:sz w:val="14"/>
                <w:szCs w:val="14"/>
                <w:b w:val="1"/>
                <w:bCs w:val="1"/>
                <w:color w:val="auto"/>
                <w:w w:val="91"/>
              </w:rPr>
              <w:t>(Pre-tax)</w:t>
            </w:r>
          </w:p>
        </w:tc>
      </w:tr>
      <w:tr>
        <w:trPr>
          <w:trHeight w:val="142"/>
        </w:trPr>
        <w:tc>
          <w:tcPr>
            <w:tcW w:w="42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4"/>
          </w:tcPr>
          <w:p>
            <w:pPr>
              <w:ind w:left="720"/>
              <w:spacing w:after="0" w:line="142" w:lineRule="exact"/>
              <w:rPr>
                <w:sz w:val="20"/>
                <w:szCs w:val="20"/>
                <w:color w:val="auto"/>
              </w:rPr>
            </w:pPr>
            <w:r>
              <w:rPr>
                <w:rFonts w:ascii="Arial" w:cs="Arial" w:eastAsia="Arial" w:hAnsi="Arial"/>
                <w:sz w:val="14"/>
                <w:szCs w:val="14"/>
                <w:b w:val="1"/>
                <w:bCs w:val="1"/>
                <w:color w:val="auto"/>
                <w:w w:val="89"/>
              </w:rPr>
              <w:t>For the Quarters Ended</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29"/>
        </w:trPr>
        <w:tc>
          <w:tcPr>
            <w:tcW w:w="4200" w:type="dxa"/>
            <w:vAlign w:val="bottom"/>
          </w:tcPr>
          <w:p>
            <w:pPr>
              <w:spacing w:after="0"/>
              <w:rPr>
                <w:sz w:val="11"/>
                <w:szCs w:val="11"/>
                <w:color w:val="auto"/>
              </w:rPr>
            </w:pPr>
          </w:p>
        </w:tc>
        <w:tc>
          <w:tcPr>
            <w:tcW w:w="2020" w:type="dxa"/>
            <w:vAlign w:val="bottom"/>
            <w:gridSpan w:val="2"/>
          </w:tcPr>
          <w:p>
            <w:pPr>
              <w:ind w:left="720"/>
              <w:spacing w:after="0" w:line="129" w:lineRule="exact"/>
              <w:rPr>
                <w:sz w:val="20"/>
                <w:szCs w:val="20"/>
                <w:color w:val="auto"/>
              </w:rPr>
            </w:pPr>
            <w:r>
              <w:rPr>
                <w:rFonts w:ascii="Arial" w:cs="Arial" w:eastAsia="Arial" w:hAnsi="Arial"/>
                <w:sz w:val="14"/>
                <w:szCs w:val="14"/>
                <w:b w:val="1"/>
                <w:bCs w:val="1"/>
                <w:color w:val="auto"/>
              </w:rPr>
              <w:t>March 29,</w:t>
            </w:r>
          </w:p>
        </w:tc>
        <w:tc>
          <w:tcPr>
            <w:tcW w:w="1620" w:type="dxa"/>
            <w:vAlign w:val="bottom"/>
            <w:tcBorders>
              <w:right w:val="single" w:sz="8" w:color="auto"/>
            </w:tcBorders>
            <w:gridSpan w:val="3"/>
          </w:tcPr>
          <w:p>
            <w:pPr>
              <w:ind w:left="180"/>
              <w:spacing w:after="0" w:line="129"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March 29,</w:t>
            </w:r>
          </w:p>
        </w:tc>
        <w:tc>
          <w:tcPr>
            <w:tcW w:w="54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March 31,</w:t>
            </w:r>
          </w:p>
        </w:tc>
      </w:tr>
      <w:tr>
        <w:trPr>
          <w:trHeight w:val="161"/>
        </w:trPr>
        <w:tc>
          <w:tcPr>
            <w:tcW w:w="4200" w:type="dxa"/>
            <w:vAlign w:val="bottom"/>
          </w:tcPr>
          <w:p>
            <w:pPr>
              <w:spacing w:after="0"/>
              <w:rPr>
                <w:sz w:val="14"/>
                <w:szCs w:val="14"/>
                <w:color w:val="auto"/>
              </w:rPr>
            </w:pPr>
          </w:p>
        </w:tc>
        <w:tc>
          <w:tcPr>
            <w:tcW w:w="1480" w:type="dxa"/>
            <w:vAlign w:val="bottom"/>
          </w:tcPr>
          <w:p>
            <w:pPr>
              <w:jc w:val="right"/>
              <w:ind w:right="249"/>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940" w:type="dxa"/>
            <w:vAlign w:val="bottom"/>
          </w:tcPr>
          <w:p>
            <w:pPr>
              <w:jc w:val="right"/>
              <w:ind w:right="267"/>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34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2011</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8"/>
                <w:szCs w:val="18"/>
                <w:color w:val="auto"/>
              </w:rPr>
              <w:t>$(2.2)</w:t>
            </w:r>
          </w:p>
        </w:tc>
        <w:tc>
          <w:tcPr>
            <w:tcW w:w="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8"/>
                <w:szCs w:val="18"/>
                <w:color w:val="auto"/>
              </w:rPr>
              <w:t>$0.0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8"/>
                <w:szCs w:val="18"/>
                <w:color w:val="auto"/>
              </w:rPr>
              <w:t>$(4.6)</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$(4.9)</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of derivatives not designated as hedging instruments under ASC 815 on the condensed consolidated financial statements for the quarters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29, 2012 and March 31, 2011 were as follows (in millions):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86"/>
              </w:rPr>
              <w:t>Gain or (Loss) Recognized in Non-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3"/>
          </w:tcPr>
          <w:p>
            <w:pPr>
              <w:jc w:val="center"/>
              <w:ind w:left="40"/>
              <w:spacing w:after="0" w:line="149" w:lineRule="exact"/>
              <w:rPr>
                <w:sz w:val="20"/>
                <w:szCs w:val="20"/>
                <w:color w:val="auto"/>
              </w:rPr>
            </w:pPr>
            <w:r>
              <w:rPr>
                <w:rFonts w:ascii="Arial" w:cs="Arial" w:eastAsia="Arial" w:hAnsi="Arial"/>
                <w:sz w:val="14"/>
                <w:szCs w:val="14"/>
                <w:b w:val="1"/>
                <w:bCs w:val="1"/>
                <w:color w:val="auto"/>
                <w:w w:val="87"/>
              </w:rPr>
              <w:t>Operating Expenses (Pre-tax) for the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Quarters Ended</w:t>
            </w: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60" w:type="dxa"/>
            <w:vAlign w:val="bottom"/>
            <w:gridSpan w:val="3"/>
          </w:tcPr>
          <w:p>
            <w:pPr>
              <w:jc w:val="right"/>
              <w:ind w:right="952"/>
              <w:spacing w:after="0" w:line="142" w:lineRule="exact"/>
              <w:rPr>
                <w:sz w:val="20"/>
                <w:szCs w:val="20"/>
                <w:color w:val="auto"/>
              </w:rPr>
            </w:pPr>
            <w:r>
              <w:rPr>
                <w:rFonts w:ascii="Arial" w:cs="Arial" w:eastAsia="Arial" w:hAnsi="Arial"/>
                <w:sz w:val="14"/>
                <w:szCs w:val="14"/>
                <w:b w:val="1"/>
                <w:bCs w:val="1"/>
                <w:color w:val="auto"/>
                <w:w w:val="92"/>
              </w:rPr>
              <w:t>March 29, 2012</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March 31, 2011</w:t>
            </w:r>
          </w:p>
        </w:tc>
        <w:tc>
          <w:tcPr>
            <w:tcW w:w="100" w:type="dxa"/>
            <w:vAlign w:val="bottom"/>
          </w:tcPr>
          <w:p>
            <w:pPr>
              <w:spacing w:after="0"/>
              <w:rPr>
                <w:sz w:val="12"/>
                <w:szCs w:val="12"/>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on borrowings</w:t>
            </w:r>
          </w:p>
        </w:tc>
        <w:tc>
          <w:tcPr>
            <w:tcW w:w="2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912"/>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48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0"/>
        </w:trPr>
        <w:tc>
          <w:tcPr>
            <w:tcW w:w="4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Advertising revenue accounts for 83.8% and 83.5%, of consolidated revenue for the quarters ended March 29, 2012, and March 31, 2011, respectively. The following table presents revenues less directly identifiable expenses to arrive at operating income net of direct expenses for the advertising reportable segment, the combined Fathom Events operating segments, and network, administrative and unallocated costs.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6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w w:val="93"/>
              </w:rPr>
              <w:t>Quarter Ended March 29, 2012 (in millions)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center"/>
              <w:ind w:right="600"/>
              <w:spacing w:after="0" w:line="131" w:lineRule="exact"/>
              <w:rPr>
                <w:sz w:val="20"/>
                <w:szCs w:val="20"/>
                <w:color w:val="auto"/>
              </w:rPr>
            </w:pPr>
            <w:r>
              <w:rPr>
                <w:rFonts w:ascii="Arial" w:cs="Arial" w:eastAsia="Arial" w:hAnsi="Arial"/>
                <w:sz w:val="14"/>
                <w:szCs w:val="14"/>
                <w:color w:val="auto"/>
                <w:w w:val="88"/>
              </w:rPr>
              <w:t>Fathom</w:t>
            </w:r>
          </w:p>
        </w:tc>
        <w:tc>
          <w:tcPr>
            <w:tcW w:w="1360" w:type="dxa"/>
            <w:vAlign w:val="bottom"/>
            <w:gridSpan w:val="6"/>
          </w:tcPr>
          <w:p>
            <w:pPr>
              <w:jc w:val="center"/>
              <w:ind w:right="480"/>
              <w:spacing w:after="0" w:line="131" w:lineRule="exact"/>
              <w:rPr>
                <w:sz w:val="20"/>
                <w:szCs w:val="20"/>
                <w:color w:val="auto"/>
              </w:rPr>
            </w:pPr>
            <w:r>
              <w:rPr>
                <w:rFonts w:ascii="Arial" w:cs="Arial" w:eastAsia="Arial" w:hAnsi="Arial"/>
                <w:sz w:val="14"/>
                <w:szCs w:val="14"/>
                <w:color w:val="auto"/>
                <w:w w:val="94"/>
              </w:rPr>
              <w:t>Network,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8"/>
              </w:rPr>
              <w:t>Events</w:t>
            </w:r>
          </w:p>
        </w:tc>
        <w:tc>
          <w:tcPr>
            <w:tcW w:w="136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90"/>
              </w:rPr>
              <w:t>Administrative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76"/>
              </w:rPr>
              <w:t>and</w:t>
            </w:r>
          </w:p>
        </w:tc>
        <w:tc>
          <w:tcPr>
            <w:tcW w:w="136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86"/>
              </w:rPr>
              <w:t>and Unallocated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00" w:type="dxa"/>
            <w:vAlign w:val="bottom"/>
          </w:tcPr>
          <w:p>
            <w:pPr>
              <w:spacing w:after="0"/>
              <w:rPr>
                <w:sz w:val="13"/>
                <w:szCs w:val="13"/>
                <w:color w:val="auto"/>
              </w:rPr>
            </w:pPr>
          </w:p>
        </w:tc>
        <w:tc>
          <w:tcPr>
            <w:tcW w:w="102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85"/>
              </w:rPr>
              <w:t>Other</w:t>
            </w:r>
          </w:p>
        </w:tc>
        <w:tc>
          <w:tcPr>
            <w:tcW w:w="1360" w:type="dxa"/>
            <w:vAlign w:val="bottom"/>
            <w:gridSpan w:val="6"/>
          </w:tcPr>
          <w:p>
            <w:pPr>
              <w:jc w:val="center"/>
              <w:ind w:right="500"/>
              <w:spacing w:after="0" w:line="159" w:lineRule="exact"/>
              <w:rPr>
                <w:sz w:val="20"/>
                <w:szCs w:val="20"/>
                <w:color w:val="auto"/>
              </w:rPr>
            </w:pPr>
            <w:r>
              <w:rPr>
                <w:rFonts w:ascii="Arial" w:cs="Arial" w:eastAsia="Arial" w:hAnsi="Arial"/>
                <w:sz w:val="14"/>
                <w:szCs w:val="14"/>
                <w:color w:val="auto"/>
                <w:w w:val="83"/>
              </w:rPr>
              <w:t>Costs</w:t>
            </w:r>
          </w:p>
        </w:tc>
        <w:tc>
          <w:tcPr>
            <w:tcW w:w="140" w:type="dxa"/>
            <w:vAlign w:val="bottom"/>
          </w:tcPr>
          <w:p>
            <w:pPr>
              <w:spacing w:after="0"/>
              <w:rPr>
                <w:sz w:val="13"/>
                <w:szCs w:val="13"/>
                <w:color w:val="auto"/>
              </w:rPr>
            </w:pPr>
          </w:p>
        </w:tc>
        <w:tc>
          <w:tcPr>
            <w:tcW w:w="80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w w:val="83"/>
              </w:rPr>
              <w:t>Consolidated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$ 12.8</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20.5</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33.6</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  1.8</w:t>
            </w:r>
          </w:p>
        </w:tc>
        <w:tc>
          <w:tcPr>
            <w:tcW w:w="340" w:type="dxa"/>
            <w:vAlign w:val="bottom"/>
          </w:tcPr>
          <w:p>
            <w:pPr>
              <w:jc w:val="right"/>
              <w:ind w:right="18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w w:val="97"/>
              </w:rPr>
              <w:t>(18.4)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w w:val="93"/>
              </w:rPr>
              <w:t>Quarter Ended March 31, 2011 (in millions)</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center"/>
              <w:ind w:right="600"/>
              <w:spacing w:after="0" w:line="131" w:lineRule="exact"/>
              <w:rPr>
                <w:sz w:val="20"/>
                <w:szCs w:val="20"/>
                <w:color w:val="auto"/>
              </w:rPr>
            </w:pPr>
            <w:r>
              <w:rPr>
                <w:rFonts w:ascii="Arial" w:cs="Arial" w:eastAsia="Arial" w:hAnsi="Arial"/>
                <w:sz w:val="14"/>
                <w:szCs w:val="14"/>
                <w:color w:val="auto"/>
                <w:w w:val="88"/>
              </w:rPr>
              <w:t>Fathom</w:t>
            </w:r>
          </w:p>
        </w:tc>
        <w:tc>
          <w:tcPr>
            <w:tcW w:w="1360" w:type="dxa"/>
            <w:vAlign w:val="bottom"/>
            <w:gridSpan w:val="6"/>
          </w:tcPr>
          <w:p>
            <w:pPr>
              <w:jc w:val="center"/>
              <w:ind w:right="480"/>
              <w:spacing w:after="0" w:line="131" w:lineRule="exact"/>
              <w:rPr>
                <w:sz w:val="20"/>
                <w:szCs w:val="20"/>
                <w:color w:val="auto"/>
              </w:rPr>
            </w:pPr>
            <w:r>
              <w:rPr>
                <w:rFonts w:ascii="Arial" w:cs="Arial" w:eastAsia="Arial" w:hAnsi="Arial"/>
                <w:sz w:val="14"/>
                <w:szCs w:val="14"/>
                <w:color w:val="auto"/>
                <w:w w:val="94"/>
              </w:rPr>
              <w:t>Network,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8"/>
              </w:rPr>
              <w:t>Events</w:t>
            </w:r>
          </w:p>
        </w:tc>
        <w:tc>
          <w:tcPr>
            <w:tcW w:w="136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90"/>
              </w:rPr>
              <w:t>Administrative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76"/>
              </w:rPr>
              <w:t>and</w:t>
            </w:r>
          </w:p>
        </w:tc>
        <w:tc>
          <w:tcPr>
            <w:tcW w:w="136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86"/>
              </w:rPr>
              <w:t>and Unallocated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00" w:type="dxa"/>
            <w:vAlign w:val="bottom"/>
          </w:tcPr>
          <w:p>
            <w:pPr>
              <w:spacing w:after="0"/>
              <w:rPr>
                <w:sz w:val="13"/>
                <w:szCs w:val="13"/>
                <w:color w:val="auto"/>
              </w:rPr>
            </w:pPr>
          </w:p>
        </w:tc>
        <w:tc>
          <w:tcPr>
            <w:tcW w:w="102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85"/>
              </w:rPr>
              <w:t>Other</w:t>
            </w:r>
          </w:p>
        </w:tc>
        <w:tc>
          <w:tcPr>
            <w:tcW w:w="1360" w:type="dxa"/>
            <w:vAlign w:val="bottom"/>
            <w:gridSpan w:val="6"/>
          </w:tcPr>
          <w:p>
            <w:pPr>
              <w:jc w:val="center"/>
              <w:ind w:right="500"/>
              <w:spacing w:after="0" w:line="159" w:lineRule="exact"/>
              <w:rPr>
                <w:sz w:val="20"/>
                <w:szCs w:val="20"/>
                <w:color w:val="auto"/>
              </w:rPr>
            </w:pPr>
            <w:r>
              <w:rPr>
                <w:rFonts w:ascii="Arial" w:cs="Arial" w:eastAsia="Arial" w:hAnsi="Arial"/>
                <w:sz w:val="14"/>
                <w:szCs w:val="14"/>
                <w:color w:val="auto"/>
                <w:w w:val="83"/>
              </w:rPr>
              <w:t>Costs</w:t>
            </w:r>
          </w:p>
        </w:tc>
        <w:tc>
          <w:tcPr>
            <w:tcW w:w="140" w:type="dxa"/>
            <w:vAlign w:val="bottom"/>
          </w:tcPr>
          <w:p>
            <w:pPr>
              <w:spacing w:after="0"/>
              <w:rPr>
                <w:sz w:val="13"/>
                <w:szCs w:val="13"/>
                <w:color w:val="auto"/>
              </w:rPr>
            </w:pPr>
          </w:p>
        </w:tc>
        <w:tc>
          <w:tcPr>
            <w:tcW w:w="80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w w:val="83"/>
              </w:rPr>
              <w:t>Consolidated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$ 11.7</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15.6</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  1.</w:t>
            </w:r>
            <w:r>
              <w:rPr>
                <w:rFonts w:ascii="Arial" w:cs="Arial" w:eastAsia="Arial" w:hAnsi="Arial"/>
                <w:sz w:val="18"/>
                <w:szCs w:val="18"/>
                <w:u w:val="single" w:color="auto"/>
                <w:color w:val="auto"/>
              </w:rPr>
              <w:t>8</w:t>
            </w:r>
          </w:p>
        </w:tc>
        <w:tc>
          <w:tcPr>
            <w:tcW w:w="340" w:type="dxa"/>
            <w:vAlign w:val="bottom"/>
          </w:tcPr>
          <w:p>
            <w:pPr>
              <w:jc w:val="right"/>
              <w:ind w:right="18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w w:val="97"/>
              </w:rPr>
              <w:t>(18.0)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a summary of revenues by category (in millions):</w:t>
            </w: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Quarters Ended</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29,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w w:val="91"/>
              </w:rPr>
              <w:t>Founding Member Advertising Revenue from Beverage Concessionaire Agreements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8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1</w:t>
            </w:r>
          </w:p>
        </w:tc>
        <w:tc>
          <w:tcPr>
            <w:tcW w:w="4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u w:val="single" w:color="auto"/>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1, 2012, the Company declared a cash dividend of $0.22 per share (approximately $12.0 million) on each share of the Company’s common stock (including outstanding restricted stock) to stockholders of record on May 17, 2012 to be paid on May 31, 2012.</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the 6.00% Senior Secured Notes due in 2022 ( the “Notes”) offered as described below, NCM LLC amended each of the ESAs with the founding members to permit a security interest in the ESAs under the security documents related to the Notes offering.</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27, 2012, NCM LLC entered into an amendment (the “Amendment”) to its senior secured credit facility (the “Credit Facility”) to, among other things, extend $105.0 million of its revolving credit facility to five years from April 27, 2012, subject to acceleration if the term loans under the Credit Facility are not repaid, refinanced or extended by December 31, 2014, and amend covenants to permit the issuance of a series of senior secured notes. Pursuant to the terms and conditions thereof, the Amendment became effective upon the completion of the private placement of the Notes on April 27, 2012. Barclays Bank PLC, is administrative agent for certain lenders that are party to the Credit Facility. The $14.0 million outstanding principal of the revolving credit loans formerly held by Lehman Brothers Holdings, Inc. will not be repaid in connection with any future prepayments of revolving credit loans and mature on December 31, 2014.</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On April 27, 2012, NCM LLC completed a private placement of $400.0 million in aggregate principal amount of the Notes. The Notes have a maturity date of April 15, 2022 and pay interest semi-annually in arrears on April 15 and October 15 of each year, commencing October 15, 2012. The Notes are senior secured obligations of NCM LLC,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NCM LLC’s existing senior secured credit facility and, subject to certain exceptions, share in the same collateral that secures NCM LLC’s obligations under its existing senior secured credit facility.</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net proceeds were used to repay $325.0 million of NCM LLC’s outstanding term loan debt under its existing senior secured credit facility, approximately $25.0 million of outstanding debt under its revolving credit agreement and approximately $40.0 million to terminate the swap agreements associated with the term loan borrowings. Proceeds were also used for payment of fees in connection with the offering and the related credit facility amendment, including the amendment fee to lenders and transaction expenses.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27, 2012, the Company amended its existing interest rate swap agreements with Morgan Stanley Capital Services Inc., Credit Suisse International, JPMorgan Chase Bank NA and Barclays Bank PLC, terminating a notional amount equal to $325.0 million (the aggregate amount of the term loan prepayment) such that 100% of the Company’s interest rate exposure relating to the remaining $225.0 million term loan debt balance will remain hedged at 6.484%. Based on the Company’s preliminary analysis of the impact from the partial swap terminations, the Company expects in the second quarter of 2012 to record a charge to interest expense of approximately $25.0 to $30.0 million.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NCM, Inc., in its capacity as tax matters partners for NCM LLC, received a “60 Day Letter” from the IRS in connection with the examination of NCM LLC’s federal tax return for the periods ended December 27, 2007 and January 1, 2009. The 60 Day Letter, dated April 25, 2012, notified NCM LLC that the IRS intended to adjust partnership items unless a written letter of protest is received by the IRS within 60 days of the date of the letter. The adjustments proposed by the IRS in the 60 Day Letter are materially similar to the adjustments proposed in the NOPA received in September 2011( refer to Note 1). The Company believes the IRS’ position lacks merit and intends to dispute the adjustments through the administrative appeals process.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29, 2011.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29, 2011. In the following discussion and analysis, the term net income (loss) refers to net income (loss)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NCM LLC operates the largest digital in-theatre network in North America, for the distribution of advertising, and Fathom Events. Our revenue is principally derived from the sale of advertising and, to a lesser extent, from our Fathom Events business. We have long-term ESAs with NCM LLC’s founding members and multi-year agreements with several network affiliates. The ESAs with the founding members and network affiliate agreements grant us exclusive rights, subject to limited exceptions, to sell advertising and Fathom event services in those theatres. Our advertising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lobby entertainment network (“LEN”) programming and Fathom Event programming are distributed across our proprietary digital content network (“DCN”) and live digital broadcast network (“DBN”). Approximately 96% of the aggregate founding member and network affiliate theatre attendance is generated by theatres connected to our DCN.</w:t>
      </w:r>
    </w:p>
    <w:p>
      <w:pPr>
        <w:spacing w:after="0" w:line="14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officers, managers and staff to discuss and analyze operating results and address significant variances to budget in an effort to identify trends and changes in our business. We focus on many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and location, as well as, our operating cash flow and related financial leverage and revolving credit facility to ensure that there is adequate cash availability to fund our debt obligations and current and future dividends.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February 24, 2012 for the Company’s fiscal year ended December 29,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operating data and Adjusted OIBDA. See “—Non-GAAP Financial Measures” below for a discussion of the calculation of Adjusted OIBDA and reconciliation to operating income.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color w:val="auto"/>
              </w:rPr>
              <w:t>(In millions, except per share and per attendee data)</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Quarters Ended</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29, 2012</w:t>
            </w: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March 31,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12"/>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Adjusted OIBDA margin</w:t>
            </w:r>
          </w:p>
        </w:tc>
        <w:tc>
          <w:tcPr>
            <w:tcW w:w="300" w:type="dxa"/>
            <w:vAlign w:val="bottom"/>
          </w:tcPr>
          <w:p>
            <w:pPr>
              <w:spacing w:after="0"/>
              <w:rPr>
                <w:sz w:val="18"/>
                <w:szCs w:val="18"/>
                <w:color w:val="auto"/>
              </w:rPr>
            </w:pPr>
          </w:p>
        </w:tc>
        <w:tc>
          <w:tcPr>
            <w:tcW w:w="1580" w:type="dxa"/>
            <w:vAlign w:val="bottom"/>
            <w:gridSpan w:val="2"/>
          </w:tcPr>
          <w:p>
            <w:pPr>
              <w:jc w:val="right"/>
              <w:ind w:right="772"/>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NCM, Inc.</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Loss per NCM, Inc. Basic Share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52"/>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NCM, Inc. Diluted Share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23"/>
        </w:trPr>
        <w:tc>
          <w:tcPr>
            <w:tcW w:w="660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12"/>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169.0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12"/>
              <w:spacing w:after="0"/>
              <w:rPr>
                <w:sz w:val="20"/>
                <w:szCs w:val="20"/>
                <w:color w:val="auto"/>
              </w:rPr>
            </w:pPr>
            <w:r>
              <w:rPr>
                <w:rFonts w:ascii="Arial" w:cs="Arial" w:eastAsia="Arial" w:hAnsi="Arial"/>
                <w:sz w:val="18"/>
                <w:szCs w:val="18"/>
                <w:color w:val="auto"/>
              </w:rPr>
              <w:t>0.392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operating income (loss) before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OIBDA and Adjusted OIBDA do not reflect the Regal Consolidated Theatres integration payments. The integration payments received are added to Adjusted OIBDA to determine our compliance with financial covenants under our senior secured credit facility. Regal made Consolidated Theatres payments to NCM LLC through June 2011 pursuant to the ESAs, which were $0.2 million for the quarter ended March 31, 2011.</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Quarter Ended</w:t>
            </w:r>
          </w:p>
        </w:tc>
        <w:tc>
          <w:tcPr>
            <w:tcW w:w="1560" w:type="dxa"/>
            <w:vAlign w:val="bottom"/>
            <w:gridSpan w:val="4"/>
          </w:tcPr>
          <w:p>
            <w:pPr>
              <w:ind w:left="4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3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29, 2012</w:t>
            </w:r>
          </w:p>
        </w:tc>
        <w:tc>
          <w:tcPr>
            <w:tcW w:w="156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 2011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OIBDA</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1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9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79.1</w:t>
            </w:r>
          </w:p>
        </w:tc>
        <w:tc>
          <w:tcPr>
            <w:tcW w:w="5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60" w:hanging="452"/>
        <w:spacing w:after="0" w:line="268"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results of operations data for the quarters ended March 29, 2012 and March 31, 2011 were derived from the unaudited condensed consolidated financial statements and accounting records of NCM, Inc. and should be read in conjunction with the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Quarters Ended March 29, 2012 and March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March 29, 2012 was $79.1 million compared to $70.8 million for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2011, an increase of $8.3 million, or 11.7%. The increase in total revenue was the result of an increase in total advertising revenue of $7.2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12.2% (including a 19.5% increase in revenue from our founding member beverage concessionaire agreements, or “beverage revenue”) and a $1.1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9.4%, increase in Fathom Events revenue.</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National advertising revenues of $55.4 million (including $9.8 million of beverage revenue) for the quarter ended March 29, 2012 increased 19.1% from $46.5 million (including $8.2 million of beverage revenue) for the quarter ended March 31, 2011. National advertising revenue (excluding beverage revenue) for the quarter ended March 29, 2012 increased $7.3 million, or 19.1%, to $45.6 million compared to $38.3 million for the quarter ended March 31, 2011. This increase was primarily due to an increase in lower priced “airplane” deals and more aggressive pricing strategies designed to increase inventory utilization as well as a $2.0 million increase in content partner spending for the quarter ended March 29, 2012. Despite a 28.1% increase in advertising impressions available for sale compared to the prior year period, these aggressive selling tactics contributed to an increase in inventory utilization (excluding beverage revenue) to 76.4% for the quarter ended March 29, 2012 from 71.0% for the quarter ended March 31, 2011. Inventory utilization is calculated based on eleven 30-second salable national advertising units in our pre-show, which can be expanded should market demand dictate. A softer scatter market and our focus on increasing inventory utilization contributed to an 11.5% decrease in national advertising CPM’s (excluding beverage revenue). The 19.5% increase in payments from the founding members for their beverage concessionaire agreements was due primarily to the impact of the increase in founding member attendance for the first quarter of</w:t>
      </w:r>
    </w:p>
    <w:p>
      <w:pPr>
        <w:spacing w:after="0" w:line="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2012 as compared to the 2011 period combined with a slight increase in the beverage revenue CPM. The increase in founding member attendance reflects a more favorable film release schedule.</w:t>
      </w:r>
    </w:p>
    <w:p>
      <w:pPr>
        <w:spacing w:after="0" w:line="13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Local advertising revenue decreased $1.7 million, or 13.5%, to $10.9 million for the quarter ended March 29, 2012 compared to $12.6 million for the quarter ended March 31, 2011. The Company’s number of local advertising contracts increased 0.2%, while the average contract value decreased 12.4% due to a decrease in the number of larger regional clients or nationally recognized clients placing ads regionally. Local revenue per theatre attendee decreased 33.3% to $0.06 per attendee for the first quarter of 2012 compared to $0.09 for the first quarter of 2011 due to the local advertising revenue decrease and theatre network attendance increase of 26.9%.</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Total advertising revenue (including beverage revenue) per attendee for the quarter ended March 29, 2012 decreased 11.7%. Total advertising revenue per attendee (excluding beverage revenue) decreased 12.6% to $0.334 from $0.382 for the 2011 period. The decrease in the advertising revenue per attendee is due to the impact of a 12.2% increase in total advertising revenue (including beverage revenue), combined with the 26.9% increase in our theatre network attendance.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Fathom Events revenue increased 9.4%, to $12.8 million for the quarter ended March 29, 2012 as compared to $11.7 million for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31, 2011. Our Fathom Consumer events revenue increased $1.7 million, or 21.5%, due to a 56.3% increase in the number of event nights offset by a 13.5%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decrease in revenue per event. This net increase was offset by a $0.6 million, or 15.8%, decrease in Fathom Business events revenue due to the wind-down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Fathom Business division during the first quarter of 2012.</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quarter ended March 29, 2012 were $62.1 million, an increase of 11.3% compared to $55.8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 ended March 31, 2011. Set forth below is a discussion of the operating expenses.</w:t>
      </w:r>
    </w:p>
    <w:p>
      <w:pPr>
        <w:spacing w:after="0" w:line="51"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of $4.7 million for the quarter ended March 29, 2012 increased 34.3% from $3.5 million for the quarter ended March 31, 2011. This increase was primarily the result of the $1.5 million increase in payments made to our advertising affiliates due to the increase in national advertising revenue (excluding beverage revenue) as well as an increase in network affiliate screens. Network affiliate screens represented 20.0% of total network screens for the first quarter of 2012 versus 13.3% for the 2011 period, primarily due to the addition of 13 new network affiliates with 1,459 screens since the end of the first quarter of 2011.</w:t>
      </w:r>
    </w:p>
    <w:p>
      <w:pPr>
        <w:spacing w:after="0" w:line="62" w:lineRule="exact"/>
        <w:rPr>
          <w:sz w:val="20"/>
          <w:szCs w:val="20"/>
          <w:color w:val="auto"/>
        </w:rPr>
      </w:pPr>
    </w:p>
    <w:p>
      <w:pPr>
        <w:jc w:val="both"/>
        <w:ind w:left="460" w:right="240"/>
        <w:spacing w:after="0" w:line="306"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$9.0 million for the quarter ended March 29, 2012 increased 18.4% compared to $7.6 million during the quarter ended March 31, 2011. The increase was primarily the result of an increase in content payments and revenue share amounts to theatre circuits related to the higher revenue generated by the Fathom Consumer division as well as other variable event expenses.</w:t>
      </w:r>
    </w:p>
    <w:p>
      <w:pPr>
        <w:spacing w:after="0" w:line="2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$5.1 million for the quarter ended March 29, 2012 increased 4.1% from $4.9 million for the quarter ended March 31, 2011 primarily due to an increase in network screens of 1,877, or 10.9%.</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$15.7 million for the quarter ended March 29, 2012 compared to $12.1 million for the quarter ended</w:t>
      </w:r>
    </w:p>
    <w:p>
      <w:pPr>
        <w:spacing w:after="0" w:line="38"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March 31, 2011. The 29.8% increase for first quarter of 2012 versus the 2011 period was the result of a $3.6 million increase related to a 20.5% increase in founding member attendance and the impact of the annual 5% rate increase per digital screen and 8% increase in payment per patron (payment per patron increase occurs every five years with the first such increase taking effect in 2012) as specified in the ESA, and payments to our founding members associated with our access to the higher quality digital cinema equipment.</w:t>
      </w:r>
    </w:p>
    <w:p>
      <w:pPr>
        <w:spacing w:after="0" w:line="6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of $14.5 million for the quarter ended March 29, 2012 decreased from $14.6 million for the quarter ended March 31, 2011. This slight decrease was primarily due to lower local sales commissions.</w:t>
      </w:r>
    </w:p>
    <w:p>
      <w:pPr>
        <w:spacing w:after="0" w:line="51" w:lineRule="exact"/>
        <w:rPr>
          <w:sz w:val="20"/>
          <w:szCs w:val="20"/>
          <w:color w:val="auto"/>
        </w:rPr>
      </w:pPr>
    </w:p>
    <w:p>
      <w:pPr>
        <w:jc w:val="both"/>
        <w:ind w:left="460" w:right="280"/>
        <w:spacing w:after="0" w:line="306"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quarter ended March 29, 2012 were $8.2 million compared to $8.5 million for the quarter ended March 31, 2011, a decrease of 3.5%. This decrease was primarily due to lower non-cash share-based compensation offset by higher cash incentive compensation expense versus 2011 to reflect anticipated achievement of internal operating targets.</w:t>
      </w:r>
    </w:p>
    <w:p>
      <w:pPr>
        <w:spacing w:after="0" w:line="2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$0.3 million to $4.9 million for the quarter ended March 29, 2012, compared to $4.6 million for the quarter ended March 31, 2011, primarily as a result of increased amortization expense recognized on intangible assets for network affiliate agreements added during 2011.</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Net loss</w:t>
      </w:r>
      <w:r>
        <w:rPr>
          <w:rFonts w:ascii="Arial" w:cs="Arial" w:eastAsia="Arial" w:hAnsi="Arial"/>
          <w:sz w:val="16"/>
          <w:szCs w:val="16"/>
          <w:color w:val="auto"/>
        </w:rPr>
        <w:t>. Net loss generated for the quarter ended March 29, 2012 was $0.9 million, or a 10.0% decrease, from $1.0 million of net loss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2011. The increase in operating income of 13.3% was offset by the $3.2 million, or 29.4%, increase in interest expense due to the third quarter 2011 amendment of our credit facility and completion of the issuance of $200.0 million in 7.875% Senior Notes due in 2021 (see Note 4 to the unaudited condensed consolidated financial statements included elsewhere in this document). The change in derivative fair value resulted in a pre-tax non-cash gain of $0.4 million for the quarter ended March 29, 2012 compared to a pre-tax non-cash gain of $1.2 million for the quarter ended March 30, 2011, due to the change in the fair value of an interest rate hedge associated with our senior secured credit facility from decreases in market interest rates. Net income attributable to noncontrolling interests decreased $1.0 million to $1.6 million for the quarter ended March 29, 2012 due to lower levels of NCM LLC net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current macro-economic environment and its impact on national television scatter advertising market in general, present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increasing scale of our national network and the related increase in salable advertising impressions, the effectiveness of cinema advertising relative to other advertising mediums, and the effectiveness and quality and number of Fathom programming events and the number of live broadcast locations. Subsequent to the first quarter of 2011, we added several new affiliate theatres to our national network including: Ayrsley Theatre Operators, Cinema Centers, Coming Attractions Theatres, Inc., Dickinson Theatres, Inc., Digital Cinema Destinations, additional Far Away Entertainment (Bainbridge) theatres, King Theatres, Odyssey Entertainment, Inc. (CineMagic Theatres) and I.T.B.S. (Southeast Cinemas), Rave Cinemas, LLC, Showplex Cinemas, Inc, Star Cinema Grill, Texas Cinemas, Corp. and VSS Southern Theatres, and in the second quarter of 2012 we have contracted to add United Entertainment Corp. and we are discussing network affiliate relationships with other theatre circuits that could be added during 2012. In total, these contracted new founding member and affiliate theatres that have joined our network subsequent to the first quarter of 2011 are expected to add approximately 44 million new attendees on a full-year pro-forma basis, which we expect will result in approximately 616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2012 and beyond. We are discussing network affiliate relationships with other theatre circuits that could be signed during 2012 and are expected to add additional attendees and advertising impressions to our network in 2012 and beyond. We believe that the continued growth of our network will strengthen our selling proposition and competitive positioning versus other national and regional advertising platforms.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2012 and in 2011, we sold 60 seconds to our founding members. We expect to continue to sell 60 seconds of time to the founding members in the remainder of 2012 and for the foreseeable future.</w:t>
      </w:r>
    </w:p>
    <w:p>
      <w:pPr>
        <w:spacing w:after="0" w:line="140"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In consideration for NCM LLC’s access to the founding members’ theatre attendees for on-screen advertising and use of off-screen locations within the founding members’ theatres for the LEN and lobby promotions, the founding members receive a monthly theatre access fee under the ESAs. The theatre access fee is composed of a fixed payment per patron and a fixed payment per digital screen. The payment per theatre patron will increase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Beginning on October 1, 2010, the theatre access fee paid to the members of NCM LLC included an additional fee for access to the higher quality digital cinema systems for our advertising and Fathom business pursuant to an amendment of the ESAs entered into during 2010, which will increase in 2012 as additional screens will be equipped with the new digital cinema equipment and increases annually by 5%. At the end of the current quarter, 53.3% of our network screens were showing advertising on founding member digital cinema projectors versus 19.1% at the end of the first quarter of 2011.</w:t>
      </w:r>
    </w:p>
    <w:p>
      <w:pPr>
        <w:spacing w:after="0" w:line="10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discussed in Notes 1 and 6 to the unaudited condensed consolidated financial statements included elsewhere in this document, NCM LLC’s calendar years 2007 and 2008 tax returns are currently under examination by the IRS and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will contest, the IRS’ positions. Should the IRS claims prevail, the Company could be required to pay additional amounts to the founding members under the tax sharing agreement and then could request refunds from various federal and state taxing authorities, and thus it is not expected to have a material adverse impact on cash balances or cash flow of the Company.</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April 27, 2012 we amended our credit facility agreement and completed a private placement of $400.0 million in aggregate principal amount of 6.00% Senior Secured Notes due 2022 (“the Notes”). A portion of the proceeds were used to prepay $325.0 million of outstanding term loan borrowings under our existing senior secured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credit facility, approximately $25.0 million of outstanding debt under our revolving credit agreement and approximately $41.0 million to terminate the swap agreements associated with the term loan borrowings. In conjunction with this bond placement we also restructured our existing revolving credit agreement to extend at least $105.0 million of our revolving credit facility and amend covenants to permit the issuance of the Notes. As a result of these transactions, we have significantly extended the maturities of our debt structure as well as increased our liquidity. As a result of the debt restructurings, our interest expense on borrowings is projected to increase approximately $6 million for the remainder of 2012 compared to the comparable period of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March 29, 2012, our cash, cash equivalents and short-term and long-term marketable securities balance was $83.7 million, a decrease of $14.4 million compared to the balance of $98.1 million as of December 29, 2011. The decrease in cash, cash equivalent and marketable securities at March 29, 2012, combined with a $48.0 million of borrowing availability on our revolving credit facility, resulted in total liquidity availability of $131.7 million or a $41.4 million decrease versus December 29, 2011. Compared to the balance at March 31, 2011 of $64.8 million, our cash, cash equivalents and short-term and long-term marketable securities balance as of March 29, 2012 increased $18.9 million. At March 31, 2011, our total liquidity availability was $91.8 million, $39.9 million below the total liquidity availability at March 29, 2012. Our cash balances will fluctuate due to the seasonality of our business and related timing of collections of accounts receivable balances and operating expenditure payments, as well as available cash payments (as defined) to NCM LLC’s founding members, interest payments on our term loan and Senior Notes, and principal payments on debt, income tax payments, tax sharing payments to our founding members and quarterly dividends to NCM, Inc’s common shareholders.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Quarters Ended</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March 29, 2012</w:t>
            </w:r>
          </w:p>
        </w:tc>
        <w:tc>
          <w:tcPr>
            <w:tcW w:w="9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March 31,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CEEFF"/>
          </w:tcPr>
          <w:p>
            <w:pPr>
              <w:spacing w:after="0"/>
              <w:rPr>
                <w:sz w:val="18"/>
                <w:szCs w:val="18"/>
                <w:color w:val="auto"/>
              </w:rPr>
            </w:pPr>
          </w:p>
        </w:tc>
        <w:tc>
          <w:tcPr>
            <w:tcW w:w="22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Investing cash flow</w:t>
            </w:r>
          </w:p>
        </w:tc>
        <w:tc>
          <w:tcPr>
            <w:tcW w:w="25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2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change in operating cash flows for the quarter ended March 29, 2012 versus the quarter ended March 31, 2011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timing of the collection of accounts receivable balances, the timing of payments for income taxes and payments under the tax sharing agreement, and normal operating expenses.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change in investing cash flows for the quarter ended March 29, 2012 decreased from the quarter ended March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proceeds from the sale of marketable securities such as commercial paper offset by the use of cash to purchase intangible assets associated with our advertising affiliate contracts.</w:t>
      </w:r>
    </w:p>
    <w:p>
      <w:pPr>
        <w:spacing w:after="0" w:line="59"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financing cash flows for the quarter ended March 29, 2012 versus the quarter ended March 31, 2011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net revolver activity.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is available cash distributions from NCM LLC</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existing cash balances and marketable securities, which at March 29, 2012 were $74.9 million. NCM LLC’s primary sources of liquidity and capital resources are its operating activities and availability under its senior secured revolving credit facility and cash on hand. Refer to the audited condensed financial statements and notes thereto included in the Company’s annual report on Form 10-K filed for the fiscal year ended December 29, 2011 for a detailed discussion of the debt transactions in the third quarter of 2011.</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in advertising, interest on borrowings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quarter ended March 29, 2012 (which will be made during the second quarter of 2012) was $3.3 million, of which $1.6 million was distributed to NCM, Inc. NCM, Inc. expects to use cash received from the available cash distributions and its cash balances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fund income taxes, payments associated with the tax sharing agreement with the founding members and current and future dividends as declared by the board of directors, including a dividend declared in April 2012 of $0.22 per share (approximately $12.0 million) which will be paid on May 31, 2012. Distributions from NCM LLC and NCM, Inc. cash balances should be sufficient to fund NCM, Inc.’s tax sharing payments to the founding member circuits,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discussed in more detail in Note 10, to the unaudited condensed consolidated financial statements included elsewhere in this document, on April 27, 2012 the Company finalized a debt restructuring that involved a new $400.0 million 10-year senior secured bond, the refinancing of $325.0 million of our term loan due February 2015 and reducing approximately $25.0 million of the outstanding balance under our revolving credit facility while extending the maturity through April 2017. These changes to the Company’s debt structure have extended the average maturity by over three years and increased our liquidity, while not meaningfully impacting our free cash flow.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29, 2011 and incorporated by reference herein. As of March 29, 2012, there were no significant changes in those critical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29, 2011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There were no material changes to our contractual obligations as of March 29, 2012, however in April 2012 we completed a restructuring of our indebtedness. Refer to Note 10 to the unaudited condensed consolidated financial statements included elsewhere in this document and “—Known Trends and Uncertainties” above for a detailed discussion of the debt transactions in the second quarter of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Advertising expenditures and theatre attendance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2010 and 2011.</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9"/>
              </w:rPr>
              <w:t>Second</w:t>
            </w:r>
          </w:p>
        </w:tc>
        <w:tc>
          <w:tcPr>
            <w:tcW w:w="24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Third</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266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Borders>
              <w:bottom w:val="single" w:sz="8" w:color="CCEEFF"/>
            </w:tcBorders>
          </w:tcPr>
          <w:p>
            <w:pPr>
              <w:spacing w:after="0"/>
              <w:rPr>
                <w:sz w:val="14"/>
                <w:szCs w:val="14"/>
                <w:color w:val="auto"/>
              </w:rPr>
            </w:pPr>
          </w:p>
        </w:tc>
      </w:tr>
      <w:tr>
        <w:trPr>
          <w:trHeight w:val="210"/>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FY 2010</w:t>
            </w:r>
          </w:p>
        </w:tc>
        <w:tc>
          <w:tcPr>
            <w:tcW w:w="28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FY 2011</w:t>
            </w:r>
          </w:p>
        </w:tc>
        <w:tc>
          <w:tcPr>
            <w:tcW w:w="3760" w:type="dxa"/>
            <w:vAlign w:val="bottom"/>
            <w:gridSpan w:val="3"/>
          </w:tcPr>
          <w:p>
            <w:pPr>
              <w:jc w:val="right"/>
              <w:ind w:right="260"/>
              <w:spacing w:after="0"/>
              <w:rPr>
                <w:sz w:val="20"/>
                <w:szCs w:val="20"/>
                <w:color w:val="auto"/>
              </w:rPr>
            </w:pPr>
            <w:r>
              <w:rPr>
                <w:rFonts w:ascii="Arial" w:cs="Arial" w:eastAsia="Arial" w:hAnsi="Arial"/>
                <w:sz w:val="18"/>
                <w:szCs w:val="18"/>
                <w:color w:val="auto"/>
              </w:rPr>
              <w:t>16.3%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26.2%</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31.2%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356"/>
        </w:trPr>
        <w:tc>
          <w:tcPr>
            <w:tcW w:w="2660" w:type="dxa"/>
            <w:vAlign w:val="bottom"/>
          </w:tcPr>
          <w:p>
            <w:pPr>
              <w:spacing w:after="0"/>
              <w:rPr>
                <w:sz w:val="24"/>
                <w:szCs w:val="24"/>
                <w:color w:val="auto"/>
              </w:rPr>
            </w:pPr>
          </w:p>
        </w:tc>
        <w:tc>
          <w:tcPr>
            <w:tcW w:w="2880" w:type="dxa"/>
            <w:vAlign w:val="bottom"/>
          </w:tcPr>
          <w:p>
            <w:pPr>
              <w:jc w:val="right"/>
              <w:ind w:right="572"/>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primary market risk to which we are exposed is interest rate risk. We have entered into variable-to-fixed interest rate swap arrangements economically hedging the entire $550.0 million term loan outstanding at a fixed interest rate of 6.484%. The 7.875% Senior Notes due in 2021 are at a fixed rate, and therefore are not subject to market risk. At March 29, 2012 the only interest rate risk that we are exposed to is related to our $119.0 million revolving credit facility and thus a 100 basis point fluctuation in market interest rates would have the effect of increasing or decreasing our cash interest expense by approximately $0.7 million for an annual period on the $71.0 million outstanding on our revolver. Because each of our interest rate swaps was in a liability position at March 29, 2012, we are not currently exposed to counterparty risk related to the swaps. For a discussion of market risks, see Item 7A. “Quantitative and Qualitative Disclosures About Market Risk” contained in our annual report on Form 10-K for the fiscal year ended December 29, 2011 and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March 29, 2012,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March 29, 2012 were effective.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March 29, 2012 that have materially affected, or are reasonably likely to materially affect, the Company’s internal controls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24, 2012 for the fiscal year ended December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Purchases of Securities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(c)</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Total Number of</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right="560"/>
              <w:spacing w:after="0" w:line="135" w:lineRule="exact"/>
              <w:rPr>
                <w:sz w:val="20"/>
                <w:szCs w:val="20"/>
                <w:color w:val="auto"/>
              </w:rPr>
            </w:pPr>
            <w:r>
              <w:rPr>
                <w:rFonts w:ascii="Arial" w:cs="Arial" w:eastAsia="Arial" w:hAnsi="Arial"/>
                <w:sz w:val="14"/>
                <w:szCs w:val="14"/>
                <w:color w:val="auto"/>
                <w:w w:val="81"/>
              </w:rPr>
              <w:t>Shares</w:t>
            </w: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1"/>
              </w:rPr>
              <w:t>(a)</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(b)</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1"/>
              </w:rPr>
              <w:t>Purchased as</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Maximum 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Total</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4"/>
              </w:rPr>
              <w:t>Average</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Part of Publicly</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Approximate Dollar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Number of</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7"/>
              </w:rPr>
              <w:t>Price</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Announced</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4"/>
              </w:rPr>
              <w:t>Shares that may yet be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1"/>
              </w:rPr>
              <w:t>Shares</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Paid Per</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Plans</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5"/>
              </w:rPr>
              <w:t>Purchased under the Plans or</w:t>
            </w:r>
          </w:p>
        </w:tc>
        <w:tc>
          <w:tcPr>
            <w:tcW w:w="0" w:type="dxa"/>
            <w:vAlign w:val="bottom"/>
          </w:tcPr>
          <w:p>
            <w:pPr>
              <w:spacing w:after="0"/>
              <w:rPr>
                <w:sz w:val="1"/>
                <w:szCs w:val="1"/>
                <w:color w:val="auto"/>
              </w:rPr>
            </w:pPr>
          </w:p>
        </w:tc>
      </w:tr>
      <w:tr>
        <w:trPr>
          <w:trHeight w:val="179"/>
        </w:trPr>
        <w:tc>
          <w:tcPr>
            <w:tcW w:w="3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8"/>
              </w:rPr>
              <w:t>Period</w:t>
            </w:r>
          </w:p>
        </w:tc>
        <w:tc>
          <w:tcPr>
            <w:tcW w:w="5600" w:type="dxa"/>
            <w:vAlign w:val="bottom"/>
          </w:tcPr>
          <w:p>
            <w:pPr>
              <w:spacing w:after="0"/>
              <w:rPr>
                <w:sz w:val="15"/>
                <w:szCs w:val="15"/>
                <w:color w:val="auto"/>
              </w:rPr>
            </w:pPr>
          </w:p>
        </w:tc>
        <w:tc>
          <w:tcPr>
            <w:tcW w:w="114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3"/>
              </w:rPr>
              <w:t>Purchased</w:t>
            </w:r>
          </w:p>
        </w:tc>
        <w:tc>
          <w:tcPr>
            <w:tcW w:w="100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85"/>
              </w:rPr>
              <w:t>Share</w:t>
            </w:r>
          </w:p>
        </w:tc>
        <w:tc>
          <w:tcPr>
            <w:tcW w:w="140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5"/>
              </w:rPr>
              <w:t>or Programs</w:t>
            </w: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5"/>
              </w:rPr>
              <w:t>Programs</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30, 2011 through January 26, 2012 (1)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10,401</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$12.43</w:t>
            </w:r>
          </w:p>
        </w:tc>
        <w:tc>
          <w:tcPr>
            <w:tcW w:w="5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January 27, 2012 through February 23, 2012</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24, 2012 through March 29, 2012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120,310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$15.23</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funding the recipient’s tax withholding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38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800" w:type="dxa"/>
            <w:vAlign w:val="bottom"/>
          </w:tcPr>
          <w:p>
            <w:pPr>
              <w:spacing w:after="0"/>
              <w:rPr>
                <w:sz w:val="14"/>
                <w:szCs w:val="14"/>
                <w:color w:val="auto"/>
              </w:rPr>
            </w:pPr>
          </w:p>
        </w:tc>
      </w:tr>
      <w:tr>
        <w:trPr>
          <w:trHeight w:val="316"/>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(1)</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(2)</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(3)</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1"/>
              </w:rPr>
              <w:t>Common Unit Adjustment Agreement dated as of February 13, 2007, by and among National CineMedia, Inc., National CineMedia,</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0"/>
              </w:rPr>
              <w:t>LLC, Regal CineMedia Holdings, LLC, American Multi-Cinema, Inc., Cinemark Media, Inc, Regal Cinemas, Inc. and Cinemark USA,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1"/>
              </w:rPr>
              <w:t>Inc. (Confidential treatment granted as to certain portions, which portions were omitted and filed separately with the Commission.)</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31.1</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31.2</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32.1</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32.2</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18"/>
        </w:trPr>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101</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1"/>
              </w:rPr>
              <w:t>The following materials from the Quarterly Report on Form 10-Q of National CineMedia, Inc. for the quarter ended March 29, 2012,</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0"/>
              </w:rPr>
              <w:t>formatted in XBRL (eXtensible Business Reporting Language): (i) the Condensed Consolidated Balance Sheets, (ii) the Condensed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3"/>
              </w:rPr>
              <w:t>Consolidated Statements of Income, (iii) the Condensed Consolidated Statement of Comprehensive Income, (iv)the Condensed</w:t>
            </w:r>
          </w:p>
        </w:tc>
      </w:tr>
    </w:tbl>
    <w:p>
      <w:pPr>
        <w:ind w:left="1720"/>
        <w:spacing w:after="0" w:line="261" w:lineRule="auto"/>
        <w:rPr>
          <w:sz w:val="20"/>
          <w:szCs w:val="20"/>
          <w:color w:val="auto"/>
        </w:rPr>
      </w:pPr>
      <w:r>
        <w:rPr>
          <w:rFonts w:ascii="Arial" w:cs="Arial" w:eastAsia="Arial" w:hAnsi="Arial"/>
          <w:sz w:val="18"/>
          <w:szCs w:val="18"/>
          <w:color w:val="auto"/>
        </w:rPr>
        <w:t>Consolidated Statement of Cash Flows, (v) the Condensed Consolidated Statements of Equity/(Deficit) and Comprehensive Income, and (vi)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w:t>
      </w:r>
    </w:p>
    <w:p>
      <w:pPr>
        <w:spacing w:after="0" w:line="32" w:lineRule="exact"/>
        <w:rPr>
          <w:sz w:val="20"/>
          <w:szCs w:val="20"/>
          <w:color w:val="auto"/>
        </w:rPr>
      </w:pPr>
    </w:p>
    <w:p>
      <w:pPr>
        <w:ind w:left="460" w:right="160"/>
        <w:spacing w:after="0" w:line="250" w:lineRule="auto"/>
        <w:rPr>
          <w:sz w:val="20"/>
          <w:szCs w:val="20"/>
          <w:color w:val="auto"/>
        </w:rPr>
      </w:pPr>
      <w:r>
        <w:rPr>
          <w:rFonts w:ascii="Arial" w:cs="Arial" w:eastAsia="Arial" w:hAnsi="Arial"/>
          <w:sz w:val="18"/>
          <w:szCs w:val="18"/>
          <w:color w:val="auto"/>
        </w:rPr>
        <w:t>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NCM, Inc.’s Form 10-Q (File No. 001-33296) filed on May 10,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May 4,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May 4, 2012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44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444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10795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3760" w:space="720"/>
            <w:col w:w="6920"/>
          </w:cols>
          <w:pgMar w:left="240" w:top="459" w:right="25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29, 2012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4, 2012</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29, 2012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4, 2012</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2019-12-09T18:20:59Z</dcterms:created>
  <dcterms:modified xsi:type="dcterms:W3CDTF">2019-12-09T18:20:59Z</dcterms:modified>
</cp:coreProperties>
</file>