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27,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LLC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5060" w:type="dxa"/>
            <w:vAlign w:val="bottom"/>
          </w:tcPr>
          <w:p>
            <w:pPr>
              <w:jc w:val="center"/>
              <w:ind w:right="1400"/>
              <w:spacing w:after="0"/>
              <w:rPr>
                <w:sz w:val="20"/>
                <w:szCs w:val="20"/>
                <w:color w:val="auto"/>
              </w:rPr>
            </w:pPr>
            <w:r>
              <w:rPr>
                <w:rFonts w:ascii="Arial" w:cs="Arial" w:eastAsia="Arial" w:hAnsi="Arial"/>
                <w:sz w:val="18"/>
                <w:szCs w:val="18"/>
                <w:b w:val="1"/>
                <w:bCs w:val="1"/>
                <w:color w:val="auto"/>
                <w:w w:val="88"/>
              </w:rPr>
              <w:t>Delaware</w:t>
            </w:r>
          </w:p>
        </w:tc>
        <w:tc>
          <w:tcPr>
            <w:tcW w:w="3520" w:type="dxa"/>
            <w:vAlign w:val="bottom"/>
          </w:tcPr>
          <w:p>
            <w:pPr>
              <w:jc w:val="center"/>
              <w:ind w:left="1382"/>
              <w:spacing w:after="0"/>
              <w:rPr>
                <w:sz w:val="20"/>
                <w:szCs w:val="20"/>
                <w:color w:val="auto"/>
              </w:rPr>
            </w:pPr>
            <w:r>
              <w:rPr>
                <w:rFonts w:ascii="Arial" w:cs="Arial" w:eastAsia="Arial" w:hAnsi="Arial"/>
                <w:sz w:val="18"/>
                <w:szCs w:val="18"/>
                <w:b w:val="1"/>
                <w:bCs w:val="1"/>
                <w:color w:val="auto"/>
                <w:w w:val="89"/>
              </w:rPr>
              <w:t>20-2632505</w:t>
            </w:r>
          </w:p>
        </w:tc>
      </w:tr>
      <w:tr>
        <w:trPr>
          <w:trHeight w:val="174"/>
        </w:trPr>
        <w:tc>
          <w:tcPr>
            <w:tcW w:w="5060" w:type="dxa"/>
            <w:vAlign w:val="bottom"/>
          </w:tcPr>
          <w:p>
            <w:pPr>
              <w:jc w:val="center"/>
              <w:ind w:right="138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520" w:type="dxa"/>
            <w:vAlign w:val="bottom"/>
          </w:tcPr>
          <w:p>
            <w:pPr>
              <w:jc w:val="center"/>
              <w:ind w:left="138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5060" w:type="dxa"/>
            <w:vAlign w:val="bottom"/>
          </w:tcPr>
          <w:p>
            <w:pPr>
              <w:jc w:val="center"/>
              <w:ind w:right="1400"/>
              <w:spacing w:after="0"/>
              <w:rPr>
                <w:sz w:val="20"/>
                <w:szCs w:val="20"/>
                <w:color w:val="auto"/>
              </w:rPr>
            </w:pPr>
            <w:r>
              <w:rPr>
                <w:rFonts w:ascii="Arial" w:cs="Arial" w:eastAsia="Arial" w:hAnsi="Arial"/>
                <w:sz w:val="18"/>
                <w:szCs w:val="18"/>
                <w:b w:val="1"/>
                <w:bCs w:val="1"/>
                <w:color w:val="auto"/>
                <w:w w:val="86"/>
              </w:rPr>
              <w:t>9110 East Nichols Avenue, Suite 200</w:t>
            </w:r>
          </w:p>
        </w:tc>
        <w:tc>
          <w:tcPr>
            <w:tcW w:w="3520" w:type="dxa"/>
            <w:vAlign w:val="bottom"/>
          </w:tcPr>
          <w:p>
            <w:pPr>
              <w:spacing w:after="0"/>
              <w:rPr>
                <w:sz w:val="24"/>
                <w:szCs w:val="24"/>
                <w:color w:val="auto"/>
              </w:rPr>
            </w:pPr>
          </w:p>
        </w:tc>
      </w:tr>
      <w:tr>
        <w:trPr>
          <w:trHeight w:val="231"/>
        </w:trPr>
        <w:tc>
          <w:tcPr>
            <w:tcW w:w="5060" w:type="dxa"/>
            <w:vAlign w:val="bottom"/>
          </w:tcPr>
          <w:p>
            <w:pPr>
              <w:jc w:val="center"/>
              <w:ind w:right="1400"/>
              <w:spacing w:after="0"/>
              <w:rPr>
                <w:sz w:val="20"/>
                <w:szCs w:val="20"/>
                <w:color w:val="auto"/>
              </w:rPr>
            </w:pPr>
            <w:r>
              <w:rPr>
                <w:rFonts w:ascii="Arial" w:cs="Arial" w:eastAsia="Arial" w:hAnsi="Arial"/>
                <w:sz w:val="18"/>
                <w:szCs w:val="18"/>
                <w:b w:val="1"/>
                <w:bCs w:val="1"/>
                <w:color w:val="auto"/>
                <w:w w:val="89"/>
              </w:rPr>
              <w:t>Centennial, Colorado</w:t>
            </w:r>
          </w:p>
        </w:tc>
        <w:tc>
          <w:tcPr>
            <w:tcW w:w="352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5060" w:type="dxa"/>
            <w:vAlign w:val="bottom"/>
          </w:tcPr>
          <w:p>
            <w:pPr>
              <w:jc w:val="center"/>
              <w:ind w:right="14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520" w:type="dxa"/>
            <w:vAlign w:val="bottom"/>
          </w:tcPr>
          <w:p>
            <w:pPr>
              <w:jc w:val="center"/>
              <w:ind w:left="13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As of August 2, 2013, the registrant had 122,750,356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80" w:type="dxa"/>
            <w:vAlign w:val="bottom"/>
            <w:gridSpan w:val="5"/>
          </w:tcPr>
          <w:p>
            <w:pPr>
              <w:ind w:left="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gridSpan w:val="2"/>
            <w:vMerge w:val="restart"/>
          </w:tcPr>
          <w:p>
            <w:pPr>
              <w:jc w:val="center"/>
              <w:ind w:right="466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6"/>
          </w:tcPr>
          <w:p>
            <w:pPr>
              <w:spacing w:after="0" w:line="184"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680" w:type="dxa"/>
            <w:vAlign w:val="bottom"/>
            <w:gridSpan w:val="11"/>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Unaudited Condensed Statements of Income</w:t>
              </w:r>
            </w:hyperlink>
          </w:p>
        </w:tc>
        <w:tc>
          <w:tcPr>
            <w:tcW w:w="68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Unaudited Condensed Statements of Comprehensive Income</w:t>
              </w:r>
            </w:hyperlink>
          </w:p>
        </w:tc>
        <w:tc>
          <w:tcPr>
            <w:tcW w:w="57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8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3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59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559"/>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gridSpan w:val="2"/>
          </w:tcPr>
          <w:p>
            <w:pPr>
              <w:jc w:val="center"/>
              <w:ind w:right="466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88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6"/>
          </w:tcPr>
          <w:p>
            <w:pPr>
              <w:spacing w:after="0"/>
              <w:rPr>
                <w:sz w:val="24"/>
                <w:szCs w:val="24"/>
                <w:color w:val="auto"/>
              </w:rPr>
            </w:pPr>
          </w:p>
        </w:tc>
        <w:tc>
          <w:tcPr>
            <w:tcW w:w="5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Mine Safety Disclosures</w:t>
              </w:r>
            </w:hyperlink>
          </w:p>
        </w:tc>
        <w:tc>
          <w:tcPr>
            <w:tcW w:w="84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1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888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0000EE"/>
                <w:w w:val="99"/>
              </w:rPr>
              <w:t>Signatures</w:t>
            </w: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9"/>
              </w:rPr>
              <w:t>June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2013</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Receivables, net of allowance of $5.1 and $4.5, respectively</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110.2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(including $0.1 and $0.0 to founding members, respectively)</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Prepaid administrative fees to managing member</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NON-CURRENT ASSETS: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 of accumulated depreciation of $63.9 and $63.1, respectively</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Intangible assets, net of accumulated amortization of $39.1 and $32.5, respectively</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436.5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 of accumulated amortization of $13.6 and $12.2, respectively</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Other investment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Total non-current assets</w:t>
            </w:r>
          </w:p>
        </w:tc>
        <w:tc>
          <w:tcPr>
            <w:tcW w:w="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483.5</w:t>
            </w:r>
          </w:p>
        </w:tc>
        <w:tc>
          <w:tcPr>
            <w:tcW w:w="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605.9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DEFICIT</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Amounts due to founding members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managing member</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related expenses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Accounts payable (including $0.9 and $0.9 to related party affiliates, respectively)</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94.8</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884.0</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non-current liabilities</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884.0</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978.8</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w w:val="97"/>
              </w:rPr>
              <w:t>MEMBERS’ DEFICIT (including accumulated other comprehensive loss of $16.7 and $21.9 million, respectively)</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(372.9)</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605.9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Three</w:t>
            </w:r>
          </w:p>
        </w:tc>
        <w:tc>
          <w:tcPr>
            <w:tcW w:w="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Three</w:t>
            </w:r>
          </w:p>
        </w:tc>
        <w:tc>
          <w:tcPr>
            <w:tcW w:w="100" w:type="dxa"/>
            <w:vAlign w:val="bottom"/>
          </w:tcPr>
          <w:p>
            <w:pPr>
              <w:spacing w:after="0"/>
              <w:rPr>
                <w:sz w:val="14"/>
                <w:szCs w:val="14"/>
                <w:color w:val="auto"/>
              </w:rPr>
            </w:pPr>
          </w:p>
        </w:tc>
        <w:tc>
          <w:tcPr>
            <w:tcW w:w="400" w:type="dxa"/>
            <w:vAlign w:val="bottom"/>
          </w:tcPr>
          <w:p>
            <w:pPr>
              <w:jc w:val="center"/>
              <w:ind w:right="14"/>
              <w:spacing w:after="0"/>
              <w:rPr>
                <w:sz w:val="20"/>
                <w:szCs w:val="20"/>
                <w:color w:val="auto"/>
              </w:rPr>
            </w:pPr>
            <w:r>
              <w:rPr>
                <w:rFonts w:ascii="Arial" w:cs="Arial" w:eastAsia="Arial" w:hAnsi="Arial"/>
                <w:sz w:val="14"/>
                <w:szCs w:val="14"/>
                <w:b w:val="1"/>
                <w:bCs w:val="1"/>
                <w:color w:val="auto"/>
                <w:w w:val="85"/>
              </w:rPr>
              <w:t>Six</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Months</w:t>
            </w: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Months</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2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27,</w:t>
            </w: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28,</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27,</w:t>
            </w:r>
          </w:p>
        </w:tc>
        <w:tc>
          <w:tcPr>
            <w:tcW w:w="32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2013</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2013</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w w:val="93"/>
              </w:rPr>
              <w:t>Advertising (including revenue from founding members of $11.2, $10.2, $20.1 and $20.0, respectively)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116.9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128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122.8</w:t>
            </w:r>
          </w:p>
        </w:tc>
        <w:tc>
          <w:tcPr>
            <w:tcW w:w="8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110.1</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205.0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w w:val="93"/>
              </w:rPr>
              <w:t>Advertising operating costs (including $0.9, $1.0, $1.5 and $1.7 to related party affiliates, respectively)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Fathom Events operating costs (including $1.1, $1.2, $2.0 and $3.2 to founding members, respectively)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Theatre access fees—founding members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w w:val="95"/>
              </w:rPr>
              <w:t>Selling and marketing costs (including $0.5, $0.2, $0.7 and $0.4 to founding members, respectively)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Administrative fee—managing member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128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126.9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2"/>
        </w:trPr>
        <w:tc>
          <w:tcPr>
            <w:tcW w:w="804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on borrowings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Change in derivative fair value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terminated derivatives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Loss on swap terminations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non-operating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128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17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2"/>
              <w:spacing w:after="0"/>
              <w:rPr>
                <w:sz w:val="20"/>
                <w:szCs w:val="20"/>
                <w:color w:val="auto"/>
              </w:rPr>
            </w:pPr>
            <w:r>
              <w:rPr>
                <w:rFonts w:ascii="Arial" w:cs="Arial" w:eastAsia="Arial" w:hAnsi="Arial"/>
                <w:sz w:val="14"/>
                <w:szCs w:val="14"/>
                <w:b w:val="1"/>
                <w:bCs w:val="1"/>
                <w:color w:val="auto"/>
              </w:rPr>
              <w:t>Three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2"/>
              <w:spacing w:after="0"/>
              <w:rPr>
                <w:sz w:val="20"/>
                <w:szCs w:val="20"/>
                <w:color w:val="auto"/>
              </w:rPr>
            </w:pPr>
            <w:r>
              <w:rPr>
                <w:rFonts w:ascii="Arial" w:cs="Arial" w:eastAsia="Arial" w:hAnsi="Arial"/>
                <w:sz w:val="14"/>
                <w:szCs w:val="14"/>
                <w:b w:val="1"/>
                <w:bCs w:val="1"/>
                <w:color w:val="auto"/>
              </w:rPr>
              <w:t>Three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w w:val="88"/>
              </w:rPr>
              <w:t>Months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w w:val="88"/>
              </w:rPr>
              <w:t>Months</w:t>
            </w:r>
          </w:p>
        </w:tc>
        <w:tc>
          <w:tcPr>
            <w:tcW w:w="6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Six Months</w:t>
            </w:r>
          </w:p>
        </w:tc>
        <w:tc>
          <w:tcPr>
            <w:tcW w:w="64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Six Months</w:t>
            </w: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Ended June</w:t>
            </w:r>
          </w:p>
        </w:tc>
        <w:tc>
          <w:tcPr>
            <w:tcW w:w="6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Ended June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02"/>
              <w:spacing w:after="0" w:line="149" w:lineRule="exact"/>
              <w:rPr>
                <w:sz w:val="20"/>
                <w:szCs w:val="20"/>
                <w:color w:val="auto"/>
              </w:rPr>
            </w:pPr>
            <w:r>
              <w:rPr>
                <w:rFonts w:ascii="Arial" w:cs="Arial" w:eastAsia="Arial" w:hAnsi="Arial"/>
                <w:sz w:val="14"/>
                <w:szCs w:val="14"/>
                <w:b w:val="1"/>
                <w:bCs w:val="1"/>
                <w:color w:val="auto"/>
              </w:rPr>
              <w:t>27,</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02"/>
              <w:spacing w:after="0" w:line="149" w:lineRule="exact"/>
              <w:rPr>
                <w:sz w:val="20"/>
                <w:szCs w:val="20"/>
                <w:color w:val="auto"/>
              </w:rPr>
            </w:pPr>
            <w:r>
              <w:rPr>
                <w:rFonts w:ascii="Arial" w:cs="Arial" w:eastAsia="Arial" w:hAnsi="Arial"/>
                <w:sz w:val="14"/>
                <w:szCs w:val="14"/>
                <w:b w:val="1"/>
                <w:bCs w:val="1"/>
                <w:color w:val="auto"/>
              </w:rPr>
              <w:t>28,</w:t>
            </w:r>
          </w:p>
        </w:tc>
        <w:tc>
          <w:tcPr>
            <w:tcW w:w="6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June 27,</w:t>
            </w:r>
          </w:p>
        </w:tc>
        <w:tc>
          <w:tcPr>
            <w:tcW w:w="6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June 28,</w:t>
            </w:r>
          </w:p>
        </w:tc>
      </w:tr>
      <w:tr>
        <w:trPr>
          <w:trHeight w:val="161"/>
        </w:trPr>
        <w:tc>
          <w:tcPr>
            <w:tcW w:w="20" w:type="dxa"/>
            <w:vAlign w:val="bottom"/>
          </w:tcPr>
          <w:p>
            <w:pPr>
              <w:spacing w:after="0"/>
              <w:rPr>
                <w:sz w:val="14"/>
                <w:szCs w:val="14"/>
                <w:color w:val="auto"/>
              </w:rPr>
            </w:pPr>
          </w:p>
        </w:tc>
        <w:tc>
          <w:tcPr>
            <w:tcW w:w="6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2013</w:t>
            </w: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terminated derivatives, net of tax of $0 and $0, respectively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w w:val="99"/>
              </w:rPr>
              <w:t>Net unrealized gain on cash flow hedges, net of tax of $0 and $0, respectively</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June 27, 2013</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June 28,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c>
          <w:tcPr>
            <w:tcW w:w="540" w:type="dxa"/>
            <w:vAlign w:val="bottom"/>
          </w:tcPr>
          <w:p>
            <w:pPr>
              <w:spacing w:after="0"/>
              <w:rPr>
                <w:sz w:val="18"/>
                <w:szCs w:val="18"/>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Non-cash share-based compensation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640"/>
              <w:spacing w:after="0"/>
              <w:rPr>
                <w:sz w:val="20"/>
                <w:szCs w:val="20"/>
                <w:color w:val="auto"/>
              </w:rPr>
            </w:pPr>
            <w:r>
              <w:rPr>
                <w:rFonts w:ascii="Arial" w:cs="Arial" w:eastAsia="Arial" w:hAnsi="Arial"/>
                <w:sz w:val="18"/>
                <w:szCs w:val="18"/>
                <w:color w:val="auto"/>
              </w:rPr>
              <w:t>Net unrealized gain on hedging transactions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Amortization of terminated derivatives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64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Write-off of debt issuance costs and other non-operating items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640"/>
              <w:spacing w:after="0"/>
              <w:rPr>
                <w:sz w:val="20"/>
                <w:szCs w:val="20"/>
                <w:color w:val="auto"/>
              </w:rPr>
            </w:pPr>
            <w:r>
              <w:rPr>
                <w:rFonts w:ascii="Arial" w:cs="Arial" w:eastAsia="Arial" w:hAnsi="Arial"/>
                <w:sz w:val="18"/>
                <w:szCs w:val="18"/>
                <w:color w:val="auto"/>
              </w:rPr>
              <w:t>Loss on swap terminations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for swap terminations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Amounts due to founding members and managing member</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Payment from founding members for intangible assets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 from affiliate circuits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borrowings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1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Founding member integration payments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Distributions to founding members and managing member</w:t>
            </w:r>
          </w:p>
        </w:tc>
        <w:tc>
          <w:tcPr>
            <w:tcW w:w="1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(55.8)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 settlement for share-based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10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(49.7)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540" w:type="dxa"/>
            <w:vAlign w:val="bottom"/>
          </w:tcPr>
          <w:p>
            <w:pPr>
              <w:spacing w:after="0"/>
              <w:rPr>
                <w:sz w:val="19"/>
                <w:szCs w:val="19"/>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r>
      <w:tr>
        <w:trPr>
          <w:trHeight w:val="161"/>
        </w:trPr>
        <w:tc>
          <w:tcPr>
            <w:tcW w:w="6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5"/>
              </w:rPr>
              <w:t>June 27, 2013</w:t>
            </w: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28, 2012</w:t>
            </w:r>
          </w:p>
        </w:tc>
      </w:tr>
      <w:tr>
        <w:trPr>
          <w:trHeight w:val="196"/>
        </w:trPr>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1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Purchase of an intangible asset with equity</w:t>
            </w:r>
          </w:p>
        </w:tc>
        <w:tc>
          <w:tcPr>
            <w:tcW w:w="1780" w:type="dxa"/>
            <w:vAlign w:val="bottom"/>
            <w:gridSpan w:val="2"/>
          </w:tcPr>
          <w:p>
            <w:pPr>
              <w:ind w:left="166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cost method investment</w:t>
            </w:r>
          </w:p>
        </w:tc>
        <w:tc>
          <w:tcPr>
            <w:tcW w:w="17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17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r>
      <w:tr>
        <w:trPr>
          <w:trHeight w:val="222"/>
        </w:trPr>
        <w:tc>
          <w:tcPr>
            <w:tcW w:w="6560" w:type="dxa"/>
            <w:vAlign w:val="bottom"/>
          </w:tcPr>
          <w:p>
            <w:pPr>
              <w:ind w:left="440"/>
              <w:spacing w:after="0"/>
              <w:rPr>
                <w:sz w:val="20"/>
                <w:szCs w:val="20"/>
                <w:color w:val="auto"/>
              </w:rPr>
            </w:pPr>
            <w:r>
              <w:rPr>
                <w:rFonts w:ascii="Arial" w:cs="Arial" w:eastAsia="Arial" w:hAnsi="Arial"/>
                <w:sz w:val="18"/>
                <w:szCs w:val="18"/>
                <w:color w:val="auto"/>
              </w:rPr>
              <w:t>Cash paid for income taxes</w:t>
            </w:r>
          </w:p>
        </w:tc>
        <w:tc>
          <w:tcPr>
            <w:tcW w:w="1780" w:type="dxa"/>
            <w:vAlign w:val="bottom"/>
            <w:gridSpan w:val="2"/>
          </w:tcPr>
          <w:p>
            <w:pPr>
              <w:ind w:left="166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240" w:right="9400" w:hanging="232"/>
        <w:spacing w:after="0" w:line="417" w:lineRule="auto"/>
        <w:tabs>
          <w:tab w:leader="none" w:pos="458"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THE COMPANY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National CineMedia, LLC (“NCM LLC” or “the Company”) commenced operations on April 1, 2005 and is owned by National CineMedia, Inc. (“NCM, Inc.”, “manager” or “managing member”), American Multi-Cinema, Inc. (“AMC”), a wholly owned subsidiary of AMC Entertainment, Inc. (“AMCE”), Regal Cinemas, Inc., a wholly owned subsidiary of Regal Entertainment Group (“Regal”) and Cinemark USA, Inc. (“Cinemark USA”), a wholly owned subsidiary of Cinemark Holdings, Inc. (“Cinemark”). NCM LLC operates the largest digital in-theatre network in North America, allowing NCM LLC to sell advertising and Fathom Events (the “Services”) under long-term exhibitor services agreements (“ESAs”) with AMC, Regal and Cinemark. AMC, Regal and Cinemark and their affiliates are referred to in this document as “founding members”. NCM LLC also provides the Services to certain third-party theatre circuits under network affiliate agreements referred to in this document as “network affiliates”, which expire at various dates.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June 27, 2013, NCM LLC had 122,750,356 common membership units outstanding, of which 55,366,929 (45.1%) were owned by NCM, Inc., 24,332,152 (19.8%) were owned by Regal, 23,998,505 (19.6%) were owned by Cinemark and 19,052,770 (15.5%) were owned by AMC. The membership units held by the founding members are exchangeable into NCM, Inc. common stock on a one-for-one basis.</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During the first quarter of 2012, the Company restructured Fathom Events. The Company continued to operate the Fathom Business Events division for a portion of the first quarter of 2012 to satisfy contractual obligations for events and has continued to execute business events on a periodic basis for existing long-term Fathom clients, or if requested by the founding members or to support events staged for NCM’s major advertising clients. On August 1, 2013, a non-binding letter of intent was executed to spin-off Fathom Events, as described further in Note 9 </w:t>
      </w:r>
      <w:r>
        <w:rPr>
          <w:rFonts w:ascii="Arial" w:cs="Arial" w:eastAsia="Arial" w:hAnsi="Arial"/>
          <w:sz w:val="16"/>
          <w:szCs w:val="16"/>
          <w:i w:val="1"/>
          <w:iCs w:val="1"/>
          <w:color w:val="auto"/>
        </w:rPr>
        <w:t>– Subsequent Event</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27, 2012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27, 2012.</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opinion of management, all adjustments (which include only normal recurring adjustments) necessary to present fairly in all material respects the financial position, results of operations and cash flows for all periods presented have been made. Certain reclassifications have been made to the prior years’ financial statements to conform to the current presentation. These reclassifications had no effect on previously reported results of operations or retained earnings. The Company’s business is seasonal and for this and other reasons operating results for interim periods may not be indicative of the Company’s full year results or future performance. As a result of the various related-party agreements discussed in Note 3-</w:t>
      </w:r>
      <w:r>
        <w:rPr>
          <w:rFonts w:ascii="Arial" w:cs="Arial" w:eastAsia="Arial" w:hAnsi="Arial"/>
          <w:sz w:val="16"/>
          <w:szCs w:val="16"/>
          <w:i w:val="1"/>
          <w:iCs w:val="1"/>
          <w:color w:val="auto"/>
        </w:rPr>
        <w:t>Related-Party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 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interest rate swaps. Actual results could differ from those estimates.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filed for the fiscal year ended December 27, 2012 contain a complete discussion of the Company’s significant accounting policies.</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The Company derives revenue principally from advertising revenue, which includes on-screen advertising, lobby network (LEN)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lobby promotions and advertising on entertainment websites and mobile applications owned by other companies. Revenue is recognized when persuasive evidence of an arrangement exists, delivery occurs or services are rendered, the sales price is fixed and determinable and collectability is reasonably assured. The Company considers the terms of each arrangement to determine the appropriate accounting treatment.</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On-screen advertising consists of national and local advertising. National advertising is sold on a cost per thousand (“CPM”) basis, while local and regional advertising is sold on a per-screen, per-week basis. The Company recognizes national advertising as impressions (or theatre attendees) are delivered and recognizes local on-screen advertising revenue during the period in which the advertising airs. The Company recognizes revenue derived from lobby network and promotions when the advertising is displayed in theatre lobbies and recognizes revenue from branded entertainment websites and mobile applications when the online or mobile impressions are served. The Company may make contractual guarantees to deliver a specified number of impressions to view the customers’ advertising. If those contracted number of impressions are not delivered, the Company will either run additional advertising to deliver the contracted impressions at a later date, which the Company refers to as a make-good provision, or the Company will refund the fee related to the undelivered impressions. The Company defers the revenue associated with the make-good until the advertising airs to the theatre attendance specified in the advertising contract. The make-good provision is recorded within accrued expenses in the Condensed Balance Sheets. Deferred revenue consists of payments received in advance of being earned and is classified as a current liability as it is expected to be earned within the next twelve months. Fathom Events revenue is recognized in the period in which the event is held.</w:t>
      </w:r>
    </w:p>
    <w:p>
      <w:pPr>
        <w:spacing w:after="0" w:line="12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i w:val="1"/>
          <w:iCs w:val="1"/>
          <w:color w:val="auto"/>
        </w:rPr>
        <w:t>Segment Reporting</w:t>
      </w:r>
      <w:r>
        <w:rPr>
          <w:rFonts w:ascii="Arial" w:cs="Arial" w:eastAsia="Arial" w:hAnsi="Arial"/>
          <w:sz w:val="16"/>
          <w:szCs w:val="16"/>
          <w:color w:val="auto"/>
        </w:rPr>
        <w:t>— Advertising is the principal business activity of the Company and is the Company’s reportable segment under the requirements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Fathom Events is an operating segment under ASC 280, but does not meet the annual quantitative thresholds for segment reporting. The Company does not evaluate its segments on a fully allocated cost basis, nor does the Company track segment assets separately. Therefore, the measure of segment operating income net of direct expenses presented herein is not prepared on the same basis as operating income in the statements of income and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8-</w:t>
      </w:r>
      <w:r>
        <w:rPr>
          <w:rFonts w:ascii="Arial" w:cs="Arial" w:eastAsia="Arial" w:hAnsi="Arial"/>
          <w:sz w:val="16"/>
          <w:szCs w:val="16"/>
          <w:i w:val="1"/>
          <w:iCs w:val="1"/>
          <w:color w:val="auto"/>
        </w:rPr>
        <w:t>Segment Reporting</w:t>
      </w:r>
      <w:r>
        <w:rPr>
          <w:rFonts w:ascii="Arial" w:cs="Arial" w:eastAsia="Arial" w:hAnsi="Arial"/>
          <w:sz w:val="16"/>
          <w:szCs w:val="16"/>
          <w:color w:val="auto"/>
        </w:rPr>
        <w: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 Bad debts are provided for using the allowance for doubtful accounts method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is reduced by dealing with large, national advertising agencies who have strong reputations in the advertising industry and clients with stable financial positions. As of June 27, 2013 and December 27, 2012, there were no advertising agency groups or individual customers through which the Company sources national advertising revenue representing more than 10% of the Company’s outstanding gross receivable balance. During the three and six months ended June 27, 2013 and June 28, 2012, the Company had no customers which accounted for more than 10% of revenue.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NCM LLC’s fiscal year 2007 and 2008 tax returns are currently under examination by the IRS and in September 2011, NCM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a NOPA for the calendar year 2007 examination primarily related to characterization of the cash received by the founding members at or around the date of the Company’s IPO. As NCM LLC is a pass-through entity for federal income tax purposes, there will be no direct impact to the financial statements of NCM LLC.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NCM, Inc., in its capacity as tax matters partner for NCM LLC, submitted its written letter of protest to the IRS in July 2012, and in December 2012 NCM LLC was notified by the IRS that its case had formally been transferred from examination to administrative appeals. An appeals conference was held on May 14, 2013. We believe, based on discussions with the IRS, that all issues will be resolved in our favor; however, the matter remains open pending receipt of documentation from the IRS formally closing it.</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—NCM, Inc. issues two types of share-based compensation awards: stock options and non-vested (restricted) stock.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stock vests upon the achievement of NCM, Inc. performance measures and service conditions or only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NCM, Inc. adjusts the expense recognized to reflect the actual vested shares following the resolution of the performance conditions. Dividends are accrued quarterly on all unvested restricted stock and are only paid when the shares vest. Compensation cost of stock options is based on the estimated grant date fair value using the Black-Scholes option pricing model, which requires that NCM, Inc. make estimates of various factors. Under the fair value recognition provisions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Company recognizes share-based compensation net of an estimated forfeiture rate, and therefore only recognizes compensation cost for those shares expected to vest over the requisite service period of the award.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For the three and six months ended June 27, 2013, NCM, Inc. acquired 505,866 and 880,670 units, respectively, due to the vesting of restricted stock and exercise of stock options and contributed $3.7 million and $4.3 million to NCM LLC for the three and six months ended June 27, 2013, respectively.</w:t>
      </w:r>
    </w:p>
    <w:p>
      <w:pPr>
        <w:spacing w:after="0" w:line="1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Recent Accounting Pronouncements</w:t>
      </w:r>
      <w:r>
        <w:rPr>
          <w:rFonts w:ascii="Arial" w:cs="Arial" w:eastAsia="Arial" w:hAnsi="Arial"/>
          <w:sz w:val="16"/>
          <w:szCs w:val="16"/>
          <w:i w:val="1"/>
          <w:iCs w:val="1"/>
          <w:color w:val="auto"/>
        </w:rPr>
        <w:t>—</w:t>
      </w:r>
      <w:r>
        <w:rPr>
          <w:rFonts w:ascii="Arial" w:cs="Arial" w:eastAsia="Arial" w:hAnsi="Arial"/>
          <w:sz w:val="16"/>
          <w:szCs w:val="16"/>
          <w:color w:val="auto"/>
        </w:rPr>
        <w:t xml:space="preserve">In February 2013, the Financial Accounting Standards Board (“FASB”) issued Accounting Standards Update 2013-02, “Other Comprehensive Income (Topic 220)” (“ASU 2013-02”). The objective of ASU 2013-02 is to improve the reporting of reclassifications out of accumulated other comprehensive income. ASU 2013-02 seeks to attain that objective by requiring an entity to report the effect of significant reclassifications out of accumulated other comprehensive income on the respective line items in net income if the amount being reclassified is required under U.S. generally accepted accounting principles (GAAP) to be reclassified in its entirety to net income in the same reporting period. For other amounts that are not required under U.S. GAAP to be reclassified in their entirety to net income in the same reporting period, an entity is required to cross-reference other disclosures required under U.S. GAAP that provide additional detail about those amounts. This accounting standard update is effective prospectively for annual and interim periods beginning after December 15, 2012. Refer to </w:t>
      </w:r>
      <w:r>
        <w:rPr>
          <w:rFonts w:ascii="Arial" w:cs="Arial" w:eastAsia="Arial" w:hAnsi="Arial"/>
          <w:sz w:val="16"/>
          <w:szCs w:val="16"/>
          <w:i w:val="1"/>
          <w:iCs w:val="1"/>
          <w:color w:val="auto"/>
        </w:rPr>
        <w:t>Note 7 – Derivative Instruments and Hedging Activities</w:t>
      </w:r>
      <w:r>
        <w:rPr>
          <w:rFonts w:ascii="Arial" w:cs="Arial" w:eastAsia="Arial" w:hAnsi="Arial"/>
          <w:sz w:val="16"/>
          <w:szCs w:val="16"/>
          <w:color w:val="auto"/>
        </w:rPr>
        <w:t xml:space="preserve"> for the Company’s disclosures.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condensed financial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previous year. During the first quarter of 2013 and 2012, NCM LLC issued 4,536,014 and 651,612 common membership units to its founding members, respectively, for the rights to exclusive access to net new theatre screens and attendees added by the founding members to NCM LLC’s network during the previous year. NCM LLC recorded a net intangible asset of $69.0 million and $9.9 million during the first quarter of 2013 and 2012, respectively, as a result of the common unit adjustments. In lieu of surrendering 16,727 units in 2012, AMC paid NCM LLC $0.2 million in the first quarter of 2012.</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date. In June 2013, NCM LLC issued 5,315,837 common membership units to Cinemark for attendees added in connection with Cinemark’s acquisition of Rave Cinemas (“Rave”) on May 28, 2013. NCM LLC recorded a net intangible asset of $91.2 million during the three months ended June 27, 2013 for this common unit adjustment. In addition, Rave had pre-existing advertising agreements for some of the theatres it owned prior to the acquisition by Cinemark, as well as prior to the acquisition of certain Rave theatres by AMC in December 2012. As a result, AMC and Cinemark will make integration payments pursuant to the ESAs on a quarterly basis in arrears in accordance with certain run-out provisions. During the three and six months ended June 27, 2013, NCM LLC recorded a reduction to net intangible assets of $0.9 million and $1.1 million, respectively, related to integration payments due from AMC and Cinemark. During the three months and six months ended June 27, 2013, the founding members paid $0.2 million and $0.2 million, respectively, in integration payments. The other $0.9 million of integration payments will be paid in the third quarter of 2013.</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contract with the network affiliate.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Founding Member and Managing Member Transactions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is a summary of the transactions between the Company and the founding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its managing member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36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Three</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Six</w:t>
            </w: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Six</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Months</w:t>
            </w:r>
          </w:p>
        </w:tc>
        <w:tc>
          <w:tcPr>
            <w:tcW w:w="36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Months</w:t>
            </w: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Included in the Condensed Statements of Income:</w:t>
            </w:r>
          </w:p>
        </w:tc>
        <w:tc>
          <w:tcPr>
            <w:tcW w:w="482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27,</w:t>
            </w:r>
          </w:p>
        </w:tc>
        <w:tc>
          <w:tcPr>
            <w:tcW w:w="36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28,</w:t>
            </w: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June 27,</w:t>
            </w: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28,</w:t>
            </w:r>
          </w:p>
        </w:tc>
        <w:tc>
          <w:tcPr>
            <w:tcW w:w="0" w:type="dxa"/>
            <w:vAlign w:val="bottom"/>
          </w:tcPr>
          <w:p>
            <w:pPr>
              <w:spacing w:after="0"/>
              <w:rPr>
                <w:sz w:val="1"/>
                <w:szCs w:val="1"/>
                <w:color w:val="auto"/>
              </w:rPr>
            </w:pPr>
          </w:p>
        </w:tc>
      </w:tr>
      <w:tr>
        <w:trPr>
          <w:trHeight w:val="168"/>
        </w:trPr>
        <w:tc>
          <w:tcPr>
            <w:tcW w:w="304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960" w:type="dxa"/>
            <w:vAlign w:val="bottom"/>
            <w:gridSpan w:val="2"/>
          </w:tcPr>
          <w:p>
            <w:pPr>
              <w:jc w:val="center"/>
              <w:ind w:left="375"/>
              <w:spacing w:after="0" w:line="148" w:lineRule="exact"/>
              <w:rPr>
                <w:sz w:val="20"/>
                <w:szCs w:val="20"/>
                <w:color w:val="auto"/>
              </w:rPr>
            </w:pPr>
            <w:r>
              <w:rPr>
                <w:rFonts w:ascii="Arial" w:cs="Arial" w:eastAsia="Arial" w:hAnsi="Arial"/>
                <w:sz w:val="14"/>
                <w:szCs w:val="14"/>
                <w:b w:val="1"/>
                <w:bCs w:val="1"/>
                <w:color w:val="auto"/>
                <w:w w:val="83"/>
              </w:rPr>
              <w:t>2013</w:t>
            </w:r>
          </w:p>
        </w:tc>
        <w:tc>
          <w:tcPr>
            <w:tcW w:w="840" w:type="dxa"/>
            <w:vAlign w:val="bottom"/>
            <w:gridSpan w:val="2"/>
          </w:tcPr>
          <w:p>
            <w:pPr>
              <w:jc w:val="center"/>
              <w:ind w:left="275"/>
              <w:spacing w:after="0" w:line="148" w:lineRule="exact"/>
              <w:rPr>
                <w:sz w:val="20"/>
                <w:szCs w:val="20"/>
                <w:color w:val="auto"/>
              </w:rPr>
            </w:pPr>
            <w:r>
              <w:rPr>
                <w:rFonts w:ascii="Arial" w:cs="Arial" w:eastAsia="Arial" w:hAnsi="Arial"/>
                <w:sz w:val="14"/>
                <w:szCs w:val="14"/>
                <w:b w:val="1"/>
                <w:bCs w:val="1"/>
                <w:color w:val="auto"/>
                <w:w w:val="89"/>
              </w:rPr>
              <w:t>2012</w:t>
            </w:r>
          </w:p>
        </w:tc>
        <w:tc>
          <w:tcPr>
            <w:tcW w:w="360" w:type="dxa"/>
            <w:vAlign w:val="bottom"/>
          </w:tcPr>
          <w:p>
            <w:pPr>
              <w:spacing w:after="0"/>
              <w:rPr>
                <w:sz w:val="14"/>
                <w:szCs w:val="14"/>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2013</w:t>
            </w:r>
          </w:p>
        </w:tc>
        <w:tc>
          <w:tcPr>
            <w:tcW w:w="36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$ 10.1</w:t>
            </w:r>
          </w:p>
        </w:tc>
        <w:tc>
          <w:tcPr>
            <w:tcW w:w="3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$ 20.0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$ 19.9</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Advertising inventory revenue (included in Advertising revenue) </w:t>
            </w:r>
            <w:r>
              <w:rPr>
                <w:rFonts w:ascii="Arial" w:cs="Arial" w:eastAsia="Arial" w:hAnsi="Arial"/>
                <w:sz w:val="18"/>
                <w:szCs w:val="18"/>
                <w:i w:val="1"/>
                <w:iCs w:val="1"/>
                <w:color w:val="auto"/>
              </w:rPr>
              <w:t>(2)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 xml:space="preserve">Revenue share from Fathom Events (included in Fathom Events operating costs) </w:t>
            </w:r>
            <w:r>
              <w:rPr>
                <w:rFonts w:ascii="Arial" w:cs="Arial" w:eastAsia="Arial" w:hAnsi="Arial"/>
                <w:sz w:val="18"/>
                <w:szCs w:val="18"/>
                <w:i w:val="1"/>
                <w:iCs w:val="1"/>
                <w:color w:val="auto"/>
              </w:rPr>
              <w:t>(4)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 xml:space="preserve">Purchase of movie tickets and concession products (included in Fathom Events operating costs) </w:t>
            </w:r>
            <w:r>
              <w:rPr>
                <w:rFonts w:ascii="Arial" w:cs="Arial" w:eastAsia="Arial" w:hAnsi="Arial"/>
                <w:sz w:val="18"/>
                <w:szCs w:val="18"/>
                <w:i w:val="1"/>
                <w:iCs w:val="1"/>
                <w:color w:val="auto"/>
                <w:w w:val="93"/>
              </w:rPr>
              <w:t>(5)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w w:val="96"/>
              </w:rPr>
              <w:t xml:space="preserve">Purchase of movie tickets and concession products (included in Selling and marketing costs) </w:t>
            </w:r>
            <w:r>
              <w:rPr>
                <w:rFonts w:ascii="Arial" w:cs="Arial" w:eastAsia="Arial" w:hAnsi="Arial"/>
                <w:sz w:val="18"/>
                <w:szCs w:val="18"/>
                <w:i w:val="1"/>
                <w:iCs w:val="1"/>
                <w:color w:val="auto"/>
                <w:w w:val="96"/>
              </w:rPr>
              <w:t>(5)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Administrative fee—managing member </w:t>
            </w:r>
            <w:r>
              <w:rPr>
                <w:rFonts w:ascii="Arial" w:cs="Arial" w:eastAsia="Arial" w:hAnsi="Arial"/>
                <w:sz w:val="18"/>
                <w:szCs w:val="18"/>
                <w:i w:val="1"/>
                <w:iCs w:val="1"/>
                <w:color w:val="auto"/>
              </w:rPr>
              <w:t>(6)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200" w:hanging="452"/>
        <w:spacing w:after="0" w:line="253"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For the three months and six months ended June 27, 2013 and June 28, 2012, the founding members purchased 60 seconds of on-screen advertising time (with a right to purchase up to 90 seconds) from NCM LLC to satisfy their obligations under their beverage concessionaire agreements at a rate specified by the ESA at a 30 second equivalent cost per thousand (“CPM”).</w:t>
      </w: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These payments are at rates (percentage of event revenue) included in the ESAs based on the nature of the event.</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 and marketing resale to Fathom Events customers.</w:t>
      </w:r>
    </w:p>
    <w:p>
      <w:pPr>
        <w:spacing w:after="0" w:line="9" w:lineRule="exact"/>
        <w:rPr>
          <w:rFonts w:ascii="Arial" w:cs="Arial" w:eastAsia="Arial" w:hAnsi="Arial"/>
          <w:sz w:val="18"/>
          <w:szCs w:val="18"/>
          <w:i w:val="1"/>
          <w:iCs w:val="1"/>
          <w:color w:val="auto"/>
        </w:rPr>
      </w:pPr>
    </w:p>
    <w:p>
      <w:pPr>
        <w:jc w:val="both"/>
        <w:ind w:left="460" w:right="160" w:hanging="452"/>
        <w:spacing w:after="0" w:line="253"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President and Chief Executive Officer, President of Sales and Marketing, Executive Vice President and Chief Financial Officer, Executive Vice President and Chief Operations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w w:val="89"/>
              </w:rPr>
              <w:t>Included in the Condensed Balance Sheets:</w:t>
            </w:r>
          </w:p>
        </w:tc>
        <w:tc>
          <w:tcPr>
            <w:tcW w:w="248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b w:val="1"/>
                <w:bCs w:val="1"/>
                <w:color w:val="auto"/>
              </w:rPr>
              <w:t>As of</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2620" w:type="dxa"/>
            <w:vAlign w:val="bottom"/>
            <w:tcBorders>
              <w:bottom w:val="single" w:sz="8" w:color="auto"/>
            </w:tcBorders>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1420" w:type="dxa"/>
            <w:vAlign w:val="bottom"/>
            <w:gridSpan w:val="3"/>
          </w:tcPr>
          <w:p>
            <w:pPr>
              <w:ind w:left="640"/>
              <w:spacing w:after="0" w:line="148" w:lineRule="exact"/>
              <w:rPr>
                <w:sz w:val="20"/>
                <w:szCs w:val="20"/>
                <w:color w:val="auto"/>
              </w:rPr>
            </w:pPr>
            <w:r>
              <w:rPr>
                <w:rFonts w:ascii="Arial" w:cs="Arial" w:eastAsia="Arial" w:hAnsi="Arial"/>
                <w:sz w:val="14"/>
                <w:szCs w:val="14"/>
                <w:b w:val="1"/>
                <w:bCs w:val="1"/>
                <w:color w:val="auto"/>
                <w:w w:val="83"/>
              </w:rPr>
              <w:t>June 27, 2013</w:t>
            </w:r>
          </w:p>
        </w:tc>
        <w:tc>
          <w:tcPr>
            <w:tcW w:w="2160" w:type="dxa"/>
            <w:vAlign w:val="bottom"/>
            <w:gridSpan w:val="4"/>
          </w:tcPr>
          <w:p>
            <w:pPr>
              <w:ind w:left="960"/>
              <w:spacing w:after="0" w:line="148" w:lineRule="exact"/>
              <w:rPr>
                <w:sz w:val="20"/>
                <w:szCs w:val="20"/>
                <w:color w:val="auto"/>
              </w:rPr>
            </w:pPr>
            <w:r>
              <w:rPr>
                <w:rFonts w:ascii="Arial" w:cs="Arial" w:eastAsia="Arial" w:hAnsi="Arial"/>
                <w:sz w:val="14"/>
                <w:szCs w:val="14"/>
                <w:b w:val="1"/>
                <w:bCs w:val="1"/>
                <w:color w:val="auto"/>
                <w:w w:val="93"/>
              </w:rPr>
              <w:t>December 27, 2012</w:t>
            </w: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(1)</w:t>
            </w: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9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00" w:type="dxa"/>
            <w:vAlign w:val="bottom"/>
            <w:gridSpan w:val="2"/>
          </w:tcPr>
          <w:p>
            <w:pPr>
              <w:spacing w:after="0"/>
              <w:rPr>
                <w:sz w:val="20"/>
                <w:szCs w:val="20"/>
                <w:color w:val="auto"/>
              </w:rPr>
            </w:pPr>
            <w:r>
              <w:rPr>
                <w:rFonts w:ascii="Arial" w:cs="Arial" w:eastAsia="Arial" w:hAnsi="Arial"/>
                <w:sz w:val="18"/>
                <w:szCs w:val="18"/>
                <w:color w:val="auto"/>
              </w:rPr>
              <w:t>Common unit adjustments and integration payments, net of</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ind w:left="220"/>
              <w:spacing w:after="0"/>
              <w:rPr>
                <w:sz w:val="20"/>
                <w:szCs w:val="20"/>
                <w:color w:val="auto"/>
              </w:rPr>
            </w:pPr>
            <w:r>
              <w:rPr>
                <w:rFonts w:ascii="Arial" w:cs="Arial" w:eastAsia="Arial" w:hAnsi="Arial"/>
                <w:sz w:val="18"/>
                <w:szCs w:val="18"/>
                <w:color w:val="auto"/>
              </w:rPr>
              <w:t xml:space="preserve">amortization (included in Intangible assets) </w:t>
            </w:r>
            <w:r>
              <w:rPr>
                <w:rFonts w:ascii="Arial" w:cs="Arial" w:eastAsia="Arial" w:hAnsi="Arial"/>
                <w:sz w:val="18"/>
                <w:szCs w:val="18"/>
                <w:i w:val="1"/>
                <w:iCs w:val="1"/>
                <w:color w:val="auto"/>
              </w:rPr>
              <w:t>(2)</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411.8</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movie tickets and concession products (included in</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Prepaid expenses) </w:t>
            </w:r>
            <w:r>
              <w:rPr>
                <w:rFonts w:ascii="Arial" w:cs="Arial" w:eastAsia="Arial" w:hAnsi="Arial"/>
                <w:sz w:val="18"/>
                <w:szCs w:val="18"/>
                <w:i w:val="1"/>
                <w:iCs w:val="1"/>
                <w:color w:val="auto"/>
              </w:rPr>
              <w:t>(3)</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84" w:lineRule="auto"/>
        <w:tabs>
          <w:tab w:leader="none" w:pos="460"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1" w:lineRule="exact"/>
        <w:rPr>
          <w:rFonts w:ascii="Arial" w:cs="Arial" w:eastAsia="Arial" w:hAnsi="Arial"/>
          <w:sz w:val="16"/>
          <w:szCs w:val="16"/>
          <w:i w:val="1"/>
          <w:iCs w:val="1"/>
          <w:color w:val="auto"/>
        </w:rPr>
      </w:pPr>
    </w:p>
    <w:p>
      <w:pPr>
        <w:ind w:left="460" w:right="120" w:hanging="452"/>
        <w:spacing w:after="0" w:line="281" w:lineRule="auto"/>
        <w:tabs>
          <w:tab w:leader="none" w:pos="460"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Intangible Assets</w:t>
      </w:r>
      <w:r>
        <w:rPr>
          <w:rFonts w:ascii="Arial" w:cs="Arial" w:eastAsia="Arial" w:hAnsi="Arial"/>
          <w:sz w:val="16"/>
          <w:szCs w:val="16"/>
          <w:color w:val="auto"/>
        </w:rPr>
        <w:t>, during the first half of 2013, the Company recorded a reduction to intangible assets related to founding member common unit adjustments and for integration payments related to the acquisition of certain Rave theatres by AMC and Cinemark.</w:t>
      </w:r>
    </w:p>
    <w:p>
      <w:pPr>
        <w:spacing w:after="0" w:line="1" w:lineRule="exact"/>
        <w:rPr>
          <w:rFonts w:ascii="Arial" w:cs="Arial" w:eastAsia="Arial" w:hAnsi="Arial"/>
          <w:sz w:val="16"/>
          <w:szCs w:val="16"/>
          <w:i w:val="1"/>
          <w:iCs w:val="1"/>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 and marketing resale to Fathom Events customers.</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Also, pursuant to the terms of the NCM LLC Operating Agreement in place since the completion of NCM, Inc.’s Initial Public Offering (“IPO”), NCM LLC is required to make mandatory distributions on a proportionate basis to its members of available cash, as defined in the NCM LLC Operating Agreement, on a quarterly basis in arrears. Mandatory distributions for the three and six months ended June 27, 2013 and June 28, 2012 are as follows (in millions):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86"/>
              </w:rPr>
              <w:t>Three Months Ended</w:t>
            </w:r>
          </w:p>
        </w:tc>
        <w:tc>
          <w:tcPr>
            <w:tcW w:w="82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7"/>
              </w:rPr>
              <w:t>Six Months Ended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r>
      <w:tr>
        <w:trPr>
          <w:trHeight w:val="161"/>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36"/>
              <w:spacing w:after="0"/>
              <w:rPr>
                <w:sz w:val="20"/>
                <w:szCs w:val="20"/>
                <w:color w:val="auto"/>
              </w:rPr>
            </w:pPr>
            <w:r>
              <w:rPr>
                <w:rFonts w:ascii="Arial" w:cs="Arial" w:eastAsia="Arial" w:hAnsi="Arial"/>
                <w:sz w:val="14"/>
                <w:szCs w:val="14"/>
                <w:b w:val="1"/>
                <w:bCs w:val="1"/>
                <w:color w:val="auto"/>
                <w:w w:val="90"/>
              </w:rPr>
              <w:t>June 27, 2013</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0"/>
              </w:rPr>
              <w:t>June 28, 2012</w:t>
            </w:r>
          </w:p>
        </w:tc>
        <w:tc>
          <w:tcPr>
            <w:tcW w:w="12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27, 2013</w:t>
            </w: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28, 2012</w:t>
            </w:r>
          </w:p>
        </w:tc>
      </w:tr>
      <w:tr>
        <w:trPr>
          <w:trHeight w:val="210"/>
        </w:trPr>
        <w:tc>
          <w:tcPr>
            <w:tcW w:w="3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AMC</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Cinemark</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8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NCM, Inc.</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82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r>
      <w:tr>
        <w:trPr>
          <w:trHeight w:val="27"/>
        </w:trPr>
        <w:tc>
          <w:tcPr>
            <w:tcW w:w="3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mandatory distributions of available cash by NCM LLC to its founding members for the three months ended June 27, 2013 of $28.8 million is included in amounts due to founding members on the Condensed Balance Sheets as of June 27, 2013 and will be made in the third quarter of 2013. The mandatory distributions of available cash by NCM LLC to its managing member for the three months ended June 27, 2013 of $23.7 million is included in amounts due to managing member on the Condensed Balance Sheets as of June 27, 2013 and will be made in the third quarter of 2013.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June 27, 2013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AMC</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22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29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3620" w:type="dxa"/>
            <w:vAlign w:val="bottom"/>
            <w:gridSpan w:val="3"/>
          </w:tcPr>
          <w:p>
            <w:pPr>
              <w:jc w:val="right"/>
              <w:ind w:right="22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9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28.8</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vMerge w:val="continue"/>
          </w:tcPr>
          <w:p>
            <w:pPr>
              <w:spacing w:after="0"/>
              <w:rPr>
                <w:sz w:val="19"/>
                <w:szCs w:val="19"/>
                <w:color w:val="auto"/>
              </w:rPr>
            </w:pP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$ 8.1</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29.4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980" w:type="dxa"/>
            <w:vAlign w:val="bottom"/>
            <w:vMerge w:val="restart"/>
          </w:tcPr>
          <w:p>
            <w:pPr>
              <w:jc w:val="right"/>
              <w:ind w:right="1732"/>
              <w:spacing w:after="0"/>
              <w:rPr>
                <w:sz w:val="20"/>
                <w:szCs w:val="20"/>
                <w:color w:val="auto"/>
              </w:rPr>
            </w:pPr>
            <w:r>
              <w:rPr>
                <w:rFonts w:ascii="Arial" w:cs="Arial" w:eastAsia="Arial" w:hAnsi="Arial"/>
                <w:sz w:val="18"/>
                <w:szCs w:val="18"/>
                <w:color w:val="auto"/>
              </w:rPr>
              <w:t>12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December 27, 2012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AMC</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Cinemark</w:t>
            </w: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640" w:type="dxa"/>
            <w:vAlign w:val="bottom"/>
            <w:gridSpan w:val="4"/>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(3.2)</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20.9</w:t>
            </w:r>
          </w:p>
        </w:tc>
        <w:tc>
          <w:tcPr>
            <w:tcW w:w="100" w:type="dxa"/>
            <w:vAlign w:val="bottom"/>
            <w:shd w:val="clear" w:color="auto" w:fill="CCEEFF"/>
          </w:tcPr>
          <w:p>
            <w:pPr>
              <w:spacing w:after="0"/>
              <w:rPr>
                <w:sz w:val="18"/>
                <w:szCs w:val="18"/>
                <w:color w:val="auto"/>
              </w:rPr>
            </w:pPr>
          </w:p>
        </w:tc>
      </w:tr>
      <w:tr>
        <w:trPr>
          <w:trHeight w:val="222"/>
        </w:trPr>
        <w:tc>
          <w:tcPr>
            <w:tcW w:w="722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$ 5.8</w:t>
            </w:r>
          </w:p>
        </w:tc>
        <w:tc>
          <w:tcPr>
            <w:tcW w:w="240" w:type="dxa"/>
            <w:vAlign w:val="bottom"/>
          </w:tcPr>
          <w:p>
            <w:pPr>
              <w:spacing w:after="0"/>
              <w:rPr>
                <w:sz w:val="19"/>
                <w:szCs w:val="19"/>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$ 7.5</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19.8</w:t>
            </w: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managing member were comprised of the following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080" w:type="dxa"/>
            <w:vAlign w:val="bottom"/>
            <w:gridSpan w:val="4"/>
          </w:tcPr>
          <w:p>
            <w:pPr>
              <w:ind w:left="1380"/>
              <w:spacing w:after="0"/>
              <w:rPr>
                <w:sz w:val="20"/>
                <w:szCs w:val="20"/>
                <w:color w:val="auto"/>
              </w:rPr>
            </w:pPr>
            <w:r>
              <w:rPr>
                <w:rFonts w:ascii="Arial" w:cs="Arial" w:eastAsia="Arial" w:hAnsi="Arial"/>
                <w:sz w:val="14"/>
                <w:szCs w:val="14"/>
                <w:b w:val="1"/>
                <w:bCs w:val="1"/>
                <w:color w:val="auto"/>
              </w:rPr>
              <w:t>As of June 27, 2013</w:t>
            </w:r>
          </w:p>
        </w:tc>
        <w:tc>
          <w:tcPr>
            <w:tcW w:w="20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As of December 27, 2012</w:t>
            </w:r>
          </w:p>
        </w:tc>
      </w:tr>
      <w:tr>
        <w:trPr>
          <w:trHeight w:val="210"/>
        </w:trPr>
        <w:tc>
          <w:tcPr>
            <w:tcW w:w="3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Distributions payable</w:t>
            </w:r>
          </w:p>
        </w:tc>
        <w:tc>
          <w:tcPr>
            <w:tcW w:w="1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Related Party Affiliates </w:t>
      </w:r>
      <w:r>
        <w:rPr>
          <w:rFonts w:ascii="Arial" w:cs="Arial" w:eastAsia="Arial" w:hAnsi="Arial"/>
          <w:sz w:val="16"/>
          <w:szCs w:val="16"/>
          <w:color w:val="auto"/>
        </w:rPr>
        <w:t>— NCM LLC enters into network affiliate agreements and Fathom agreements with network affiliates for NCM LLC to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in-theatre advertising and Fathom Events 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Following is a summary of advertising operating costs in the Condensed Statements of Income between the Company and its related party affiliates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Three Months</w:t>
            </w:r>
          </w:p>
        </w:tc>
        <w:tc>
          <w:tcPr>
            <w:tcW w:w="740" w:type="dxa"/>
            <w:vAlign w:val="bottom"/>
          </w:tcPr>
          <w:p>
            <w:pPr>
              <w:spacing w:after="0"/>
              <w:rPr>
                <w:sz w:val="14"/>
                <w:szCs w:val="14"/>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7"/>
              </w:rPr>
              <w:t>Three Months</w:t>
            </w:r>
          </w:p>
        </w:tc>
        <w:tc>
          <w:tcPr>
            <w:tcW w:w="3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w:t>
            </w:r>
          </w:p>
        </w:tc>
        <w:tc>
          <w:tcPr>
            <w:tcW w:w="74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5"/>
              </w:rPr>
              <w:t>Related Party Affiliate</w:t>
            </w: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Ended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8"/>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w w:val="98"/>
              </w:rPr>
              <w:t>Ended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8"/>
        </w:trPr>
        <w:tc>
          <w:tcPr>
            <w:tcW w:w="1400" w:type="dxa"/>
            <w:vAlign w:val="bottom"/>
            <w:tcBorders>
              <w:bottom w:val="single" w:sz="8" w:color="auto"/>
            </w:tcBorders>
            <w:vMerge w:val="continue"/>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5"/>
              </w:rPr>
              <w:t>June 27, 2013</w:t>
            </w:r>
          </w:p>
        </w:tc>
        <w:tc>
          <w:tcPr>
            <w:tcW w:w="740" w:type="dxa"/>
            <w:vAlign w:val="bottom"/>
          </w:tcPr>
          <w:p>
            <w:pPr>
              <w:spacing w:after="0"/>
              <w:rPr>
                <w:sz w:val="14"/>
                <w:szCs w:val="14"/>
                <w:color w:val="auto"/>
              </w:rPr>
            </w:pPr>
          </w:p>
        </w:tc>
        <w:tc>
          <w:tcPr>
            <w:tcW w:w="1180" w:type="dxa"/>
            <w:vAlign w:val="bottom"/>
            <w:gridSpan w:val="3"/>
          </w:tcPr>
          <w:p>
            <w:pPr>
              <w:jc w:val="right"/>
              <w:ind w:right="380"/>
              <w:spacing w:after="0" w:line="148" w:lineRule="exact"/>
              <w:rPr>
                <w:sz w:val="20"/>
                <w:szCs w:val="20"/>
                <w:color w:val="auto"/>
              </w:rPr>
            </w:pPr>
            <w:r>
              <w:rPr>
                <w:rFonts w:ascii="Arial" w:cs="Arial" w:eastAsia="Arial" w:hAnsi="Arial"/>
                <w:sz w:val="14"/>
                <w:szCs w:val="14"/>
                <w:b w:val="1"/>
                <w:bCs w:val="1"/>
                <w:color w:val="auto"/>
                <w:w w:val="85"/>
              </w:rPr>
              <w:t>June 28, 2012</w:t>
            </w:r>
          </w:p>
        </w:tc>
        <w:tc>
          <w:tcPr>
            <w:tcW w:w="360" w:type="dxa"/>
            <w:vAlign w:val="bottom"/>
          </w:tcPr>
          <w:p>
            <w:pPr>
              <w:spacing w:after="0"/>
              <w:rPr>
                <w:sz w:val="14"/>
                <w:szCs w:val="14"/>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5"/>
              </w:rPr>
              <w:t>June 27, 2013</w:t>
            </w:r>
          </w:p>
        </w:tc>
        <w:tc>
          <w:tcPr>
            <w:tcW w:w="740" w:type="dxa"/>
            <w:vAlign w:val="bottom"/>
          </w:tcPr>
          <w:p>
            <w:pPr>
              <w:spacing w:after="0"/>
              <w:rPr>
                <w:sz w:val="14"/>
                <w:szCs w:val="14"/>
                <w:color w:val="auto"/>
              </w:rPr>
            </w:pPr>
          </w:p>
        </w:tc>
        <w:tc>
          <w:tcPr>
            <w:tcW w:w="90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June 28, 2012</w:t>
            </w:r>
          </w:p>
        </w:tc>
        <w:tc>
          <w:tcPr>
            <w:tcW w:w="0" w:type="dxa"/>
            <w:vAlign w:val="bottom"/>
          </w:tcPr>
          <w:p>
            <w:pPr>
              <w:spacing w:after="0"/>
              <w:rPr>
                <w:sz w:val="1"/>
                <w:szCs w:val="1"/>
                <w:color w:val="auto"/>
              </w:rPr>
            </w:pPr>
          </w:p>
        </w:tc>
      </w:tr>
      <w:tr>
        <w:trPr>
          <w:trHeight w:val="203"/>
        </w:trPr>
        <w:tc>
          <w:tcPr>
            <w:tcW w:w="1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3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(2)</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9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356"/>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Following is a summary of the accounts payable balance between the Company and its related party affiliates included in the Condensed Balance Sheets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Related Party Affiliate</w:t>
            </w:r>
          </w:p>
        </w:tc>
        <w:tc>
          <w:tcPr>
            <w:tcW w:w="46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June 27, 2013</w:t>
            </w:r>
          </w:p>
        </w:tc>
        <w:tc>
          <w:tcPr>
            <w:tcW w:w="2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As of December 27, 2012</w:t>
            </w:r>
          </w:p>
        </w:tc>
      </w:tr>
      <w:tr>
        <w:trPr>
          <w:trHeight w:val="203"/>
        </w:trPr>
        <w:tc>
          <w:tcPr>
            <w:tcW w:w="1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3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1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72"/>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(2)</w:t>
            </w:r>
          </w:p>
        </w:tc>
        <w:tc>
          <w:tcPr>
            <w:tcW w:w="35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16"/>
        </w:trPr>
        <w:tc>
          <w:tcPr>
            <w:tcW w:w="1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0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7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Starplex Operating L.P. (“Starplex”) is an affiliate of Cinemark.</w:t>
      </w:r>
    </w:p>
    <w:p>
      <w:pPr>
        <w:spacing w:after="0" w:line="15" w:lineRule="exact"/>
        <w:rPr>
          <w:rFonts w:ascii="Arial" w:cs="Arial" w:eastAsia="Arial" w:hAnsi="Arial"/>
          <w:sz w:val="18"/>
          <w:szCs w:val="18"/>
          <w:i w:val="1"/>
          <w:iCs w:val="1"/>
          <w:color w:val="auto"/>
        </w:rPr>
      </w:pPr>
    </w:p>
    <w:p>
      <w:pPr>
        <w:ind w:left="460" w:hanging="452"/>
        <w:spacing w:after="0" w:line="261"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Other affiliates include Showplex Cinemas, Inc. (“Showplex”), an affiliate of one of NCM, Inc.’s directors, LA Live Cinemas LLC (“LA Live”), an affiliate of Regal, and Texas Cinemas, Corp., an affiliate of one of NCM, Inc.’s directors.</w:t>
      </w:r>
    </w:p>
    <w:p>
      <w:pPr>
        <w:spacing w:after="0" w:line="13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Other Transactions </w:t>
      </w:r>
      <w:r>
        <w:rPr>
          <w:rFonts w:ascii="Arial" w:cs="Arial" w:eastAsia="Arial" w:hAnsi="Arial"/>
          <w:sz w:val="16"/>
          <w:szCs w:val="16"/>
          <w:color w:val="auto"/>
        </w:rPr>
        <w:t>–NCM LLC has an agreement with Digital Cinema Integration Partners (“DCIP”), a joint venture owned by the founding members.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provides for payment of a fee to DCIP whenever the digital cinema equipment is used to exhibit a Fathom event. Such fee per event showing during non-prime times (as defined in the agreements) and showing during prime times is a standard fee that is charged to all alternative content owners (including major studios) who display their programming on the digital cinema projectors. During the three and six months ended June 27, 2013, we paid DCIP approximately $0.2 million and $0.4 million, respectively and during the three and six months ended June 28, 2012, we paid DCIP approximately $0.3 million and $0.4 million, respectively, under this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following table summarizes the Company’s total outstanding debt as of June 27, 2013 and December 27, 2012 and the significant terms of its borrowing arrangements.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89"/>
              </w:rPr>
              <w:t>Outstanding Balance as of</w:t>
            </w:r>
          </w:p>
        </w:tc>
        <w:tc>
          <w:tcPr>
            <w:tcW w:w="1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vMerge w:val="restart"/>
          </w:tcPr>
          <w:p>
            <w:pPr>
              <w:spacing w:after="0"/>
              <w:rPr>
                <w:sz w:val="11"/>
                <w:szCs w:val="11"/>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Borrowings ($ in millions)</w:t>
            </w:r>
          </w:p>
        </w:tc>
        <w:tc>
          <w:tcPr>
            <w:tcW w:w="3340" w:type="dxa"/>
            <w:vAlign w:val="bottom"/>
            <w:vMerge w:val="restart"/>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June 27,</w:t>
            </w:r>
          </w:p>
        </w:tc>
        <w:tc>
          <w:tcPr>
            <w:tcW w:w="5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27,</w:t>
            </w:r>
          </w:p>
        </w:tc>
        <w:tc>
          <w:tcPr>
            <w:tcW w:w="6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1580" w:type="dxa"/>
            <w:vAlign w:val="bottom"/>
            <w:tcBorders>
              <w:bottom w:val="single" w:sz="8" w:color="auto"/>
            </w:tcBorders>
            <w:gridSpan w:val="2"/>
            <w:vMerge w:val="continue"/>
          </w:tcPr>
          <w:p>
            <w:pPr>
              <w:spacing w:after="0"/>
              <w:rPr>
                <w:sz w:val="12"/>
                <w:szCs w:val="12"/>
                <w:color w:val="auto"/>
              </w:rPr>
            </w:pPr>
          </w:p>
        </w:tc>
        <w:tc>
          <w:tcPr>
            <w:tcW w:w="3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8"/>
              <w:spacing w:after="0" w:line="148" w:lineRule="exact"/>
              <w:rPr>
                <w:sz w:val="20"/>
                <w:szCs w:val="20"/>
                <w:color w:val="auto"/>
              </w:rPr>
            </w:pPr>
            <w:r>
              <w:rPr>
                <w:rFonts w:ascii="Arial" w:cs="Arial" w:eastAsia="Arial" w:hAnsi="Arial"/>
                <w:sz w:val="14"/>
                <w:szCs w:val="14"/>
                <w:b w:val="1"/>
                <w:bCs w:val="1"/>
                <w:color w:val="auto"/>
                <w:w w:val="83"/>
              </w:rPr>
              <w:t>2013</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2"/>
                <w:szCs w:val="12"/>
                <w:color w:val="auto"/>
              </w:rPr>
            </w:pPr>
          </w:p>
        </w:tc>
        <w:tc>
          <w:tcPr>
            <w:tcW w:w="214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2"/>
              </w:rPr>
              <w:t>Maturity Date</w:t>
            </w:r>
          </w:p>
        </w:tc>
        <w:tc>
          <w:tcPr>
            <w:tcW w:w="9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7"/>
              </w:rPr>
              <w:t>Interest Rate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49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5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600" w:type="dxa"/>
            <w:vAlign w:val="bottom"/>
            <w:vMerge w:val="continue"/>
            <w:shd w:val="clear" w:color="auto" w:fill="CCEEFF"/>
          </w:tcPr>
          <w:p>
            <w:pPr>
              <w:spacing w:after="0"/>
              <w:rPr>
                <w:sz w:val="17"/>
                <w:szCs w:val="17"/>
                <w:color w:val="auto"/>
              </w:rPr>
            </w:pPr>
          </w:p>
        </w:tc>
        <w:tc>
          <w:tcPr>
            <w:tcW w:w="1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xml:space="preserve">November 26, 2017 </w:t>
            </w:r>
            <w:r>
              <w:rPr>
                <w:rFonts w:ascii="Arial" w:cs="Arial" w:eastAsia="Arial" w:hAnsi="Arial"/>
                <w:sz w:val="18"/>
                <w:szCs w:val="18"/>
                <w:i w:val="1"/>
                <w:iCs w:val="1"/>
                <w:color w:val="auto"/>
                <w:w w:val="88"/>
              </w:rPr>
              <w:t>(1)</w:t>
            </w:r>
          </w:p>
        </w:tc>
        <w:tc>
          <w:tcPr>
            <w:tcW w:w="48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i w:val="1"/>
                <w:iCs w:val="1"/>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270.0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265.0</w:t>
            </w:r>
          </w:p>
        </w:tc>
        <w:tc>
          <w:tcPr>
            <w:tcW w:w="214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November 26, 2019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200.0</w:t>
            </w:r>
          </w:p>
        </w:tc>
        <w:tc>
          <w:tcPr>
            <w:tcW w:w="21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July 15, 2021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Senior Secured Notes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400.0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400.0</w:t>
            </w:r>
          </w:p>
        </w:tc>
        <w:tc>
          <w:tcPr>
            <w:tcW w:w="214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April 15, 2022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884.0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879.0</w:t>
            </w: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A portion of the revolving credit facility has a maturity date of December 31, 2014, as described in further detail below.</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Senior Secured Credit Facility</w:t>
      </w:r>
      <w:r>
        <w:rPr>
          <w:rFonts w:ascii="Arial" w:cs="Arial" w:eastAsia="Arial" w:hAnsi="Arial"/>
          <w:sz w:val="18"/>
          <w:szCs w:val="18"/>
          <w:color w:val="auto"/>
        </w:rPr>
        <w:t>— The Company’s senior secured credit facility consists of a $124.0 million revolving credit facility and a $270.0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On May 2, 2013, the Company entered into an amendment of its senior secured credit facility whereby the facility was increased from $265.0 million to $270.0 million. In connection with the amendment, the interest rates on the revolving credit facility and term loans were reduced as described further below. In addition, the Company recorded a non-cash charge of approximately $0.5 million for the write-off of net deferred issuance costs associated with the prior agreement and recorded approximately $0.7 million for certain new fees. The obligations under the facility are secured by a lien on substantially all of the assets of the Company.</w:t>
      </w:r>
    </w:p>
    <w:p>
      <w:pPr>
        <w:spacing w:after="0" w:line="144"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 The revolving credit facility portion of the Company’s total borrowings is available, subject to certain conditions, for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purposes of the Company in the ordinary course of business and for other transactions permitted under the senior secured credit facility, and a portion is available for letters of credit.</w:t>
      </w:r>
    </w:p>
    <w:p>
      <w:pPr>
        <w:spacing w:after="0" w:line="59"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Company’s total availability under the revolving credit facility is $124.0 million. The unused line fee is 0.50% per annum. Of the total available, $14.0 million outstanding principal of the revolving credit facility formerly held by Lehman Brothers Holdings, Inc. (“Lehman”) will not be repaid in connection with any future prepayments of the revolving credit facility amounts, but rather Lehman’s share of the revolving credit facility will be paid in full by the Company to the successor lenders, along with any accrued and unpaid fees and interest, on the revolving credit facility termination date of December 31, 2014. The maturity date applicable to any remaining outstanding principal is November 26, 2017.</w:t>
      </w:r>
    </w:p>
    <w:p>
      <w:pPr>
        <w:spacing w:after="0" w:line="35"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credit facility). On May 2, 2013, the Company entered into an amendment of its senior secured credit facility whereby the applicable margins on the $110.0 million portion of the revolving credit facility decreased by 25 basis points to the LIBOR index plus 2.00% or the base rate plus 1.00%. The margins on the $14.0 million portion of the revolving credit facility remained unchanged at the LIBOR index plus 1.50% or the base rate plus 0.50%. The weighted-average interest rate on the outstanding balance on the revolving credit facility as of June 27, 2013 was 1.70%.</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left="460" w:right="200"/>
        <w:spacing w:after="0" w:line="256"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In connection with the amendment of its senior secured credit facility on May 2, 2013, the interest rate on the term loans decreased by 50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to a rate at the Company’s option of either the LIBOR index plus 2.75% or the base rate (Prime Rate or the Federal Funds Effective Rate, as defined in the senior secured credit facility) plus 1.75%. The weighted-average interest rate on the term loans as of June 27, 2013 was 2.95%. Interest on the term loans is currently paid monthly.</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June 27, 2013,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June 27, 2013, the Company’s consolidated net senior secured leverage ratio was 2.9 times (versus the covenant of 6.5 times).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Senior Unsecured Notes due 2021— </w:t>
      </w:r>
      <w:r>
        <w:rPr>
          <w:rFonts w:ascii="Arial" w:cs="Arial" w:eastAsia="Arial" w:hAnsi="Arial"/>
          <w:sz w:val="16"/>
          <w:szCs w:val="16"/>
          <w:color w:val="auto"/>
        </w:rPr>
        <w:t>On July 5, 2011, the Company completed a private placement of $200.0 million in aggregate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7.875% Senior Unsecured Notes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covenants with which the Company was in compliance as of June 27, 2013.</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Senior Secured Notes due 2022— </w:t>
      </w:r>
      <w:r>
        <w:rPr>
          <w:rFonts w:ascii="Arial" w:cs="Arial" w:eastAsia="Arial" w:hAnsi="Arial"/>
          <w:sz w:val="16"/>
          <w:szCs w:val="16"/>
          <w:color w:val="auto"/>
        </w:rPr>
        <w:t>On April 27, 2012, the Company completed a private placement of $400.0 million in aggregate principal amount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6.00% Senior Secured Notes (the “Senior Secured Notes”) for which the registered exchange offering was completed on November 26, 2012. The Senior Secured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Notes pay interest semi-annually in arrears on April 15 and October 15 of each year, which commenced October 15, 2012. The Senior Secured Notes are senior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secured obligations of the Company, rank the same as the Company’s senior secured credit facility, subject to certain exceptions, and share in the same collateral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that secures the Company’s obligations under the senior secured credit facility. The Senior Secured Notes contain certain covenants with which the Company was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compliance as of June 27, 2013.</w:t>
      </w:r>
    </w:p>
    <w:p>
      <w:pPr>
        <w:spacing w:after="0" w:line="28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effect on its financial position, results of operations or cash flows.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 As part of the network affiliate agreements entered into in the ordinary course of business under which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$34.0 million over the remaining terms of the network affiliate agreements. As of June 27, 2013 and December 27, 2012, the Company had no liabilities recorded for these obligations as such guarantees are less than the expected share of revenue paid to the affiliate.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carrying amount of the revolving credit facility is considered a reasonable estimate of fair value due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floating-rate terms.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fair values of the Company’s financial instruments where carrying values do not approximate fair value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in millions)</w:t>
            </w:r>
          </w:p>
        </w:tc>
        <w:tc>
          <w:tcPr>
            <w:tcW w:w="2460" w:type="dxa"/>
            <w:vAlign w:val="bottom"/>
            <w:vMerge w:val="restart"/>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4"/>
                <w:szCs w:val="14"/>
                <w:b w:val="1"/>
                <w:bCs w:val="1"/>
                <w:color w:val="auto"/>
              </w:rPr>
              <w:t>As of June 27, 2013</w:t>
            </w: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27, 2012</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620" w:type="dxa"/>
            <w:vAlign w:val="bottom"/>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w w:val="89"/>
              </w:rPr>
              <w:t>Carrying Value</w:t>
            </w: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 xml:space="preserve">Fair Value </w:t>
            </w:r>
            <w:r>
              <w:rPr>
                <w:rFonts w:ascii="Arial" w:cs="Arial" w:eastAsia="Arial" w:hAnsi="Arial"/>
                <w:sz w:val="14"/>
                <w:szCs w:val="14"/>
                <w:b w:val="1"/>
                <w:bCs w:val="1"/>
                <w:i w:val="1"/>
                <w:iCs w:val="1"/>
                <w:color w:val="auto"/>
                <w:w w:val="88"/>
              </w:rPr>
              <w:t>(1)</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w w:val="89"/>
              </w:rPr>
              <w:t>Carrying Value</w:t>
            </w: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 xml:space="preserve">Fair Value </w:t>
            </w:r>
            <w:r>
              <w:rPr>
                <w:rFonts w:ascii="Arial" w:cs="Arial" w:eastAsia="Arial" w:hAnsi="Arial"/>
                <w:sz w:val="14"/>
                <w:szCs w:val="14"/>
                <w:b w:val="1"/>
                <w:bCs w:val="1"/>
                <w:i w:val="1"/>
                <w:iCs w:val="1"/>
                <w:color w:val="auto"/>
                <w:w w:val="88"/>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 Loans</w:t>
            </w:r>
          </w:p>
        </w:tc>
        <w:tc>
          <w:tcPr>
            <w:tcW w:w="15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270.0</w:t>
            </w:r>
          </w:p>
        </w:tc>
        <w:tc>
          <w:tcPr>
            <w:tcW w:w="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268.1</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265.0</w:t>
            </w:r>
          </w:p>
        </w:tc>
        <w:tc>
          <w:tcPr>
            <w:tcW w:w="7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2"/>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265.8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Senior Unsecured Notes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217.2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200.0</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400.0</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80" w:hanging="452"/>
        <w:spacing w:after="0" w:line="332" w:lineRule="auto"/>
        <w:tabs>
          <w:tab w:leader="none" w:pos="460" w:val="left"/>
        </w:tabs>
        <w:numPr>
          <w:ilvl w:val="0"/>
          <w:numId w:val="11"/>
        </w:numPr>
        <w:rPr>
          <w:rFonts w:ascii="Arial" w:cs="Arial" w:eastAsia="Arial" w:hAnsi="Arial"/>
          <w:sz w:val="16"/>
          <w:szCs w:val="16"/>
          <w:i w:val="1"/>
          <w:iCs w:val="1"/>
          <w:color w:val="auto"/>
        </w:rPr>
      </w:pPr>
      <w:r>
        <w:rPr>
          <w:rFonts w:ascii="Arial" w:cs="Arial" w:eastAsia="Arial" w:hAnsi="Arial"/>
          <w:sz w:val="16"/>
          <w:szCs w:val="16"/>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fourth quarter of 2011 and first quarter of 2012, the Company received equity securities in a privately held company as consideration for an advertising contract, which the Company accounted for as a cost method investment. The fair value of the investment has not been estimated as of June 27, 2013 or December 27, 2012 as there were no identified events or changes in circumstances that had a significant adverse effect on the fair value of the investment and it is not practicable to do so because the equity securities are not in a publicly traded company. The carrying amount of the Company’s investment was $0.8 million and $0.8 million as of June 27, 2013 and December 27, 2012, respectively.</w:t>
      </w:r>
    </w:p>
    <w:p>
      <w:pPr>
        <w:spacing w:after="0" w:line="2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2012, the Company terminated interest rate swap agreements that were used to hedge its interest rate risk associated with its term loan. Following the termination of the swap agreements, the variable interest rate on the Company’s $270.0 million term loan is unhedged and as of June 27, 2013 and December 27, 2012, the Company did not have any outstanding derivative assets or liabilities. In accordance with ASC 815 Derivatives and Hedging, the net derivative loss related to the discontinued cash flow hedges in Accumulated Other Comprehensive Income (“AOCI”) shall continue to be reported in AOCI unless it is not probable that the forecasted transaction will occur by the end of the originally specified time period. As of June 27, 2013, there was approximately $16.7 million outstanding related to these discontinued cash flow hedges which continues to be reported in AOCI, as the underlying debt transactions (interest payments) remain probable of occurring, and will be amortized in the Condensed Statements of Income over the remaining swap agreement term, or February 13, 2015.</w:t>
      </w:r>
    </w:p>
    <w:p>
      <w:pPr>
        <w:spacing w:after="0" w:line="14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the three and six months ended June 28, 2012, the Company also recorded changes in the fair value and amortization of AOCI related to an interest rate swap on its term loan in which the Company discontinued cash flow hedge accounting in 2008 due to the bankruptcy of its counterparty.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effect of derivative instruments with cash flow hedge accounting on the condensed financial statements for the three and six months ended June 27, 2013 and June 28, 2012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8"/>
          </w:tcPr>
          <w:p>
            <w:pPr>
              <w:jc w:val="center"/>
              <w:ind w:right="46"/>
              <w:spacing w:after="0"/>
              <w:rPr>
                <w:sz w:val="20"/>
                <w:szCs w:val="20"/>
                <w:color w:val="auto"/>
              </w:rPr>
            </w:pPr>
            <w:r>
              <w:rPr>
                <w:rFonts w:ascii="Arial" w:cs="Arial" w:eastAsia="Arial" w:hAnsi="Arial"/>
                <w:sz w:val="14"/>
                <w:szCs w:val="14"/>
                <w:b w:val="1"/>
                <w:bCs w:val="1"/>
                <w:color w:val="auto"/>
                <w:w w:val="89"/>
              </w:rPr>
              <w:t>Unrealized Gain (Loss) Recognized in NCM LLC’s</w:t>
            </w:r>
          </w:p>
        </w:tc>
        <w:tc>
          <w:tcPr>
            <w:tcW w:w="4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85"/>
              </w:rPr>
              <w:t>Realized Loss Recognized in Interest on</w:t>
            </w:r>
          </w:p>
        </w:tc>
      </w:tr>
      <w:tr>
        <w:trPr>
          <w:trHeight w:val="161"/>
        </w:trPr>
        <w:tc>
          <w:tcPr>
            <w:tcW w:w="4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center"/>
              <w:ind w:right="506"/>
              <w:spacing w:after="0"/>
              <w:rPr>
                <w:sz w:val="20"/>
                <w:szCs w:val="20"/>
                <w:color w:val="auto"/>
              </w:rPr>
            </w:pPr>
            <w:r>
              <w:rPr>
                <w:rFonts w:ascii="Arial" w:cs="Arial" w:eastAsia="Arial" w:hAnsi="Arial"/>
                <w:sz w:val="14"/>
                <w:szCs w:val="14"/>
                <w:b w:val="1"/>
                <w:bCs w:val="1"/>
                <w:color w:val="auto"/>
                <w:w w:val="88"/>
              </w:rPr>
              <w:t>Other Comprehensive Income (Pre-tax)</w:t>
            </w:r>
          </w:p>
        </w:tc>
        <w:tc>
          <w:tcPr>
            <w:tcW w:w="4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88"/>
              </w:rPr>
              <w:t>Borrowings (Pre-tax)</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w w:val="92"/>
              </w:rPr>
              <w:t>Three Months Ended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12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9"/>
                <w:szCs w:val="19"/>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4040" w:type="dxa"/>
            <w:vAlign w:val="bottom"/>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27,</w:t>
            </w:r>
          </w:p>
        </w:tc>
        <w:tc>
          <w:tcPr>
            <w:tcW w:w="3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w w:val="92"/>
              </w:rPr>
              <w:t>June 28,</w:t>
            </w:r>
          </w:p>
        </w:tc>
        <w:tc>
          <w:tcPr>
            <w:tcW w:w="380" w:type="dxa"/>
            <w:vAlign w:val="bottom"/>
          </w:tcPr>
          <w:p>
            <w:pPr>
              <w:spacing w:after="0"/>
              <w:rPr>
                <w:sz w:val="11"/>
                <w:szCs w:val="11"/>
                <w:color w:val="auto"/>
              </w:rPr>
            </w:pPr>
          </w:p>
        </w:tc>
        <w:tc>
          <w:tcPr>
            <w:tcW w:w="920" w:type="dxa"/>
            <w:vAlign w:val="bottom"/>
            <w:tcBorders>
              <w:top w:val="single" w:sz="8" w:color="auto"/>
            </w:tcBorders>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5"/>
              </w:rPr>
              <w:t>June 27,</w:t>
            </w:r>
          </w:p>
        </w:tc>
        <w:tc>
          <w:tcPr>
            <w:tcW w:w="6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6"/>
              </w:rPr>
              <w:t>June 28,</w:t>
            </w:r>
          </w:p>
        </w:tc>
        <w:tc>
          <w:tcPr>
            <w:tcW w:w="4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June 27,</w:t>
            </w:r>
          </w:p>
        </w:tc>
        <w:tc>
          <w:tcPr>
            <w:tcW w:w="5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9"/>
              </w:rPr>
              <w:t>June 28,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June 27,</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1"/>
                <w:szCs w:val="11"/>
                <w:color w:val="auto"/>
              </w:rPr>
            </w:pPr>
          </w:p>
        </w:tc>
      </w:t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7"/>
              <w:spacing w:after="0"/>
              <w:rPr>
                <w:sz w:val="20"/>
                <w:szCs w:val="20"/>
                <w:color w:val="auto"/>
              </w:rPr>
            </w:pPr>
            <w:r>
              <w:rPr>
                <w:rFonts w:ascii="Arial" w:cs="Arial" w:eastAsia="Arial" w:hAnsi="Arial"/>
                <w:sz w:val="14"/>
                <w:szCs w:val="14"/>
                <w:b w:val="1"/>
                <w:bCs w:val="1"/>
                <w:color w:val="auto"/>
                <w:w w:val="96"/>
              </w:rPr>
              <w:t>2013</w:t>
            </w:r>
          </w:p>
        </w:tc>
        <w:tc>
          <w:tcPr>
            <w:tcW w:w="100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6"/>
              <w:spacing w:after="0"/>
              <w:rPr>
                <w:sz w:val="20"/>
                <w:szCs w:val="20"/>
                <w:color w:val="auto"/>
              </w:rPr>
            </w:pPr>
            <w:r>
              <w:rPr>
                <w:rFonts w:ascii="Arial" w:cs="Arial" w:eastAsia="Arial" w:hAnsi="Arial"/>
                <w:sz w:val="14"/>
                <w:szCs w:val="14"/>
                <w:b w:val="1"/>
                <w:bCs w:val="1"/>
                <w:color w:val="auto"/>
                <w:w w:val="89"/>
              </w:rPr>
              <w:t>2013</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right w:val="single" w:sz="8" w:color="auto"/>
            </w:tcBorders>
          </w:tcPr>
          <w:p>
            <w:pPr>
              <w:spacing w:after="0"/>
              <w:rPr>
                <w:sz w:val="14"/>
                <w:szCs w:val="14"/>
                <w:color w:val="auto"/>
              </w:rPr>
            </w:pPr>
          </w:p>
        </w:tc>
        <w:tc>
          <w:tcPr>
            <w:tcW w:w="76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64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23.8</w:t>
            </w:r>
          </w:p>
        </w:tc>
        <w:tc>
          <w:tcPr>
            <w:tcW w:w="440" w:type="dxa"/>
            <w:vAlign w:val="bottom"/>
            <w:tcBorders>
              <w:top w:val="single" w:sz="8" w:color="CCEEFF"/>
              <w:right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(7.0)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 of derivatives not designated as hedging instruments under ASC 815 on the condensed financial statements for the three and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27, 2013 and June 28, 2012 were as follows (in millions):</w:t>
      </w:r>
    </w:p>
    <w:p>
      <w:pPr>
        <w:spacing w:after="0" w:line="201"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Gain (Loss) Recognized in Non-Operating</w:t>
      </w:r>
    </w:p>
    <w:p>
      <w:pPr>
        <w:jc w:val="center"/>
        <w:ind w:left="7960"/>
        <w:spacing w:after="0" w:line="221" w:lineRule="auto"/>
        <w:rPr>
          <w:sz w:val="20"/>
          <w:szCs w:val="20"/>
          <w:color w:val="auto"/>
        </w:rPr>
      </w:pPr>
      <w:r>
        <w:rPr>
          <w:rFonts w:ascii="Arial" w:cs="Arial" w:eastAsia="Arial" w:hAnsi="Arial"/>
          <w:sz w:val="14"/>
          <w:szCs w:val="14"/>
          <w:b w:val="1"/>
          <w:bCs w:val="1"/>
          <w:color w:val="auto"/>
        </w:rPr>
        <w:t>Expenses (Pre-tax)</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Income Statement</w:t>
            </w:r>
          </w:p>
        </w:tc>
        <w:tc>
          <w:tcPr>
            <w:tcW w:w="20" w:type="dxa"/>
            <w:vAlign w:val="bottom"/>
          </w:tcPr>
          <w:p>
            <w:pPr>
              <w:spacing w:after="0"/>
              <w:rPr>
                <w:sz w:val="20"/>
                <w:szCs w:val="20"/>
                <w:color w:val="auto"/>
              </w:rPr>
            </w:pPr>
          </w:p>
        </w:tc>
        <w:tc>
          <w:tcPr>
            <w:tcW w:w="1760" w:type="dxa"/>
            <w:vAlign w:val="bottom"/>
            <w:tcBorders>
              <w:top w:val="single" w:sz="8" w:color="auto"/>
              <w:right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w w:val="95"/>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Derivative Instruments not Designated as Hedging Instruments</w:t>
            </w:r>
          </w:p>
        </w:tc>
        <w:tc>
          <w:tcPr>
            <w:tcW w:w="2400" w:type="dxa"/>
            <w:vAlign w:val="bottom"/>
            <w:vMerge w:val="restart"/>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June 27,</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28,</w:t>
            </w:r>
          </w:p>
        </w:tc>
        <w:tc>
          <w:tcPr>
            <w:tcW w:w="4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27,</w:t>
            </w: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18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Location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Realized loss on derivative instruments</w:t>
            </w:r>
          </w:p>
        </w:tc>
        <w:tc>
          <w:tcPr>
            <w:tcW w:w="1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Interest on borrowings</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42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80" w:type="dxa"/>
            <w:vAlign w:val="bottom"/>
            <w:gridSpan w:val="2"/>
          </w:tcPr>
          <w:p>
            <w:pPr>
              <w:spacing w:after="0"/>
              <w:rPr>
                <w:sz w:val="20"/>
                <w:szCs w:val="20"/>
                <w:color w:val="auto"/>
              </w:rPr>
            </w:pPr>
            <w:r>
              <w:rPr>
                <w:rFonts w:ascii="Arial" w:cs="Arial" w:eastAsia="Arial" w:hAnsi="Arial"/>
                <w:sz w:val="18"/>
                <w:szCs w:val="18"/>
                <w:color w:val="auto"/>
              </w:rPr>
              <w:t>Gain (loss) from change in fair value on cash flow hedges</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Change in derivative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0.8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AOCI on discontinued cash flow hedges</w:t>
            </w: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Amortization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terminated derivatives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ind w:left="120"/>
              <w:spacing w:after="0"/>
              <w:rPr>
                <w:sz w:val="20"/>
                <w:szCs w:val="20"/>
                <w:color w:val="auto"/>
              </w:rPr>
            </w:pPr>
            <w:r>
              <w:rPr>
                <w:rFonts w:ascii="Arial" w:cs="Arial" w:eastAsia="Arial" w:hAnsi="Arial"/>
                <w:sz w:val="18"/>
                <w:szCs w:val="18"/>
                <w:color w:val="auto"/>
              </w:rPr>
              <w:t>(2.7)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AOCI by component for the six months ended June 27, 2013 were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5"/>
              </w:rPr>
              <w:t>Interest Rate Swaps</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Income Statement Location</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December 27, 2012</w:t>
            </w:r>
          </w:p>
        </w:tc>
        <w:tc>
          <w:tcPr>
            <w:tcW w:w="12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(21.9)</w:t>
            </w: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Amounts reclassified from AOCI:</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Amortization of terminated</w:t>
            </w:r>
          </w:p>
        </w:tc>
        <w:tc>
          <w:tcPr>
            <w:tcW w:w="0" w:type="dxa"/>
            <w:vAlign w:val="bottom"/>
          </w:tcPr>
          <w:p>
            <w:pPr>
              <w:spacing w:after="0"/>
              <w:rPr>
                <w:sz w:val="1"/>
                <w:szCs w:val="1"/>
                <w:color w:val="auto"/>
              </w:rPr>
            </w:pPr>
          </w:p>
        </w:tc>
      </w:tr>
      <w:tr>
        <w:trPr>
          <w:trHeight w:val="238"/>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Amortization on discontinued cash flow hedges</w:t>
            </w:r>
          </w:p>
        </w:tc>
        <w:tc>
          <w:tcPr>
            <w:tcW w:w="12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derivatives</w:t>
            </w:r>
          </w:p>
        </w:tc>
        <w:tc>
          <w:tcPr>
            <w:tcW w:w="0" w:type="dxa"/>
            <w:vAlign w:val="bottom"/>
          </w:tcPr>
          <w:p>
            <w:pPr>
              <w:spacing w:after="0"/>
              <w:rPr>
                <w:sz w:val="1"/>
                <w:szCs w:val="1"/>
                <w:color w:val="auto"/>
              </w:rPr>
            </w:pP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Total amounts reclassified from AOCI</w:t>
            </w:r>
          </w:p>
        </w:tc>
        <w:tc>
          <w:tcPr>
            <w:tcW w:w="1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w:t>
            </w:r>
          </w:p>
        </w:tc>
        <w:tc>
          <w:tcPr>
            <w:tcW w:w="1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tcPr>
          <w:p>
            <w:pPr>
              <w:spacing w:after="0"/>
              <w:rPr>
                <w:sz w:val="20"/>
                <w:szCs w:val="20"/>
                <w:color w:val="auto"/>
              </w:rPr>
            </w:pPr>
            <w:r>
              <w:rPr>
                <w:rFonts w:ascii="Arial" w:cs="Arial" w:eastAsia="Arial" w:hAnsi="Arial"/>
                <w:sz w:val="18"/>
                <w:szCs w:val="18"/>
                <w:color w:val="auto"/>
              </w:rPr>
              <w:t>Balance as of June 27, 2013</w:t>
            </w:r>
          </w:p>
        </w:tc>
        <w:tc>
          <w:tcPr>
            <w:tcW w:w="1680" w:type="dxa"/>
            <w:vAlign w:val="bottom"/>
            <w:gridSpan w:val="2"/>
          </w:tcPr>
          <w:p>
            <w:pPr>
              <w:jc w:val="right"/>
              <w:ind w:right="26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(16.7)</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40" w:type="dxa"/>
            <w:vAlign w:val="bottom"/>
            <w:vMerge w:val="restart"/>
          </w:tcPr>
          <w:p>
            <w:pPr>
              <w:jc w:val="right"/>
              <w:ind w:right="732"/>
              <w:spacing w:after="0"/>
              <w:rPr>
                <w:sz w:val="20"/>
                <w:szCs w:val="20"/>
                <w:color w:val="auto"/>
              </w:rPr>
            </w:pPr>
            <w:r>
              <w:rPr>
                <w:rFonts w:ascii="Arial" w:cs="Arial" w:eastAsia="Arial" w:hAnsi="Arial"/>
                <w:sz w:val="18"/>
                <w:szCs w:val="18"/>
                <w:color w:val="auto"/>
              </w:rPr>
              <w:t>18</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Advertising revenue accounted for 95.2%, 92.0%, 93.0% and 88.6% of revenue for the three and six months ended June 27, 2013 and June 28, 2012, respectively. The following tables present revenue less directly identifiable expenses to arrive at income before income taxes, net of direct expenses for the advertising reportable segment, the combined Fathom Events operating segments, and network, administrative and unallocated costs.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5"/>
          </w:tcPr>
          <w:p>
            <w:pPr>
              <w:jc w:val="right"/>
              <w:ind w:right="560"/>
              <w:spacing w:after="0"/>
              <w:rPr>
                <w:sz w:val="20"/>
                <w:szCs w:val="20"/>
                <w:color w:val="auto"/>
              </w:rPr>
            </w:pPr>
            <w:r>
              <w:rPr>
                <w:rFonts w:ascii="Arial" w:cs="Arial" w:eastAsia="Arial" w:hAnsi="Arial"/>
                <w:sz w:val="14"/>
                <w:szCs w:val="14"/>
                <w:b w:val="1"/>
                <w:bCs w:val="1"/>
                <w:color w:val="auto"/>
                <w:w w:val="89"/>
              </w:rPr>
              <w:t>Three Months Ended June 27, 2013 (in millions)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center"/>
              <w:ind w:right="860"/>
              <w:spacing w:after="0" w:line="131" w:lineRule="exact"/>
              <w:rPr>
                <w:sz w:val="20"/>
                <w:szCs w:val="20"/>
                <w:color w:val="auto"/>
              </w:rPr>
            </w:pPr>
            <w:r>
              <w:rPr>
                <w:rFonts w:ascii="Arial" w:cs="Arial" w:eastAsia="Arial" w:hAnsi="Arial"/>
                <w:sz w:val="14"/>
                <w:szCs w:val="14"/>
                <w:color w:val="auto"/>
                <w:w w:val="90"/>
              </w:rPr>
              <w:t>Network,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6"/>
          </w:tcPr>
          <w:p>
            <w:pPr>
              <w:jc w:val="center"/>
              <w:ind w:right="700"/>
              <w:spacing w:after="0" w:line="149" w:lineRule="exact"/>
              <w:rPr>
                <w:sz w:val="20"/>
                <w:szCs w:val="20"/>
                <w:color w:val="auto"/>
              </w:rPr>
            </w:pPr>
            <w:r>
              <w:rPr>
                <w:rFonts w:ascii="Arial" w:cs="Arial" w:eastAsia="Arial" w:hAnsi="Arial"/>
                <w:sz w:val="14"/>
                <w:szCs w:val="14"/>
                <w:color w:val="auto"/>
                <w:w w:val="93"/>
              </w:rPr>
              <w:t>Administrative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80" w:type="dxa"/>
            <w:vAlign w:val="bottom"/>
            <w:gridSpan w:val="7"/>
          </w:tcPr>
          <w:p>
            <w:pPr>
              <w:spacing w:after="0" w:line="159" w:lineRule="exact"/>
              <w:rPr>
                <w:sz w:val="20"/>
                <w:szCs w:val="20"/>
                <w:color w:val="auto"/>
              </w:rPr>
            </w:pPr>
            <w:r>
              <w:rPr>
                <w:rFonts w:ascii="Arial" w:cs="Arial" w:eastAsia="Arial" w:hAnsi="Arial"/>
                <w:sz w:val="14"/>
                <w:szCs w:val="14"/>
                <w:color w:val="auto"/>
              </w:rPr>
              <w:t>Advertising</w:t>
            </w:r>
          </w:p>
        </w:tc>
        <w:tc>
          <w:tcPr>
            <w:tcW w:w="340" w:type="dxa"/>
            <w:vAlign w:val="bottom"/>
          </w:tcPr>
          <w:p>
            <w:pPr>
              <w:spacing w:after="0"/>
              <w:rPr>
                <w:sz w:val="13"/>
                <w:szCs w:val="13"/>
                <w:color w:val="auto"/>
              </w:rPr>
            </w:pPr>
          </w:p>
        </w:tc>
        <w:tc>
          <w:tcPr>
            <w:tcW w:w="1000" w:type="dxa"/>
            <w:vAlign w:val="bottom"/>
            <w:gridSpan w:val="6"/>
          </w:tcPr>
          <w:p>
            <w:pPr>
              <w:ind w:left="20"/>
              <w:spacing w:after="0" w:line="159" w:lineRule="exact"/>
              <w:rPr>
                <w:sz w:val="20"/>
                <w:szCs w:val="20"/>
                <w:color w:val="auto"/>
              </w:rPr>
            </w:pPr>
            <w:r>
              <w:rPr>
                <w:rFonts w:ascii="Arial" w:cs="Arial" w:eastAsia="Arial" w:hAnsi="Arial"/>
                <w:sz w:val="14"/>
                <w:szCs w:val="14"/>
                <w:color w:val="auto"/>
              </w:rPr>
              <w:t>Fathom Events</w:t>
            </w:r>
          </w:p>
        </w:tc>
        <w:tc>
          <w:tcPr>
            <w:tcW w:w="500" w:type="dxa"/>
            <w:vAlign w:val="bottom"/>
          </w:tcPr>
          <w:p>
            <w:pPr>
              <w:spacing w:after="0"/>
              <w:rPr>
                <w:sz w:val="13"/>
                <w:szCs w:val="13"/>
                <w:color w:val="auto"/>
              </w:rPr>
            </w:pPr>
          </w:p>
        </w:tc>
        <w:tc>
          <w:tcPr>
            <w:tcW w:w="1580" w:type="dxa"/>
            <w:vAlign w:val="bottom"/>
            <w:gridSpan w:val="7"/>
          </w:tcPr>
          <w:p>
            <w:pPr>
              <w:ind w:left="20"/>
              <w:spacing w:after="0" w:line="159" w:lineRule="exact"/>
              <w:rPr>
                <w:sz w:val="20"/>
                <w:szCs w:val="20"/>
                <w:color w:val="auto"/>
              </w:rPr>
            </w:pPr>
            <w:r>
              <w:rPr>
                <w:rFonts w:ascii="Arial" w:cs="Arial" w:eastAsia="Arial" w:hAnsi="Arial"/>
                <w:sz w:val="14"/>
                <w:szCs w:val="14"/>
                <w:color w:val="auto"/>
              </w:rPr>
              <w:t>and Unallocated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116.9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Operating costs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3"/>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1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75.6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5"/>
          </w:tcPr>
          <w:p>
            <w:pPr>
              <w:jc w:val="right"/>
              <w:ind w:right="560"/>
              <w:spacing w:after="0"/>
              <w:rPr>
                <w:sz w:val="20"/>
                <w:szCs w:val="20"/>
                <w:color w:val="auto"/>
              </w:rPr>
            </w:pPr>
            <w:r>
              <w:rPr>
                <w:rFonts w:ascii="Arial" w:cs="Arial" w:eastAsia="Arial" w:hAnsi="Arial"/>
                <w:sz w:val="14"/>
                <w:szCs w:val="14"/>
                <w:b w:val="1"/>
                <w:bCs w:val="1"/>
                <w:color w:val="auto"/>
                <w:w w:val="89"/>
              </w:rPr>
              <w:t>Three Months Ended June 28, 2012 (in millions)</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center"/>
              <w:ind w:right="820"/>
              <w:spacing w:after="0" w:line="131" w:lineRule="exact"/>
              <w:rPr>
                <w:sz w:val="20"/>
                <w:szCs w:val="20"/>
                <w:color w:val="auto"/>
              </w:rPr>
            </w:pPr>
            <w:r>
              <w:rPr>
                <w:rFonts w:ascii="Arial" w:cs="Arial" w:eastAsia="Arial" w:hAnsi="Arial"/>
                <w:sz w:val="14"/>
                <w:szCs w:val="14"/>
                <w:color w:val="auto"/>
                <w:w w:val="90"/>
              </w:rPr>
              <w:t>Network,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6"/>
          </w:tcPr>
          <w:p>
            <w:pPr>
              <w:jc w:val="center"/>
              <w:ind w:right="660"/>
              <w:spacing w:after="0" w:line="149" w:lineRule="exact"/>
              <w:rPr>
                <w:sz w:val="20"/>
                <w:szCs w:val="20"/>
                <w:color w:val="auto"/>
              </w:rPr>
            </w:pPr>
            <w:r>
              <w:rPr>
                <w:rFonts w:ascii="Arial" w:cs="Arial" w:eastAsia="Arial" w:hAnsi="Arial"/>
                <w:sz w:val="14"/>
                <w:szCs w:val="14"/>
                <w:color w:val="auto"/>
                <w:w w:val="93"/>
              </w:rPr>
              <w:t>Administrative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6"/>
          </w:tcPr>
          <w:p>
            <w:pPr>
              <w:spacing w:after="0" w:line="159" w:lineRule="exact"/>
              <w:rPr>
                <w:sz w:val="20"/>
                <w:szCs w:val="20"/>
                <w:color w:val="auto"/>
              </w:rPr>
            </w:pPr>
            <w:r>
              <w:rPr>
                <w:rFonts w:ascii="Arial" w:cs="Arial" w:eastAsia="Arial" w:hAnsi="Arial"/>
                <w:sz w:val="14"/>
                <w:szCs w:val="14"/>
                <w:color w:val="auto"/>
              </w:rPr>
              <w:t>Advertising</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tcPr>
          <w:p>
            <w:pPr>
              <w:spacing w:after="0" w:line="159" w:lineRule="exact"/>
              <w:rPr>
                <w:sz w:val="20"/>
                <w:szCs w:val="20"/>
                <w:color w:val="auto"/>
              </w:rPr>
            </w:pPr>
            <w:r>
              <w:rPr>
                <w:rFonts w:ascii="Arial" w:cs="Arial" w:eastAsia="Arial" w:hAnsi="Arial"/>
                <w:sz w:val="14"/>
                <w:szCs w:val="14"/>
                <w:color w:val="auto"/>
              </w:rPr>
              <w:t>Fathom Events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6"/>
          </w:tcPr>
          <w:p>
            <w:pPr>
              <w:spacing w:after="0" w:line="159" w:lineRule="exact"/>
              <w:rPr>
                <w:sz w:val="20"/>
                <w:szCs w:val="20"/>
                <w:color w:val="auto"/>
              </w:rPr>
            </w:pPr>
            <w:r>
              <w:rPr>
                <w:rFonts w:ascii="Arial" w:cs="Arial" w:eastAsia="Arial" w:hAnsi="Arial"/>
                <w:sz w:val="14"/>
                <w:szCs w:val="14"/>
                <w:color w:val="auto"/>
              </w:rPr>
              <w:t>and Unallocated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5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101.3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Operating costs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1720" w:type="dxa"/>
            <w:vAlign w:val="bottom"/>
            <w:gridSpan w:val="3"/>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62.1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5"/>
          </w:tcPr>
          <w:p>
            <w:pPr>
              <w:jc w:val="right"/>
              <w:ind w:right="520"/>
              <w:spacing w:after="0"/>
              <w:rPr>
                <w:sz w:val="20"/>
                <w:szCs w:val="20"/>
                <w:color w:val="auto"/>
              </w:rPr>
            </w:pPr>
            <w:r>
              <w:rPr>
                <w:rFonts w:ascii="Arial" w:cs="Arial" w:eastAsia="Arial" w:hAnsi="Arial"/>
                <w:sz w:val="14"/>
                <w:szCs w:val="14"/>
                <w:b w:val="1"/>
                <w:bCs w:val="1"/>
                <w:color w:val="auto"/>
                <w:w w:val="96"/>
              </w:rPr>
              <w:t>Six Months Ended June 27, 2013 (in millions)</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right"/>
              <w:ind w:right="800"/>
              <w:spacing w:after="0" w:line="131" w:lineRule="exact"/>
              <w:rPr>
                <w:sz w:val="20"/>
                <w:szCs w:val="20"/>
                <w:color w:val="auto"/>
              </w:rPr>
            </w:pPr>
            <w:r>
              <w:rPr>
                <w:rFonts w:ascii="Arial" w:cs="Arial" w:eastAsia="Arial" w:hAnsi="Arial"/>
                <w:sz w:val="14"/>
                <w:szCs w:val="14"/>
                <w:color w:val="auto"/>
              </w:rPr>
              <w:t>Network,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5"/>
          </w:tcPr>
          <w:p>
            <w:pPr>
              <w:jc w:val="right"/>
              <w:ind w:right="640"/>
              <w:spacing w:after="0" w:line="149" w:lineRule="exact"/>
              <w:rPr>
                <w:sz w:val="20"/>
                <w:szCs w:val="20"/>
                <w:color w:val="auto"/>
              </w:rPr>
            </w:pPr>
            <w:r>
              <w:rPr>
                <w:rFonts w:ascii="Arial" w:cs="Arial" w:eastAsia="Arial" w:hAnsi="Arial"/>
                <w:sz w:val="14"/>
                <w:szCs w:val="14"/>
                <w:color w:val="auto"/>
                <w:w w:val="95"/>
              </w:rPr>
              <w:t>Administrative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5"/>
          </w:tcPr>
          <w:p>
            <w:pPr>
              <w:ind w:left="20"/>
              <w:spacing w:after="0" w:line="159" w:lineRule="exact"/>
              <w:rPr>
                <w:sz w:val="20"/>
                <w:szCs w:val="20"/>
                <w:color w:val="auto"/>
              </w:rPr>
            </w:pPr>
            <w:r>
              <w:rPr>
                <w:rFonts w:ascii="Arial" w:cs="Arial" w:eastAsia="Arial" w:hAnsi="Arial"/>
                <w:sz w:val="14"/>
                <w:szCs w:val="14"/>
                <w:color w:val="auto"/>
              </w:rPr>
              <w:t>Advertising</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4"/>
          </w:tcPr>
          <w:p>
            <w:pPr>
              <w:ind w:left="20"/>
              <w:spacing w:after="0" w:line="159" w:lineRule="exact"/>
              <w:rPr>
                <w:sz w:val="20"/>
                <w:szCs w:val="20"/>
                <w:color w:val="auto"/>
              </w:rPr>
            </w:pPr>
            <w:r>
              <w:rPr>
                <w:rFonts w:ascii="Arial" w:cs="Arial" w:eastAsia="Arial" w:hAnsi="Arial"/>
                <w:sz w:val="14"/>
                <w:szCs w:val="14"/>
                <w:color w:val="auto"/>
                <w:w w:val="84"/>
              </w:rPr>
              <w:t>Fathom Events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5"/>
          </w:tcPr>
          <w:p>
            <w:pPr>
              <w:ind w:left="20"/>
              <w:spacing w:after="0" w:line="159" w:lineRule="exact"/>
              <w:rPr>
                <w:sz w:val="20"/>
                <w:szCs w:val="20"/>
                <w:color w:val="auto"/>
              </w:rPr>
            </w:pPr>
            <w:r>
              <w:rPr>
                <w:rFonts w:ascii="Arial" w:cs="Arial" w:eastAsia="Arial" w:hAnsi="Arial"/>
                <w:sz w:val="14"/>
                <w:szCs w:val="14"/>
                <w:color w:val="auto"/>
              </w:rPr>
              <w:t>and Unallocated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gridSpan w:val="3"/>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8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Operating costs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32.5</w:t>
            </w: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114.0</w:t>
            </w:r>
          </w:p>
        </w:tc>
        <w:tc>
          <w:tcPr>
            <w:tcW w:w="7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8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4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(69.1)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80" w:type="dxa"/>
            <w:vAlign w:val="bottom"/>
            <w:vMerge w:val="restart"/>
          </w:tcPr>
          <w:p>
            <w:pPr>
              <w:jc w:val="right"/>
              <w:ind w:right="7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3"/>
          </w:tcPr>
          <w:p>
            <w:pPr>
              <w:jc w:val="right"/>
              <w:ind w:right="40"/>
              <w:spacing w:after="0"/>
              <w:rPr>
                <w:sz w:val="20"/>
                <w:szCs w:val="20"/>
                <w:color w:val="auto"/>
              </w:rPr>
            </w:pPr>
            <w:r>
              <w:rPr>
                <w:rFonts w:ascii="Arial" w:cs="Arial" w:eastAsia="Arial" w:hAnsi="Arial"/>
                <w:sz w:val="14"/>
                <w:szCs w:val="14"/>
                <w:b w:val="1"/>
                <w:bCs w:val="1"/>
                <w:color w:val="auto"/>
                <w:w w:val="89"/>
              </w:rPr>
              <w:t>Six Months Ended June 28, 2012 (in millions)</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4"/>
          </w:tcPr>
          <w:p>
            <w:pPr>
              <w:jc w:val="right"/>
              <w:ind w:right="540"/>
              <w:spacing w:after="0" w:line="131" w:lineRule="exact"/>
              <w:rPr>
                <w:sz w:val="20"/>
                <w:szCs w:val="20"/>
                <w:color w:val="auto"/>
              </w:rPr>
            </w:pPr>
            <w:r>
              <w:rPr>
                <w:rFonts w:ascii="Arial" w:cs="Arial" w:eastAsia="Arial" w:hAnsi="Arial"/>
                <w:sz w:val="14"/>
                <w:szCs w:val="14"/>
                <w:color w:val="auto"/>
                <w:w w:val="94"/>
              </w:rPr>
              <w:t>Network,</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4"/>
          </w:tcPr>
          <w:p>
            <w:pPr>
              <w:jc w:val="center"/>
              <w:ind w:right="380"/>
              <w:spacing w:after="0" w:line="149" w:lineRule="exact"/>
              <w:rPr>
                <w:sz w:val="20"/>
                <w:szCs w:val="20"/>
                <w:color w:val="auto"/>
              </w:rPr>
            </w:pPr>
            <w:r>
              <w:rPr>
                <w:rFonts w:ascii="Arial" w:cs="Arial" w:eastAsia="Arial" w:hAnsi="Arial"/>
                <w:sz w:val="14"/>
                <w:szCs w:val="14"/>
                <w:color w:val="auto"/>
                <w:w w:val="88"/>
              </w:rPr>
              <w:t>Fathom</w:t>
            </w:r>
          </w:p>
        </w:tc>
        <w:tc>
          <w:tcPr>
            <w:tcW w:w="160" w:type="dxa"/>
            <w:vAlign w:val="bottom"/>
          </w:tcPr>
          <w:p>
            <w:pPr>
              <w:spacing w:after="0"/>
              <w:rPr>
                <w:sz w:val="12"/>
                <w:szCs w:val="12"/>
                <w:color w:val="auto"/>
              </w:rPr>
            </w:pPr>
          </w:p>
        </w:tc>
        <w:tc>
          <w:tcPr>
            <w:tcW w:w="124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Administrative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020" w:type="dxa"/>
            <w:vAlign w:val="bottom"/>
            <w:gridSpan w:val="6"/>
          </w:tcPr>
          <w:p>
            <w:pPr>
              <w:spacing w:after="0" w:line="159" w:lineRule="exact"/>
              <w:rPr>
                <w:sz w:val="20"/>
                <w:szCs w:val="20"/>
                <w:color w:val="auto"/>
              </w:rPr>
            </w:pPr>
            <w:r>
              <w:rPr>
                <w:rFonts w:ascii="Arial" w:cs="Arial" w:eastAsia="Arial" w:hAnsi="Arial"/>
                <w:sz w:val="14"/>
                <w:szCs w:val="14"/>
                <w:color w:val="auto"/>
              </w:rPr>
              <w:t>Advertising</w:t>
            </w:r>
          </w:p>
        </w:tc>
        <w:tc>
          <w:tcPr>
            <w:tcW w:w="160" w:type="dxa"/>
            <w:vAlign w:val="bottom"/>
          </w:tcPr>
          <w:p>
            <w:pPr>
              <w:spacing w:after="0"/>
              <w:rPr>
                <w:sz w:val="13"/>
                <w:szCs w:val="13"/>
                <w:color w:val="auto"/>
              </w:rPr>
            </w:pPr>
          </w:p>
        </w:tc>
        <w:tc>
          <w:tcPr>
            <w:tcW w:w="800" w:type="dxa"/>
            <w:vAlign w:val="bottom"/>
            <w:gridSpan w:val="4"/>
          </w:tcPr>
          <w:p>
            <w:pPr>
              <w:jc w:val="center"/>
              <w:ind w:right="380"/>
              <w:spacing w:after="0" w:line="159" w:lineRule="exact"/>
              <w:rPr>
                <w:sz w:val="20"/>
                <w:szCs w:val="20"/>
                <w:color w:val="auto"/>
              </w:rPr>
            </w:pPr>
            <w:r>
              <w:rPr>
                <w:rFonts w:ascii="Arial" w:cs="Arial" w:eastAsia="Arial" w:hAnsi="Arial"/>
                <w:sz w:val="14"/>
                <w:szCs w:val="14"/>
                <w:color w:val="auto"/>
                <w:w w:val="88"/>
              </w:rPr>
              <w:t>Events</w:t>
            </w:r>
          </w:p>
        </w:tc>
        <w:tc>
          <w:tcPr>
            <w:tcW w:w="160" w:type="dxa"/>
            <w:vAlign w:val="bottom"/>
          </w:tcPr>
          <w:p>
            <w:pPr>
              <w:spacing w:after="0"/>
              <w:rPr>
                <w:sz w:val="13"/>
                <w:szCs w:val="13"/>
                <w:color w:val="auto"/>
              </w:rPr>
            </w:pPr>
          </w:p>
        </w:tc>
        <w:tc>
          <w:tcPr>
            <w:tcW w:w="1240" w:type="dxa"/>
            <w:vAlign w:val="bottom"/>
            <w:gridSpan w:val="5"/>
          </w:tcPr>
          <w:p>
            <w:pPr>
              <w:spacing w:after="0" w:line="159" w:lineRule="exact"/>
              <w:rPr>
                <w:sz w:val="20"/>
                <w:szCs w:val="20"/>
                <w:color w:val="auto"/>
              </w:rPr>
            </w:pPr>
            <w:r>
              <w:rPr>
                <w:rFonts w:ascii="Arial" w:cs="Arial" w:eastAsia="Arial" w:hAnsi="Arial"/>
                <w:sz w:val="14"/>
                <w:szCs w:val="14"/>
                <w:color w:val="auto"/>
              </w:rPr>
              <w:t>and Unallocated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$ 21.6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57.1</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(93.4)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The following is a summary of revenues by category (in millions):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Three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Three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Six Months</w:t>
            </w:r>
          </w:p>
        </w:tc>
        <w:tc>
          <w:tcPr>
            <w:tcW w:w="40" w:type="dxa"/>
            <w:vAlign w:val="bottom"/>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Ended</w:t>
            </w:r>
          </w:p>
        </w:tc>
        <w:tc>
          <w:tcPr>
            <w:tcW w:w="40" w:type="dxa"/>
            <w:vAlign w:val="bottom"/>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June 27,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28,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June 27,</w:t>
            </w:r>
          </w:p>
        </w:tc>
        <w:tc>
          <w:tcPr>
            <w:tcW w:w="40" w:type="dxa"/>
            <w:vAlign w:val="bottom"/>
          </w:tcPr>
          <w:p>
            <w:pPr>
              <w:spacing w:after="0"/>
              <w:rPr>
                <w:sz w:val="12"/>
                <w:szCs w:val="12"/>
                <w:color w:val="auto"/>
              </w:rPr>
            </w:pPr>
          </w:p>
        </w:tc>
        <w:tc>
          <w:tcPr>
            <w:tcW w:w="7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June 28,</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4"/>
          </w:tcPr>
          <w:p>
            <w:pPr>
              <w:jc w:val="center"/>
              <w:ind w:left="114"/>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c>
          <w:tcPr>
            <w:tcW w:w="800" w:type="dxa"/>
            <w:vAlign w:val="bottom"/>
            <w:gridSpan w:val="4"/>
          </w:tcPr>
          <w:p>
            <w:pPr>
              <w:jc w:val="center"/>
              <w:ind w:left="214"/>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$ 83.4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$ 71.9</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1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960" w:type="dxa"/>
            <w:vAlign w:val="bottom"/>
            <w:gridSpan w:val="5"/>
          </w:tcPr>
          <w:p>
            <w:pPr>
              <w:jc w:val="right"/>
              <w:ind w:right="16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6"/>
              </w:rPr>
              <w:t>Founding member advertising revenue from beverage concessionaire agreements</w:t>
            </w:r>
          </w:p>
        </w:tc>
        <w:tc>
          <w:tcPr>
            <w:tcW w:w="1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9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1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960" w:type="dxa"/>
            <w:vAlign w:val="bottom"/>
            <w:gridSpan w:val="5"/>
          </w:tcPr>
          <w:p>
            <w:pPr>
              <w:jc w:val="right"/>
              <w:ind w:right="16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122.8</w:t>
            </w:r>
          </w:p>
        </w:tc>
        <w:tc>
          <w:tcPr>
            <w:tcW w:w="160" w:type="dxa"/>
            <w:vAlign w:val="bottom"/>
          </w:tcPr>
          <w:p>
            <w:pPr>
              <w:spacing w:after="0"/>
              <w:rPr>
                <w:sz w:val="19"/>
                <w:szCs w:val="19"/>
                <w:color w:val="auto"/>
              </w:rPr>
            </w:pPr>
          </w:p>
        </w:tc>
        <w:tc>
          <w:tcPr>
            <w:tcW w:w="960" w:type="dxa"/>
            <w:vAlign w:val="bottom"/>
            <w:gridSpan w:val="5"/>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110.1</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w:t>
            </w:r>
            <w:r>
              <w:rPr>
                <w:rFonts w:ascii="Arial" w:cs="Arial" w:eastAsia="Arial" w:hAnsi="Arial"/>
                <w:sz w:val="18"/>
                <w:szCs w:val="18"/>
                <w:u w:val="single" w:color="auto"/>
                <w:color w:val="auto"/>
              </w:rPr>
              <w:t>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189.</w:t>
            </w:r>
            <w:r>
              <w:rPr>
                <w:rFonts w:ascii="Arial" w:cs="Arial" w:eastAsia="Arial" w:hAnsi="Arial"/>
                <w:sz w:val="18"/>
                <w:szCs w:val="18"/>
                <w:u w:val="single" w:color="auto"/>
                <w:color w:val="auto"/>
                <w:w w:val="84"/>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1, 2013, a non-binding letter of intent was signed amongst NCM LLC, Regal, Cinemark and AMC whereby NCM LLC will contribute the assets of its Fathom Events division to a new entity to be formed by the founding members in exchange for an interest-bearing $25 million promissory note guaranteed by the founding members. NCM LLC will retain a 10% ownership in the new entity and Regal, Cinemark and AMC will own the remaining 90%. The letter of intent provides for a transition services agreement whereby NCM LLC will agree to provide certain corporate overhead services to the new entity for a period of nine months following the closing for a fee. The closing of the transaction is expected late in the third quarter of 2013 or early in the fourth quarter of 2013. Due to the related party nature of this transaction, the Company formed a committee of independent directors which is being advised by an independent investment banking advisory firm.</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27, 2012. The following discussion and analysis should be read in conjunction with the unaudited condensed financial statements and notes thereto included herein and the audited financial statements and other disclosure included in our annual report on Form 10-K for the Company’s fiscal year ended December 27,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operate the largest digital in-theatre network in North America, for the distribution of advertising and Fathom Events. Our revenue is principally derived from the sale of advertising and, to a lesser extent, from our Fathom Events business. We have long-term ESAs with our founding members and multi-year agreements with network affiliates. The ESAs with the founding members and network affiliate agreements grant us exclusive rights, subject to limited exceptions, to sell advertising and distribute entertainment programming in those theatres. Our advertising FirstLook pre-show and lobby entertainment network (“LEN”) programming and Fathom Event programming are distributed across our proprietary digital content network (“DCN”) and live digital broadcast network (“DBN”). Approximately 97% of the aggregate founding member and network affiliate theatre attendance is generated by theatres connected to our DCN.</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in an effort to identify trends and changes in our business. We focus on operating metrics including changes in OIBDA, Adjusted OIBDA and Adjusted OIBDA margin, as defined and discussed in “Non-GAAP Financial Measures” below, as some of our primary measurement metrics. In addition, we monitor our monthly advertising performance measurements, including advertising inventory utilization, pricing (CPM), local and total advertising revenue per attendee and the number of Fathom Events locations, revenue per event, attendance per event and location, as well as our operating cash flow and related financial leverage and revolving credit facility availability to ensure that there is adequate cash availability to fund our working capital needs and debt obligations.</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March 21, 2013 for the Company’s fiscal year ended December 27,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Six Months Ended</w:t>
            </w:r>
          </w:p>
        </w:tc>
      </w:tr>
      <w:tr>
        <w:trPr>
          <w:trHeight w:val="129"/>
        </w:trPr>
        <w:tc>
          <w:tcPr>
            <w:tcW w:w="6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27,</w:t>
            </w: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June 28,</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2"/>
              </w:rPr>
              <w:t>June 27,</w:t>
            </w: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June 28,</w:t>
            </w:r>
          </w:p>
        </w:tc>
        <w:tc>
          <w:tcPr>
            <w:tcW w:w="200" w:type="dxa"/>
            <w:vAlign w:val="bottom"/>
          </w:tcPr>
          <w:p>
            <w:pPr>
              <w:spacing w:after="0"/>
              <w:rPr>
                <w:sz w:val="11"/>
                <w:szCs w:val="11"/>
                <w:color w:val="auto"/>
              </w:rPr>
            </w:pPr>
          </w:p>
        </w:tc>
      </w:tr>
      <w:tr>
        <w:trPr>
          <w:trHeight w:val="161"/>
        </w:trPr>
        <w:tc>
          <w:tcPr>
            <w:tcW w:w="6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 except per share and per attendee data)</w:t>
            </w: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205.0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189.2</w:t>
            </w:r>
          </w:p>
        </w:tc>
        <w:tc>
          <w:tcPr>
            <w:tcW w:w="2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income</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62.3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Adjusted OIBDA margin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Total advertising revenue</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116.9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190.6</w:t>
            </w:r>
          </w:p>
        </w:tc>
        <w:tc>
          <w:tcPr>
            <w:tcW w:w="3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167.6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theatre attendance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187.2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344.0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0.624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0.579</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0.558</w:t>
            </w:r>
          </w:p>
        </w:tc>
        <w:tc>
          <w:tcPr>
            <w:tcW w:w="3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0.487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advertising revenue (excluding founding member beverage revenue) per attendee</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0.565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0.521</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0.499</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0.429</w:t>
            </w: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Total local advertising revenue per attendee</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0.120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0.110</w:t>
            </w:r>
          </w:p>
        </w:tc>
        <w:tc>
          <w:tcPr>
            <w:tcW w:w="3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0.104</w:t>
            </w:r>
          </w:p>
        </w:tc>
        <w:tc>
          <w:tcPr>
            <w:tcW w:w="30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0.088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U.S. GAAP. OIBDA represents net income (loss) plus income tax expense, interest and other costs and depreciation and amortization expense. Adjusted OIBDA excludes from OIBDA non-cash share based payment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net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consolidated net income to OIBDA and Adjusted OIBDA for the periods presented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27,</w:t>
            </w: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June 28,</w:t>
            </w:r>
          </w:p>
        </w:tc>
        <w:tc>
          <w:tcPr>
            <w:tcW w:w="540" w:type="dxa"/>
            <w:vAlign w:val="bottom"/>
          </w:tcPr>
          <w:p>
            <w:pPr>
              <w:spacing w:after="0"/>
              <w:rPr>
                <w:sz w:val="11"/>
                <w:szCs w:val="11"/>
                <w:color w:val="auto"/>
              </w:rPr>
            </w:pPr>
          </w:p>
        </w:tc>
        <w:tc>
          <w:tcPr>
            <w:tcW w:w="10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27,</w:t>
            </w: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June 28,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2013</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2013</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non-operating costs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Share-based compensation costs (1)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Adjusted OIBDA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gridSpan w:val="3"/>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122.8</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110.1</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205.0</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Adjusted OIBDA margin</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00" w:hanging="452"/>
        <w:spacing w:after="0" w:line="255" w:lineRule="auto"/>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$1.3 million, $1.2 million, $2.4 million and $2.6 million for the three months ended June 27, 2013 and June 28, 2012, and the six months ended June 27, 2013 and June 28, 2012,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results of operations data for the three and six months ended June 27, 2013 and June 28, 2012 were derived from the unaudited condensed financial statements and accounting records of NCM LLC and should be read in conjunction with the notes 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27, 2013 and June 28, 2012</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$12.7 million, or 11.5%, from $110.1 million for the three months ended June 28, 2012 to $122.8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27, 2013. The following is a summary of revenue by category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ind w:left="160"/>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9"/>
              </w:rPr>
              <w:t>Change Q2’12 to Q2’13</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27, 2013</w:t>
            </w:r>
          </w:p>
        </w:tc>
        <w:tc>
          <w:tcPr>
            <w:tcW w:w="4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June 28, 2012</w:t>
            </w:r>
          </w:p>
        </w:tc>
        <w:tc>
          <w:tcPr>
            <w:tcW w:w="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11.5</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22.4</w:t>
            </w:r>
          </w:p>
        </w:tc>
        <w:tc>
          <w:tcPr>
            <w:tcW w:w="3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3.1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 agreements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line="20" w:lineRule="exact"/>
              <w:rPr>
                <w:sz w:val="1"/>
                <w:szCs w:val="1"/>
                <w:color w:val="auto"/>
              </w:rPr>
            </w:pPr>
          </w:p>
        </w:tc>
      </w:tr>
      <w:tr>
        <w:trPr>
          <w:trHeight w:val="221"/>
        </w:trPr>
        <w:tc>
          <w:tcPr>
            <w:tcW w:w="69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122.8</w:t>
            </w:r>
          </w:p>
        </w:tc>
        <w:tc>
          <w:tcPr>
            <w:tcW w:w="46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110.1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12.7</w:t>
            </w: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620"/>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u w:val="single" w:color="auto"/>
          <w:color w:val="auto"/>
        </w:rPr>
        <w:t>National advertising revenue.</w:t>
      </w:r>
      <w:r>
        <w:rPr>
          <w:rFonts w:ascii="Arial" w:cs="Arial" w:eastAsia="Arial" w:hAnsi="Arial"/>
          <w:sz w:val="18"/>
          <w:szCs w:val="18"/>
          <w:color w:val="auto"/>
        </w:rPr>
        <w:t xml:space="preserve"> The $11.5 million, or 16.0%, increase in national advertising revenue (excluding beverage revenue from NCM LLC’s founding members) was due primarily to the following:</w:t>
      </w:r>
    </w:p>
    <w:p>
      <w:pPr>
        <w:spacing w:after="0" w:line="51" w:lineRule="exact"/>
        <w:rPr>
          <w:sz w:val="20"/>
          <w:szCs w:val="20"/>
          <w:color w:val="auto"/>
        </w:rPr>
      </w:pPr>
    </w:p>
    <w:p>
      <w:pPr>
        <w:ind w:left="1480" w:right="220" w:hanging="446"/>
        <w:spacing w:after="0" w:line="255"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inventory utilization increased from approximately 90.3% in the second quarter of 2012 to 107.1% in the second quarter of 2013 due to higher advertising demand and a 7.0% increase in network attendance quarter-over-quarter related to an overall increase in cinema industry attendance from a stronger film release schedule. This increase in utilization was partially offset by slightly lower content partner revenue. Inventory utilization is calculated based on eleven 30-second salable national advertising units in our pre-show, which can be expanded, should market demand dictate.</w:t>
      </w:r>
    </w:p>
    <w:p>
      <w:pPr>
        <w:spacing w:after="0" w:line="61" w:lineRule="exact"/>
        <w:rPr>
          <w:rFonts w:ascii="Arial" w:cs="Arial" w:eastAsia="Arial" w:hAnsi="Arial"/>
          <w:sz w:val="18"/>
          <w:szCs w:val="18"/>
          <w:color w:val="auto"/>
        </w:rPr>
      </w:pPr>
    </w:p>
    <w:p>
      <w:pPr>
        <w:ind w:left="1480" w:right="120" w:hanging="446"/>
        <w:spacing w:after="0" w:line="268"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revenue due to higher utilization was partially offset by a 9.1 % decrease in national advertising CPMs (excluding beverage revenue) due primarily to more aggressive pricing strategies designed to increase inventory utilization.</w:t>
      </w:r>
    </w:p>
    <w:p>
      <w:pPr>
        <w:spacing w:after="0" w:line="51"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u w:val="single" w:color="auto"/>
          <w:color w:val="auto"/>
        </w:rPr>
        <w:t>Local advertising revenue.</w:t>
      </w:r>
      <w:r>
        <w:rPr>
          <w:rFonts w:ascii="Arial" w:cs="Arial" w:eastAsia="Arial" w:hAnsi="Arial"/>
          <w:sz w:val="16"/>
          <w:szCs w:val="16"/>
          <w:color w:val="auto"/>
        </w:rPr>
        <w:t xml:space="preserve"> The $3.1 million, or 16.1%, increase in local advertising revenue was driven by an increase in local advertising contract volume of 10.2% and an increase in the average contract value of 5.8% in the second quarter of 2013 compared to the second quarter of 2012. The increase in contract volume was driven by an increase in both larger regional contracts and smaller local contracts. The total dollar value of our local advertising contracts over $100,000 increased 19.6% and the number of contracts over $100,000 increased 30.4%. The increase in the larger contracts was driven in part by a 2.0% increase in average network screens over the past year that improved our geographic coverage, and makes our network more attractive to larger local and regional advertising clients. Local revenue per theatre attendee increased 9.1% as a result of the increase in local advertising revenue, partially offset by higher network attendance described above.</w:t>
      </w:r>
    </w:p>
    <w:p>
      <w:pPr>
        <w:spacing w:after="0" w:line="37"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$1.0 million, or 9.9%, increase in national advertising revenue from NCM LLC’s founding members’ beverage concessionaire agreements was due primarily to a 9.6% increase in founding member attendance. The increase in founding member attendance related to higher cinema industry attendance and the acquisition of 109 theatres (with 1,437 screens) by NCM LLC’s founding members late in 2012 and the first half of 2013. Included in these founding member acquisitions were 97 theatres (with 1,245 screens) operated by existing network affiliates.</w:t>
      </w:r>
    </w:p>
    <w:p>
      <w:pPr>
        <w:spacing w:after="0" w:line="32" w:lineRule="exact"/>
        <w:rPr>
          <w:sz w:val="20"/>
          <w:szCs w:val="20"/>
          <w:color w:val="auto"/>
        </w:rPr>
      </w:pPr>
    </w:p>
    <w:p>
      <w:pPr>
        <w:ind w:left="460" w:right="320"/>
        <w:spacing w:after="0" w:line="305" w:lineRule="auto"/>
        <w:rPr>
          <w:sz w:val="20"/>
          <w:szCs w:val="20"/>
          <w:color w:val="auto"/>
        </w:rPr>
      </w:pPr>
      <w:r>
        <w:rPr>
          <w:rFonts w:ascii="Arial" w:cs="Arial" w:eastAsia="Arial" w:hAnsi="Arial"/>
          <w:sz w:val="15"/>
          <w:szCs w:val="15"/>
          <w:u w:val="single" w:color="auto"/>
          <w:color w:val="auto"/>
        </w:rPr>
        <w:t>Fathom Events revenue.</w:t>
      </w:r>
      <w:r>
        <w:rPr>
          <w:rFonts w:ascii="Arial" w:cs="Arial" w:eastAsia="Arial" w:hAnsi="Arial"/>
          <w:sz w:val="15"/>
          <w:szCs w:val="15"/>
          <w:color w:val="auto"/>
        </w:rPr>
        <w:t xml:space="preserve"> Fathom Events revenue decreased $2.9 million, or 33.0%, from $8.8 million for the three months ended June 28, 2012 to $5.9 million for the three months ended June 27, 2013. The decrease was due to a decrease in Fathom Consumer Events revenue of $3.5 million driven by a</w:t>
      </w:r>
    </w:p>
    <w:p>
      <w:pPr>
        <w:ind w:left="460" w:right="240"/>
        <w:spacing w:after="0" w:line="292" w:lineRule="auto"/>
        <w:rPr>
          <w:sz w:val="20"/>
          <w:szCs w:val="20"/>
          <w:color w:val="auto"/>
        </w:rPr>
      </w:pPr>
      <w:r>
        <w:rPr>
          <w:rFonts w:ascii="Arial" w:cs="Arial" w:eastAsia="Arial" w:hAnsi="Arial"/>
          <w:sz w:val="16"/>
          <w:szCs w:val="16"/>
          <w:color w:val="auto"/>
        </w:rPr>
        <w:t>42.3% decrease in the number of event nights to 15 during the second quarter of 2013 compared to 26 in the second quarter of 2012 due to our focus on holding fewer events with higher margins. Fathom Business Events revenue increased by $0.6 million due to an increase in the number of event sites during the second quarter of 2013 compared to the second quarter of 2012. While the Company wound down its Fathom Business Events division in the first quarter of 2012, the Company continues to execute business events on a periodic basis for existing long-term Fathom clients, or if requested by the founding members or to support events staged for NCM’s major advertising clients.</w:t>
      </w:r>
    </w:p>
    <w:p>
      <w:pPr>
        <w:spacing w:after="0" w:line="11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remained consistent at $64.8 million for the three months ended June 27, 2013 and June 28, 2012.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below is a discussion of the changes in operating expenses.</w:t>
      </w:r>
    </w:p>
    <w:p>
      <w:pPr>
        <w:spacing w:after="0" w:line="51"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increased $0.1 million, or 1.3%, from $8.0 million for the three months ended June 28, 2012 to $8.1 million for the three months ended June 27, 2013. The increase was due primarily to a $0.2 million increase in salary expense, partially offset by a decrease of $0.1 million in affiliate advertising payments. Affiliate advertising payments decreased despite the increase in advertising revenue during the second quarter of 2013 due to a decrease in the number of average affiliate screens of 7.6% in the second quarter of 2013, compared to the second quarter of 2012. The decrease in affiliate screens was primarily due to the acquisition of 97 affiliate theatres (with 1,245 screens) by founding members during late 2012 and the first half of 2013, whereby we are now paying a theatre access fee to our founding members, rather than affiliate payments.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spacing w:after="0" w:line="256"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decreased $2.3 million, or 35.4%, from $6.5 million for the three months ended June 28, 2012 to $4.2 million for the three months ended June 27, 2013. The decrease was due primarily to a $2.5 million decrease in costs associated with the Fathom Consumer Events division due to the decline in Fathom Consumer Events revenue associated with fewer events, as described above, and lower programming costs as a percentage of event revenue.</w:t>
      </w:r>
    </w:p>
    <w:p>
      <w:pPr>
        <w:spacing w:after="0" w:line="62" w:lineRule="exact"/>
        <w:rPr>
          <w:sz w:val="20"/>
          <w:szCs w:val="20"/>
          <w:color w:val="auto"/>
        </w:rPr>
      </w:pPr>
    </w:p>
    <w:p>
      <w:pPr>
        <w:jc w:val="both"/>
        <w:ind w:left="460" w:right="60"/>
        <w:spacing w:after="0" w:line="306"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remained consistent at $4.9 million for the three months ended June 28, 2012 and for the three months ended June 27, 2013. These costs remained consistent due to lower network maintenance costs during the second quarter of 2013, compared to the second quarter of 2012, offset by an increase in network maintenance costs related to a 2.0% increase in the number of average network screens during the period.</w:t>
      </w:r>
    </w:p>
    <w:p>
      <w:pPr>
        <w:spacing w:after="0" w:line="26"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increased $1.8 million, or 11.0%, from $16.3 million for the three months ended June 28, 2012 to $18.1 million for the three months ended June 27, 2013. The increase was due to an increase in founding member attendance of 9.6% in the second quarter of 2013 compared to the second quarter of 2012, which resulted in an increase in our theatre access fees of $1.1 million. In addition, fees for use of digital screens and higher quality digital cinema projectors increased due to an annual 5% contractual rate increase. In addition, the number of founding member theatres equipped with digital cinema projectors increased year-over-year. As of June 27, 2013, the number of founding member theatres equipped with digital cinema projectors as a percentage of the total founding member network was 86%, compared to 76% as of June 28, 2012. Approximately 96% of founding member screens featured LCD or digital cinema projectors as of June 27, 2013.</w:t>
      </w:r>
    </w:p>
    <w:p>
      <w:pPr>
        <w:spacing w:after="0" w:line="37"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$0.2 million, or 1.3%, from $15.5 million for the three months ended June 28, 2012 to $15.7 million for the three months ended June 27, 2013. This increase was primarily due to an increase in advertising related selling and marketing costs of $0.5 million, partially offset by a decrease in selling and marketing costs associated with the Fathom division of $0.3 million. Advertising related selling and marketing costs increased due primarily to a $0.6 million increase in non-cash barter expense incurred in the quarter. The decrease in Fathom selling and marketing costs was due primarily to lower personnel costs of $0.2 million.</w:t>
      </w:r>
    </w:p>
    <w:p>
      <w:pPr>
        <w:spacing w:after="0" w:line="3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decreased $0.3 million, or 5.8%, from $5.2 million for the three months ended June 28, 2012 to $4.9 million for the three months ended June 27, 2013. The decrease was primarily due to decreases in both personnel expense and legal and professional expense.</w:t>
      </w:r>
    </w:p>
    <w:p>
      <w:pPr>
        <w:spacing w:after="0" w:line="59" w:lineRule="exact"/>
        <w:rPr>
          <w:sz w:val="20"/>
          <w:szCs w:val="20"/>
          <w:color w:val="auto"/>
        </w:rPr>
      </w:pPr>
    </w:p>
    <w:p>
      <w:pPr>
        <w:ind w:left="460" w:right="240"/>
        <w:spacing w:after="0" w:line="298" w:lineRule="auto"/>
        <w:rPr>
          <w:sz w:val="20"/>
          <w:szCs w:val="20"/>
          <w:color w:val="auto"/>
        </w:rPr>
      </w:pPr>
      <w:r>
        <w:rPr>
          <w:rFonts w:ascii="Arial" w:cs="Arial" w:eastAsia="Arial" w:hAnsi="Arial"/>
          <w:sz w:val="16"/>
          <w:szCs w:val="16"/>
          <w:u w:val="single" w:color="auto"/>
          <w:color w:val="auto"/>
        </w:rPr>
        <w:t>Administrative fee – managing member.</w:t>
      </w:r>
      <w:r>
        <w:rPr>
          <w:rFonts w:ascii="Arial" w:cs="Arial" w:eastAsia="Arial" w:hAnsi="Arial"/>
          <w:sz w:val="16"/>
          <w:szCs w:val="16"/>
          <w:color w:val="auto"/>
        </w:rPr>
        <w:t xml:space="preserve"> Administrative fee-managing member decreased $0.7 million, or 20.6%, from $3.4 million for the three months ended June 28, 2012 to $2.7 million for the three months ended June 27, 2013 primarily due to a decrease in payroll and share based compensation. Amounts recorded are based on the terms of the management service agreement which states NCM LLC pays NCM, Inc. service fees which are equal to the cost of NCM, Inc. employees and any reimbursable costs incurred by NCM, Inc.</w:t>
      </w:r>
    </w:p>
    <w:p>
      <w:pPr>
        <w:spacing w:after="0" w:line="32"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$1.2 million, or 24.0%, from $5.0 million for the three months ended June 28, 2012 to $6.2 million for the three months ended June 27, 2013. The increase was due to higher amortization of intangible assets related to new affiliate agreements, NCM LLC founding member common unit adjustments, as well as an increase in depreciation expense resulting from greater property, plant and equipment year-over-year related primarily to equipment installed in new network affiliate theatres.</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Non-operating expenses</w:t>
      </w:r>
      <w:r>
        <w:rPr>
          <w:rFonts w:ascii="Arial" w:cs="Arial" w:eastAsia="Arial" w:hAnsi="Arial"/>
          <w:sz w:val="16"/>
          <w:szCs w:val="16"/>
          <w:color w:val="auto"/>
        </w:rPr>
        <w:t>. Total non-operating expenses decreased $26.7 million, or 61.5%, from $43.4 million for the three months ended June 28, 2012 to</w:t>
      </w:r>
      <w:r>
        <w:rPr>
          <w:rFonts w:ascii="Arial" w:cs="Arial" w:eastAsia="Arial" w:hAnsi="Arial"/>
          <w:sz w:val="16"/>
          <w:szCs w:val="16"/>
          <w:i w:val="1"/>
          <w:iCs w:val="1"/>
          <w:color w:val="auto"/>
        </w:rPr>
        <w:t xml:space="preserve"> </w:t>
      </w:r>
      <w:r>
        <w:rPr>
          <w:rFonts w:ascii="Arial" w:cs="Arial" w:eastAsia="Arial" w:hAnsi="Arial"/>
          <w:sz w:val="16"/>
          <w:szCs w:val="16"/>
          <w:color w:val="auto"/>
        </w:rPr>
        <w:t>$16.7 million for the three months ended June 28, 2013. The decrease in non-operating expenses was driven by the following factors:</w:t>
      </w:r>
    </w:p>
    <w:p>
      <w:pPr>
        <w:spacing w:after="0" w:line="4" w:lineRule="exact"/>
        <w:rPr>
          <w:sz w:val="20"/>
          <w:szCs w:val="20"/>
          <w:color w:val="auto"/>
        </w:rPr>
      </w:pPr>
    </w:p>
    <w:p>
      <w:pPr>
        <w:ind w:left="1480" w:right="280" w:hanging="446"/>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$26.7 million loss on swap terminations that was recorded in the second quarter of 2012 for the termination of interest rate swaps;</w:t>
      </w:r>
    </w:p>
    <w:p>
      <w:pPr>
        <w:spacing w:after="0" w:line="5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interest on borrowings of $1.5 million due primarily to lower average interest rates in the second quarter of 2013 compared to the second quarter of 2012 as a result of the Company’s debt refinancings in 2012 and 2013;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decrease in other non-operating expense of $1.2 million due primarily to lower write-off of debt issuance costs in the period;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decreases to non-operating expenses were partially offset by the following increases to non-operating expenses period over period:</w:t>
      </w:r>
    </w:p>
    <w:p>
      <w:pPr>
        <w:spacing w:after="0" w:line="113"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non-cash $1.9 million increase in the amortization expense associated with terminated swap arrangements; and</w:t>
      </w:r>
    </w:p>
    <w:p>
      <w:pPr>
        <w:spacing w:after="0" w:line="90" w:lineRule="exact"/>
        <w:rPr>
          <w:rFonts w:ascii="Arial" w:cs="Arial" w:eastAsia="Arial" w:hAnsi="Arial"/>
          <w:sz w:val="18"/>
          <w:szCs w:val="18"/>
          <w:color w:val="auto"/>
        </w:rPr>
      </w:pPr>
    </w:p>
    <w:p>
      <w:pPr>
        <w:ind w:left="1480" w:right="40" w:hanging="446"/>
        <w:spacing w:after="0" w:line="268"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absence of a $0.8 million gain recorded for the change in derivative fair value that was recorded in the second quarter of 2012 for interest rate swaps which the Company has since terminated.</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$39.3 million from $1.8 million for the three months ended June 28, 2012 to $41.1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27, 2013. The increase in net income was driven by a decrease in non-operating expenses of $26.7 million and an increase in operating income of $12.7 million, as described further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27, 2013 and June 28, 2012</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$15.8 million, or 8.4%, from $189.2 million for the six months ended June 28, 2012 to $205.0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27, 2013. The following is a summary of revenue by category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ind w:left="240"/>
              <w:spacing w:after="0"/>
              <w:rPr>
                <w:sz w:val="20"/>
                <w:szCs w:val="20"/>
                <w:color w:val="auto"/>
              </w:rPr>
            </w:pPr>
            <w:r>
              <w:rPr>
                <w:rFonts w:ascii="Arial" w:cs="Arial" w:eastAsia="Arial" w:hAnsi="Arial"/>
                <w:sz w:val="14"/>
                <w:szCs w:val="14"/>
                <w:b w:val="1"/>
                <w:bCs w:val="1"/>
                <w:color w:val="auto"/>
                <w:w w:val="90"/>
              </w:rPr>
              <w:t>Six Months Ended</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Change YTD’12 to YTD’13</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27, 2013</w:t>
            </w:r>
          </w:p>
        </w:tc>
        <w:tc>
          <w:tcPr>
            <w:tcW w:w="460" w:type="dxa"/>
            <w:vAlign w:val="bottom"/>
            <w:tcBorders>
              <w:top w:val="single" w:sz="8" w:color="auto"/>
              <w:bottom w:val="single" w:sz="8" w:color="CCEEFF"/>
            </w:tcBorders>
            <w:gridSpan w:val="2"/>
          </w:tcPr>
          <w:p>
            <w:pPr>
              <w:spacing w:after="0"/>
              <w:rPr>
                <w:sz w:val="12"/>
                <w:szCs w:val="12"/>
                <w:color w:val="auto"/>
              </w:rPr>
            </w:pPr>
          </w:p>
        </w:tc>
        <w:tc>
          <w:tcPr>
            <w:tcW w:w="7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June 28, 2012</w:t>
            </w:r>
          </w:p>
        </w:tc>
        <w:tc>
          <w:tcPr>
            <w:tcW w:w="4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117.5</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2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30.2</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 agreements</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2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18.1</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222"/>
        </w:trPr>
        <w:tc>
          <w:tcPr>
            <w:tcW w:w="67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205.0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189.2</w:t>
            </w:r>
          </w:p>
        </w:tc>
        <w:tc>
          <w:tcPr>
            <w:tcW w:w="640" w:type="dxa"/>
            <w:vAlign w:val="bottom"/>
          </w:tcPr>
          <w:p>
            <w:pPr>
              <w:jc w:val="right"/>
              <w:spacing w:after="0"/>
              <w:rPr>
                <w:sz w:val="20"/>
                <w:szCs w:val="20"/>
                <w:color w:val="auto"/>
              </w:rPr>
            </w:pPr>
            <w:r>
              <w:rPr>
                <w:rFonts w:ascii="Arial" w:cs="Arial" w:eastAsia="Arial" w:hAnsi="Arial"/>
                <w:sz w:val="18"/>
                <w:szCs w:val="18"/>
                <w:color w:val="auto"/>
              </w:rPr>
              <w:t>$   15.8</w:t>
            </w:r>
          </w:p>
        </w:tc>
        <w:tc>
          <w:tcPr>
            <w:tcW w:w="5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u w:val="single" w:color="auto"/>
          <w:color w:val="auto"/>
        </w:rPr>
        <w:t>National advertising revenue.</w:t>
      </w:r>
      <w:r>
        <w:rPr>
          <w:rFonts w:ascii="Arial" w:cs="Arial" w:eastAsia="Arial" w:hAnsi="Arial"/>
          <w:sz w:val="18"/>
          <w:szCs w:val="18"/>
          <w:color w:val="auto"/>
        </w:rPr>
        <w:t xml:space="preserve"> The $17.4 million, or 14.8%, increase in national advertising revenue (excluding beverage revenue from NCM LLC’s founding members) was due primarily to the following:</w:t>
      </w:r>
    </w:p>
    <w:p>
      <w:pPr>
        <w:spacing w:after="0" w:line="51" w:lineRule="exact"/>
        <w:rPr>
          <w:sz w:val="20"/>
          <w:szCs w:val="20"/>
          <w:color w:val="auto"/>
        </w:rPr>
      </w:pPr>
    </w:p>
    <w:p>
      <w:pPr>
        <w:ind w:left="1480" w:right="40" w:hanging="446"/>
        <w:spacing w:after="0" w:line="294"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National inventory utilization increased from approximately 83.6% in the first half of 2012 to 97.6% in the first half of 2013 due to an increase in content partner spending in the first quarter of 2013 and higher advertising demand in the second quarter of 2013. Content partners spent 25% of their annual spending commitments in the first quarter of 2013 compared to 12% in the first quarter of 2012, partially offset by a slight decrease in content partner spending in the second quarter of 2013. The greater advertising demand in the second quarter of 2013 was partially offset by a 0.7% decline in network attendance period-over-period.</w:t>
      </w:r>
    </w:p>
    <w:p>
      <w:pPr>
        <w:spacing w:after="0" w:line="34" w:lineRule="exact"/>
        <w:rPr>
          <w:rFonts w:ascii="Arial" w:cs="Arial" w:eastAsia="Arial" w:hAnsi="Arial"/>
          <w:sz w:val="16"/>
          <w:szCs w:val="16"/>
          <w:color w:val="auto"/>
        </w:rPr>
      </w:pPr>
    </w:p>
    <w:p>
      <w:pPr>
        <w:ind w:left="1480" w:right="80" w:hanging="446"/>
        <w:spacing w:after="0" w:line="268"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National advertising CPMs (excluding beverage revenue) decreased by 1.2% due primarily to more aggressive pricing strategies designed to increase utilization.</w:t>
      </w:r>
    </w:p>
    <w:p>
      <w:pPr>
        <w:spacing w:after="0" w:line="51" w:lineRule="exact"/>
        <w:rPr>
          <w:sz w:val="20"/>
          <w:szCs w:val="20"/>
          <w:color w:val="auto"/>
        </w:rPr>
      </w:pPr>
    </w:p>
    <w:p>
      <w:pPr>
        <w:ind w:left="460" w:right="60"/>
        <w:spacing w:after="0" w:line="253"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$5.5 million, or 18.2%, increase in local advertising revenue was driven by an increase in local advertising contract volume of 11.2% and an increase in the average contract value of 5.9% in the first half of 2013 compared to the first half of 2012. The increase in contract volume was driven by an increase in the volume of both larger regional contracts and smaller local contracts. The total dollar value of our local advertising contracts over $100,000 increased 21.2% and the number of contracts over $100,000 increased 23.5%. The increase in the larger contracts was driven in part by the addition of new network screens over the past year that improved our geographic coverage, making our network more attractive to larger local and regional advertising clients. Local revenue per theatre attendee increased 18.2% primarily because of the increase in local advertising revenue, as described above.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$0.1 million, or 0.5%, increase in national advertising revenue from NCM LLC’s founding members’ beverage concessionaire agreements was due primarily to a slight increase in founding member attendance of 0.1% period over period.</w:t>
      </w:r>
    </w:p>
    <w:p>
      <w:pPr>
        <w:spacing w:after="0" w:line="4"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u w:val="single" w:color="auto"/>
          <w:color w:val="auto"/>
        </w:rPr>
        <w:t>Fathom Events revenue.</w:t>
      </w:r>
      <w:r>
        <w:rPr>
          <w:rFonts w:ascii="Arial" w:cs="Arial" w:eastAsia="Arial" w:hAnsi="Arial"/>
          <w:sz w:val="16"/>
          <w:szCs w:val="16"/>
          <w:color w:val="auto"/>
        </w:rPr>
        <w:t xml:space="preserve"> Fathom Events revenue decreased $7.2 million, or 33.3%, from $21.6 million for the six months ended June 28, 2012 to $14.4 million for the six months ended June 27, 2013. The decrease was due in part to Fathom Consumer Events revenue decreasing $4.8 million, or 26.5%, from $18.1 million for the six months ended June 28, 2012 to $13.3 million for the six months ended June 27, 2013. The decrease in Fathom Consumer Events revenue was driven by a 33.3% decrease in the number of event nights to 34 during the first half of 2013 compared to 51 in the first half of 2012 due to our focus on holding fewer events with higher margins, as well as fewer classic film events in the first half of 2013 compared to the first half of 2012. In addition, Fathom Business Events revenue decreased $2.4 million during the first half of 2013, compared to the first half of 2012 as this division was wound-down during the first quarter of 2012.</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$1.5 million, or 1.2%, from $126.9 million for the six months ended June 28, 2012 to $125.4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27, 2013. Set forth below is a discussion of the changes in operating expenses.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increased $1.1 million, or 8.7%, from $12.7 million for the six months ended June 28, 2012 to</w:t>
      </w:r>
    </w:p>
    <w:p>
      <w:pPr>
        <w:spacing w:after="0" w:line="38" w:lineRule="exact"/>
        <w:rPr>
          <w:sz w:val="20"/>
          <w:szCs w:val="20"/>
          <w:color w:val="auto"/>
        </w:rPr>
      </w:pPr>
    </w:p>
    <w:p>
      <w:pPr>
        <w:ind w:left="460" w:right="60"/>
        <w:spacing w:after="0" w:line="281" w:lineRule="auto"/>
        <w:rPr>
          <w:sz w:val="20"/>
          <w:szCs w:val="20"/>
          <w:color w:val="auto"/>
        </w:rPr>
      </w:pPr>
      <w:r>
        <w:rPr>
          <w:rFonts w:ascii="Arial" w:cs="Arial" w:eastAsia="Arial" w:hAnsi="Arial"/>
          <w:sz w:val="16"/>
          <w:szCs w:val="16"/>
          <w:color w:val="auto"/>
        </w:rPr>
        <w:t>$13.8 million for the six months ended June 27, 2013. The increase was primarily due to a $0.6 million, or 5.8%, increase in affiliate advertising payments. The increase in affiliate advertising payments was driven by the 15.5% increase in advertising revenue (excluding beverage revenue), partially offset by a</w:t>
      </w:r>
    </w:p>
    <w:p>
      <w:pPr>
        <w:spacing w:after="0" w:line="1" w:lineRule="exact"/>
        <w:rPr>
          <w:sz w:val="20"/>
          <w:szCs w:val="20"/>
          <w:color w:val="auto"/>
        </w:rPr>
      </w:pPr>
    </w:p>
    <w:p>
      <w:pPr>
        <w:ind w:left="460" w:right="60"/>
        <w:spacing w:after="0" w:line="323" w:lineRule="auto"/>
        <w:rPr>
          <w:sz w:val="20"/>
          <w:szCs w:val="20"/>
          <w:color w:val="auto"/>
        </w:rPr>
      </w:pPr>
      <w:r>
        <w:rPr>
          <w:rFonts w:ascii="Arial" w:cs="Arial" w:eastAsia="Arial" w:hAnsi="Arial"/>
          <w:sz w:val="16"/>
          <w:szCs w:val="16"/>
          <w:color w:val="auto"/>
        </w:rPr>
        <w:t>1.0% decrease in the number of average affiliate screens in the first half of 2013, compared to the first half of 2012. The decrease in affiliate theatres is due to the acquisition of certain affiliate theatres by NCM LLC’s founding members, partially offset by the addition of new affiliate circuits to our network.</w:t>
      </w:r>
    </w:p>
    <w:p>
      <w:pPr>
        <w:spacing w:after="0" w:line="12"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decreased $5.5 million, or 35.5%, from $15.5 million for the six months ended June 28, 2012 to $10.0 million for the six months ended June 27, 2013. The decrease was primarily due to a decrease in costs associated with the Fathom Consumer Events division of $4.3 million due to the decline in Fathom Consumer Events revenue from fewer events in the first half of 2013, as described above, and lower programming costs as a percentage of event revenue. In addition, costs associated with the Fathom Business Events division declined $1.2 million as this division was wound-down in the first quarter of 2012.</w:t>
      </w:r>
    </w:p>
    <w:p>
      <w:pPr>
        <w:spacing w:after="0" w:line="62"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of remained consistent at $9.7 million during the six months ended June 27, 2013 and June 28, 2012. These costs remained consistent due to lower network maintenance costs during the first half of 2013, compared to the first half of 2012, partially offset by an increase in network maintenance costs related to a 2.2% increase in the number of average network screens during the period.</w:t>
      </w:r>
    </w:p>
    <w:p>
      <w:pPr>
        <w:spacing w:after="0" w:line="2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increased $1.7 million, or 5.3%, from $32.0 million for the six months ended June 28, 2012 to $33.7 million for the six months ended June 27, 2013. The increase was due to a $1.7 million increase in the fees for use of digital screens and higher quality digital cinema projectors. The fees for digital screens and digital cinema projectors increased due to an annual 5% contractual rate increase. In addition, the number of founding member theatres equipped with digital cinema projectors increased year-over-year. As of June 27, 2013, the number of founding member theatres equipped with digital cinema projectors as a percentage of the total founding member network was 86%, compared to 76% as of June 28, 2012. Approximately 96% of founding member screens featured LCD or digital cinema projectors as of June 27, 2013.</w:t>
      </w:r>
    </w:p>
    <w:p>
      <w:pPr>
        <w:spacing w:after="0" w:line="39"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$1.1 million, or 3.7%, from $30.0 million for the six months ended June 28, 2012 to $31.1 million for the six months ended June 27, 2013. This increase was primarily due to an increase in advertising related selling and marketing costs of $2.3 million, partially offset by a decrease in selling and marketing costs associated with the Fathom division of $1.0 million. Advertising related selling and marketing costs increased due primarily to $1.3 million of higher non-cash barter expense incurred in the first half of 2013 and a $0.7 million increase in local commission expense related to the increase in local advertising revenue. The decrease in Fathom selling and marketing costs was due primarily to the wind-down of the Fathom Business Events division during the first quarter of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decreased $0.1 million, or 1.0%, from $10.1 million for the six months ended June 28, 2012 to $10.0 million for the six months ended June 27, 2013. The decrease was primarily due to decreases in both personnel expense and legal and professional expense.</w:t>
      </w:r>
    </w:p>
    <w:p>
      <w:pPr>
        <w:spacing w:after="0" w:line="59"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u w:val="single" w:color="auto"/>
          <w:color w:val="auto"/>
        </w:rPr>
        <w:t>Administrative fee – managing member.</w:t>
      </w:r>
      <w:r>
        <w:rPr>
          <w:rFonts w:ascii="Arial" w:cs="Arial" w:eastAsia="Arial" w:hAnsi="Arial"/>
          <w:sz w:val="18"/>
          <w:szCs w:val="18"/>
          <w:color w:val="auto"/>
        </w:rPr>
        <w:t xml:space="preserve"> Administrative fee-managing member decreased $1.5 million, or 21.4%, from $7.0 million for the six months ended June 28, 2012 to $5.5 million for the six months ended June 27, 2013 primarily due to a decrease in payroll and share based compensation. Amounts recorded are based on the terms of the management service agreement which states NCM LLC pays NCM, Inc. service fees which are equal to the cost of NCM, Inc. employees and any reimbursable costs incurred by NCM, Inc.</w:t>
      </w:r>
    </w:p>
    <w:p>
      <w:pPr>
        <w:spacing w:after="0" w:line="62"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$1.7 million, or 17.2%, from $9.9 million for the six months ended June 28, 2012 to $11.6 million for the six months ended June 27, 2013. The increase was due to higher amortization of intangible assets related to new affiliate agreements, NCM LLC founding member common unit adjustments, as well as an increase in depreciation expense resulting from greater property, plant and equipment year-over-year related primarily to equipment installed in new network affiliate theatres.</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Non-operating expenses</w:t>
      </w:r>
      <w:r>
        <w:rPr>
          <w:rFonts w:ascii="Arial" w:cs="Arial" w:eastAsia="Arial" w:hAnsi="Arial"/>
          <w:sz w:val="16"/>
          <w:szCs w:val="16"/>
          <w:color w:val="auto"/>
        </w:rPr>
        <w:t>. Total non-operating expenses decreased $24.6 million, or 43.1%, from $57.1 million for the six months ended June 28, 2012 to</w:t>
      </w:r>
      <w:r>
        <w:rPr>
          <w:rFonts w:ascii="Arial" w:cs="Arial" w:eastAsia="Arial" w:hAnsi="Arial"/>
          <w:sz w:val="16"/>
          <w:szCs w:val="16"/>
          <w:i w:val="1"/>
          <w:iCs w:val="1"/>
          <w:color w:val="auto"/>
        </w:rPr>
        <w:t xml:space="preserve"> </w:t>
      </w:r>
      <w:r>
        <w:rPr>
          <w:rFonts w:ascii="Arial" w:cs="Arial" w:eastAsia="Arial" w:hAnsi="Arial"/>
          <w:sz w:val="16"/>
          <w:szCs w:val="16"/>
          <w:color w:val="auto"/>
        </w:rPr>
        <w:t>$32.5 million for the six months ended June 27, 2013. The decrease in non-operating expenses was driven by the following factors:</w:t>
      </w:r>
    </w:p>
    <w:p>
      <w:pPr>
        <w:spacing w:after="0" w:line="4" w:lineRule="exact"/>
        <w:rPr>
          <w:sz w:val="20"/>
          <w:szCs w:val="20"/>
          <w:color w:val="auto"/>
        </w:rPr>
      </w:pPr>
    </w:p>
    <w:p>
      <w:pPr>
        <w:ind w:left="1480" w:right="280" w:hanging="446"/>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absence of $26.7 million loss on swap terminations that was recorded in the second quarter of 2012 for the termination of interest rate swaps;</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interest on borrowings of $2.3 million due primarily to lower average interest rates in the first half of 2013 compared to the first half of 2012 as a result of the Company’s debt refinancings in 2012 and 2013;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decrease in other non-operating expense of $1.2 million due primarily to lower write-off of debt issuance costs in the period.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decreases to non-operating expenses were partially offset by the following increases to non-operating expenses period over period:</w:t>
      </w:r>
    </w:p>
    <w:p>
      <w:pPr>
        <w:spacing w:after="0" w:line="113" w:lineRule="exact"/>
        <w:rPr>
          <w:sz w:val="20"/>
          <w:szCs w:val="20"/>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non-cash $4.1 million increase in the amortization expense associated with terminated swap arrangements; and</w:t>
      </w:r>
    </w:p>
    <w:p>
      <w:pPr>
        <w:spacing w:after="0" w:line="90" w:lineRule="exact"/>
        <w:rPr>
          <w:rFonts w:ascii="Arial" w:cs="Arial" w:eastAsia="Arial" w:hAnsi="Arial"/>
          <w:sz w:val="18"/>
          <w:szCs w:val="18"/>
          <w:color w:val="auto"/>
        </w:rPr>
      </w:pPr>
    </w:p>
    <w:p>
      <w:pPr>
        <w:jc w:val="both"/>
        <w:ind w:left="1480" w:right="220" w:hanging="446"/>
        <w:spacing w:after="0" w:line="259"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$1.5 million decrease in the gain recorded for the change in derivative fair value, as the Company did not record changes in fair value on derivatives in its Condensed Consolidated Statements of Income during the first half of 2013, as it did in 2012 due to the termination of its interest rate swaps in 2012.</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increased $41.7 million from $5.0 million for the six months ended June 28, 2012 to $46.7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27, 2013. The increase in net income was driven by a decrease in non-operating expenses of $24.6 million and an increase in operating income of $17.3 million, as described further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current macro-economic environment and its impact on the national television scatter and local and regional advertising markets in general, presents uncertainties that could impact our results of operations, including the timing and amount of spending from our national advertising clients. The impact to our business associated with these issues will be mitigated somewhat over time due to factors including the growth in our advertising client base, the effectiveness of cinema advertising relative to other advertising mediums, the effectiveness and increasing scale of our national network and the related increase in salable advertising impressions and the number of Fathom live broadcast events and locations. During 2012, we added twelve new affiliate theatre circuits to our national network, and so far in 2013 we have contracted to add four new affiliate theatre circuits. In total, these contracted new founding member and affiliate theatres that have joined our network during 2012 and thus far in 2013 are expected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to add approximately 26 million new attendees on a full-year pro-forma basis, which we expect will result in approximately 364 million new salable national advertising impressions (assuming 14 national advertising units of 30 seconds each). Our sales force integrates these additional impressions into the advertising sales process as they are added to our network and thus these attendees will provide the opportunity to expand our revenue, operating income and cash flow in 2013 and beyond. We believe that the continued growth of our network will expand our national reach and geographic coverage to strengthen our selling proposition and competitive positioning versus other national and local video and other advertising platforms.</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NCM LLC’s founding members to satisfy their on-screen advertising commitments under their beverage concessionaire agreements. During 2013 and in 2012, we sold 60 seconds to NCM LLC’s founding members. We expect to continue to sell 60 seconds of time to NCM LLC’s founding members for the remainder of 2013. It is expected that NCM LLC’s founding members will be renegotiating their agreements with their beverage supplier over the next couple of years, which could change the amount of advertising time that the circuits are required to buy from us to satisfy those agreements. Should the amount of time acquired as part of these beverage concessionaire arrangements decline, that time will be available for sale to other clients.</w:t>
      </w:r>
    </w:p>
    <w:p>
      <w:pPr>
        <w:spacing w:after="0" w:line="14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consideration for NCM LLC’s access to the founding members’ theatre attendees for on-screen advertising and use of off-screen locations within the founding members’ theatres for the LEN and lobby promotions, the founding members receive a monthly theatre access fee under the ESAs. The theatre access fee is composed of a fixed payment per patron and a fixed payment per digital screen. The payment per theatre patron increases by 8% every five years, with the first such increase taking effect for fiscal year 2012, and the payment per digital screen increases annually by 5%. The theatre access fee paid in the aggregate to all founding members cannot be less than 12% of NCM LLC’s aggregate advertising revenue (as defined in the ESA), or it will be adjusted upward to reach this minimum payment. Pursuant to 2010 ESA Amendments, beginning on October 1, 2010 the theatre access fee paid to the members of NCM LLC included an additional fee for access to the higher quality digital cinema systems for our advertising and Fathom business. This additional fee will continue to increase as additional screens are equipped with the new digital cinema equipment and the fee increases annually by 5%. As of June 27, 2013, 78.7% of our network screens were showing advertising on digital cinema projectors versus 60.8% as of June 28, 2012.</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first quarter of 2012, the Company restructured Fathom Events by winding down its Fathom Business Events division. The Company continued to operate the Fathom Business Events division for a portion of the first quarter of 2012 to satisfy contractual obligations for events and has continued to execute business events on a periodic basis for existing long-term Fathom clients, or if requested by the founding members or to support events staged for NCM’s major advertising clients.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1, 2013, a non-binding letter of intent was signed amongst NCM LLC, Regal, Cinemark and AMC whereby NCM LLC will contribute the assets of its Fathom Events division to a new entity to be formed by the founding members in exchange for an interest-bearing $25 million promissory note guaranteed by the founding members. NCM LLC will retain a 10% ownership in the new entity and Regal, Cinemark and AMC will own the remaining 90%. The letter of intent provides for a transition services agreement whereby NCM LLC will agree to provide certain corporate overhead services to the new entity for a period of nine months following the closing for a fee. The closing of the transaction is expected late in the third quarter of 2013 or early in the fourth quarter of 2013. Due to the related party nature of this transaction, the Company formed a committee of independent directors which is being advised by an independent investment banking advisory firm.</w:t>
      </w:r>
    </w:p>
    <w:p>
      <w:pPr>
        <w:spacing w:after="0" w:line="14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During 2013 and 2012, we amended our senior secured credit facility and in 2012 and 2011, we issued new Senior Unsecured Notes and Senior Secured Notes. As a result of these transactions, we extended the average maturities of our debt by over six years to an average remaining maturity of 7.9 years as of June 27, 2013, and our cash interest expense on borrowings is projected to decrease approximately $5.0 million for 2013 compared to 2012.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During the second quarter of 2013, NCM LLC issued 5,315,837 common membership units to Cinemark for attendees added in connection with Cinemark’s acquisition of Rave Cinemas (“Rave”) on May 28, 2013 because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date. NCM LLC recorded a net intangible asset of approximately $91.2 million during the three months ended June 27, 2013 for this common unit adjustment.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June 27, 2013, our cash and cash equivalents balance was $8.8 million, a decrease of $1.6 million compared to the balance of $10.4 million as of December 27, 2012. The cash and cash equivalents balance at June 27, 2013, combined with $110.0 million of borrowing availability on our revolving credit facility, resulted in total liquidity availability of $118.8 million, or a $1.6 million decrease versus December 27, 2012. Our cash balances can fluctuate due to the seasonality of our business and related timing of collections of accounts receivable balances and operating expenditure payments, as well as available cash payments (as defined in the operating agreement) to our founding members and managing member, interest payments on our term loan, the Senior Secured Notes and Senior Unsecured Notes and principal payments on debt, income tax payments, tax sharing payments to NCM LLC’s founding members and quarterly dividends to NCM, Inc.’s common stockholders. Our cash, cash equivalents and marketable securities of $8.8 million as of June 27, 2013 decreased $0.4 million, compared to $8.4 million as of June 28, 2012. Our total liquidity availability increased $5.4 million to $118.8 million as of June 27, 2013 compared to $113.4 million as of June 28,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4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83"/>
              </w:rPr>
              <w:t>June 27, 2013</w:t>
            </w: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June 28, 2012</w:t>
            </w:r>
          </w:p>
        </w:tc>
        <w:tc>
          <w:tcPr>
            <w:tcW w:w="120" w:type="dxa"/>
            <w:vAlign w:val="bottom"/>
          </w:tcPr>
          <w:p>
            <w:pPr>
              <w:spacing w:after="0"/>
              <w:rPr>
                <w:sz w:val="12"/>
                <w:szCs w:val="12"/>
                <w:color w:val="auto"/>
              </w:rPr>
            </w:pP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cash flow</w:t>
            </w:r>
          </w:p>
        </w:tc>
        <w:tc>
          <w:tcPr>
            <w:tcW w:w="2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Investing cash flow</w:t>
            </w:r>
          </w:p>
        </w:tc>
        <w:tc>
          <w:tcPr>
            <w:tcW w:w="26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(9.9)</w:t>
            </w:r>
          </w:p>
        </w:tc>
        <w:tc>
          <w:tcPr>
            <w:tcW w:w="6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(49.7)</w:t>
            </w:r>
          </w:p>
        </w:tc>
        <w:tc>
          <w:tcPr>
            <w:tcW w:w="6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r>
    </w:tbl>
    <w:p>
      <w:pPr>
        <w:spacing w:after="0" w:line="73"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Operating Activities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 in cash provided by operating activities for the six months ended June 27, 2013 versus the six months ended</w:t>
      </w:r>
    </w:p>
    <w:p>
      <w:pPr>
        <w:spacing w:after="0" w:line="38" w:lineRule="exact"/>
        <w:rPr>
          <w:rFonts w:ascii="Arial" w:cs="Arial" w:eastAsia="Arial" w:hAnsi="Arial"/>
          <w:sz w:val="16"/>
          <w:szCs w:val="16"/>
          <w:color w:val="auto"/>
        </w:rPr>
      </w:pPr>
    </w:p>
    <w:p>
      <w:pPr>
        <w:ind w:left="900"/>
        <w:spacing w:after="0" w:line="261" w:lineRule="auto"/>
        <w:rPr>
          <w:rFonts w:ascii="Arial" w:cs="Arial" w:eastAsia="Arial" w:hAnsi="Arial"/>
          <w:sz w:val="16"/>
          <w:szCs w:val="16"/>
          <w:color w:val="auto"/>
        </w:rPr>
      </w:pPr>
      <w:r>
        <w:rPr>
          <w:rFonts w:ascii="Arial" w:cs="Arial" w:eastAsia="Arial" w:hAnsi="Arial"/>
          <w:sz w:val="18"/>
          <w:szCs w:val="18"/>
          <w:color w:val="auto"/>
        </w:rPr>
        <w:t>June 28, 2012 was primarily due to the absence of the $40.2 million payment for swap terminations that was incurred in the first half of 2012 and the increase in operating income period over period.</w:t>
      </w:r>
    </w:p>
    <w:p>
      <w:pPr>
        <w:spacing w:after="0" w:line="56"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Investing Activities</w:t>
      </w:r>
      <w:r>
        <w:rPr>
          <w:rFonts w:ascii="Arial" w:cs="Arial" w:eastAsia="Arial" w:hAnsi="Arial"/>
          <w:sz w:val="16"/>
          <w:szCs w:val="16"/>
          <w:color w:val="auto"/>
        </w:rPr>
        <w:t>. The cash used in investing activities for the six months ended June 27, 2013 increased $3.6 million compared to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28, 2012. The increase was due primarily to an increase of $2.3 million in affiliate payments for the up-front fees paid upon commencement of network affiliate agreements and greater purchases of property, plant and equipment.</w:t>
      </w:r>
    </w:p>
    <w:p>
      <w:pPr>
        <w:spacing w:after="0" w:line="25" w:lineRule="exact"/>
        <w:rPr>
          <w:rFonts w:ascii="Arial" w:cs="Arial" w:eastAsia="Arial" w:hAnsi="Arial"/>
          <w:sz w:val="16"/>
          <w:szCs w:val="16"/>
          <w:b w:val="1"/>
          <w:bCs w:val="1"/>
          <w:i w:val="1"/>
          <w:iCs w:val="1"/>
          <w:color w:val="auto"/>
        </w:rPr>
      </w:pPr>
    </w:p>
    <w:p>
      <w:pPr>
        <w:ind w:left="9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used in financing activities increased by $41.8 million during the six months ended June 27, 2013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28, 2012. The increase in cash used was due primarily to a decrease in cash proceeds from borrowings, net of payments, of $40.0 million.</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NCM LLC’s primary sources of liquidity and capital resources are its cash provided by 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under its revolving credit facility and cash on hand.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Management believes that future funds generated from our operations and cash on hand should be sufficient to fund working capital requirements, our debt service requirements, and capital expenditure and other investing requirements, through the next 12 months. Cash flows can be impacted by the seasonality in advertising, interest on borrowings under our revolving agreement and to a lesser extent theatre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June 27, 2013 (which will be made during the third quarter of 2013) was $52.5 million.</w:t>
      </w:r>
    </w:p>
    <w:p>
      <w:pPr>
        <w:spacing w:after="0" w:line="10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discussed above in “Known Trends and Uncertainties”, the Company modified its debt structure during 2012 and 2013 and as a result has extended the average maturity of its debt by over six years and increased its liquidity, while not meaningfully impacting free cash flow.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27, 2012 and incorporated by reference herein. As of June 27, 2013, there were no significant changes in those critical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In February 2013, the FASB issued ASU 2013-02. The objective of ASU 2013-02 is to improve the reporting of reclassifications out of accumulated other comprehensive income. ASU 2013-02 seeks to attain that objective by requiring an entity to report the effect of significant reclassifications out of accumulated other comprehensive income on the respective line items in net income if the amount being reclassified is required under U.S. generally accepted accounting principles (GAAP) to be reclassified in its entirety to net income in the same reporting period. For other amounts that are not required under U.S. GAAP to be reclassified in their entirety to net income in the same reporting period, an entity is required to cross-reference other disclosures required under U.S. GAAP that provide additional detail about those amounts. This accounting standard update is effective prospectively for annual and interim periods beginning after December 15, 2012. Refer to </w:t>
      </w:r>
      <w:r>
        <w:rPr>
          <w:rFonts w:ascii="Arial" w:cs="Arial" w:eastAsia="Arial" w:hAnsi="Arial"/>
          <w:sz w:val="16"/>
          <w:szCs w:val="16"/>
          <w:i w:val="1"/>
          <w:iCs w:val="1"/>
          <w:color w:val="auto"/>
        </w:rPr>
        <w:t>Note 7 – Derivative Instruments and Hedging Activities</w:t>
      </w:r>
      <w:r>
        <w:rPr>
          <w:rFonts w:ascii="Arial" w:cs="Arial" w:eastAsia="Arial" w:hAnsi="Arial"/>
          <w:sz w:val="16"/>
          <w:szCs w:val="16"/>
          <w:color w:val="auto"/>
        </w:rPr>
        <w:t xml:space="preserve"> to the Condensed Financial Statements for the Company’s disclosures.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a discussion of related-party transactions, see the information provided under Note 3-</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xml:space="preserve"> to the unaudited condensed financial statements in Item 1 of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27, 2012 and incorporated by reference herein. We do not believe these arrangements are material to our current or future financial condition, results of operations, liquidity, capital resources or capital expenditures.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to our contractual obligations during the three and six months ended June 27,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as well as the timing and the number of Fathom Events.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 The following table reflects the quarterly percentage of total revenue for the fiscal years ended 2010, 2011 and 2012.</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Second</w:t>
            </w: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38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Quarter</w:t>
            </w: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Quarter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2010</w:t>
            </w: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2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FY 2011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26.2%</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FY 2012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24.5%</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primary market risk to which we are exposed is interest rate risk. The Senior Unsecured Notes and the Senior Secured Notes are at fixed rates, and therefore are not subject to market risk. As of June 27, 2013, the only interest rate risk that we are exposed to is related to our $124.0 million revolving credit facility and our $270.0 million term loan. A 100 basis point fluctuation in market interest rates underlying our term loan and revolving credit facility would have the effect of increasing or decreasing our cash interest expense by approximately $2.8 million for an annual period on the $14 million revolving credit facility and $270.0 million term loan outstanding as of June 27, 2013. For a discussion of market risks, see Item 7A. “Quantitative and Qualitative Disclosures About Market Risk” contained in our annual report on Form 10-K for the fiscal year ended December 27, 2012 and incorporated by reference herein.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Vice President and Interim Co-Chief Financial Officer (principal financial officer) of NCM, Inc., our manager, as appropriate to allow timely decisions regarding required disclosure. As of June 27, 2013, our management evaluated, with the participation of the Chief Executive Officer and Vice President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June 27, 2013 were effective.</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There have been no changes in the Company’s internal controls over financial reporting that occurred during the three months ended June 27, 2013 that have materially affected, or are reasonably likely to materially affect, the Company’s internal controls over financial reporting.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21, 2013 for the fiscal year ended December 27,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August 1, 2013, a non-binding letter of intent was signed amongst NCM LLC, Regal, Cinemark and AMC whereby NCM LLC will contribute the assets of its Fathom Events division to a new entity to be formed by the founding members in exchange for an interest-bearing $25 million promissory note guaranteed by the founding members. NCM LLC will retain a 10% ownership in the new entity and Regal, Cinemark and AMC will own the remaining 90%. The letter of intent provides for a transition services agreement whereby NCM LLC will agree to provide certain corporate overhead services to the new entity for a period of nine months following the closing for a fee. The closing of the transaction is expected late in the third quarter of 2013 or early in the fourth quarter of 2013. Due to the related party nature of this transaction, the Company formed a committee of independent directors which is being advised by an independent investment banking advisory firm.</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2"/>
              </w:rPr>
              <w:t>Reference</w:t>
            </w: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740" w:type="dxa"/>
            <w:vAlign w:val="bottom"/>
          </w:tcPr>
          <w:p>
            <w:pPr>
              <w:spacing w:after="0"/>
              <w:rPr>
                <w:sz w:val="14"/>
                <w:szCs w:val="14"/>
                <w:color w:val="auto"/>
              </w:rPr>
            </w:pPr>
          </w:p>
        </w:tc>
      </w:tr>
      <w:tr>
        <w:trPr>
          <w:trHeight w:val="316"/>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Certificate of Formation of National CineMedia, LLC.</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1"/>
              </w:rPr>
              <w:t>National CineMedia, LLC Third Amended and Restated Limited Liability Company Operating Agreement dated as of February 13,</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0"/>
              </w:rPr>
              <w:t>2007, by and among American Multi-Cinema, Inc., Cinemark Media, Inc., Regal CineMedia Holdings, LLC and National CineMedia,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Inc.</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First Amendment to Third Amended and Restated Limited Liability Company Operating Agreement of National CineMedia, LLC</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2"/>
              </w:rPr>
              <w:t>dated as of March 16, 2009, by and among American Multi-Cinema, Inc., Cinemark Media, Inc., Regal CineMedia Holdings, LLC</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and National CineMedia, Inc.</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0"/>
              </w:rPr>
              <w:t>Second Amendment to Third Amended and Restated Limited Liability Company Operating Agreement of National CineMedia, LLC</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9"/>
              </w:rPr>
              <w:t>dated as of August 6, 2010, by and among American Multi-Cinema, Inc., Cinemark Media, Inc., Regal CineMedia Holdings,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National CineMedia, Inc.</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0"/>
              </w:rPr>
              <w:t>Common Unit Adjustment Agreement dated as of February 13, 2007, by and among National CineMedia, Inc., National CineMedia,</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LLC, Regal CineMedia Holdings, LLC, American Multi-Cinema, Inc., Cinemark Media, Inc., Regal Cinemas, Inc. and Cinemark</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7"/>
              </w:rPr>
              <w:t>USA, Inc. (Confidential treatment granted as to certain portions, which portions were omitted and filed separately with the</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7"/>
              </w:rPr>
              <w:t>Amendment No. 5 to the Credit Agreement dated as of February 13, 2007, as amended, restated, modified or otherwise supplemented,</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1"/>
              </w:rPr>
              <w:t>among National CineMedia LLC, certain lenders party thereto and Barclays Bank PLC, as administrative agent dated as of May 2,</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2013.</w:t>
            </w:r>
          </w:p>
        </w:tc>
        <w:tc>
          <w:tcPr>
            <w:tcW w:w="8740" w:type="dxa"/>
            <w:vAlign w:val="bottom"/>
          </w:tcPr>
          <w:p>
            <w:pPr>
              <w:spacing w:after="0"/>
              <w:rPr>
                <w:sz w:val="19"/>
                <w:szCs w:val="19"/>
                <w:color w:val="auto"/>
              </w:rPr>
            </w:pP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Pursuant to 18 U.S.C. Section 1350.</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Incorporated by reference to Exhibit 3.3 to the Registrant’s Registration Statement on Form S-4 (File No. 333-176056) filed on August 4,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3.2 to NCM, Inc.’s Current Report on Form 8-K (File No. 001-33296) filed on February 16,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Incorporated by reference to Exhibit 10.1.1 from NCM, Inc.’s Quarterly Report on Form 10-Q (File No. 001-33296) filed on August 7,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10.1 from NCM, Inc.’s Current Report on Form 8-K (File No. 001-33296) filed on August 10,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10.6 to NCM, Inc.’s Current Report on Form 8-K (File No. 001-33296) filed on February 16,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620" w:right="599" w:hanging="5612"/>
        <w:spacing w:after="0" w:line="440"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10.1 to NCM, Inc.’s Current Report on Form 8-K (File No. 001-33296) filed on May 7, 2013. 35</w:t>
      </w:r>
    </w:p>
    <w:p>
      <w:pPr>
        <w:sectPr>
          <w:pgSz w:w="11900" w:h="16838" w:orient="portrait"/>
          <w:cols w:equalWidth="0" w:num="1">
            <w:col w:w="10219"/>
          </w:cols>
          <w:pgMar w:left="240" w:top="45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(Registrant)</w:t>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National CineMedia, Inc., its manager</w:t>
      </w:r>
    </w:p>
    <w:p>
      <w:pPr>
        <w:spacing w:after="0" w:line="225"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6"/>
          <w:szCs w:val="16"/>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6"/>
          <w:szCs w:val="16"/>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J. Oddo</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Vice President and Interim Co-Chief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5"/>
          <w:szCs w:val="15"/>
          <w:color w:val="auto"/>
        </w:rPr>
        <w:t>/s/ Jeffrey T. Cabot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T. Cabot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Senior Vice President and Interim Co-Chief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21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171" w:lineRule="exact"/>
        <w:rPr>
          <w:sz w:val="20"/>
          <w:szCs w:val="20"/>
          <w:color w:val="auto"/>
        </w:rPr>
      </w:pPr>
    </w:p>
    <w:p>
      <w:pPr>
        <w:ind w:left="640" w:hanging="17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21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Interim Co-Chief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June 27, 2013 (the “Report”) of National CineMedia, LLC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7, 2013</w:t>
      </w:r>
    </w:p>
    <w:p>
      <w:pPr>
        <w:spacing w:after="0" w:line="1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June 27, 2013 (the “Report”) of National CineMedia, LLC (the “Registrant”) as filed with the Securities and Exchange Commission on the date hereof, I, David J. Oddo, the Vice President and Interim Co-Chief Financial Officer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7, 2013</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Interim Co-Chief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4"/>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5"/>
    </w:lvl>
  </w:abstractNum>
  <w:abstractNum w:abstractNumId="9">
    <w:nsid w:val="6763845E"/>
    <w:multiLevelType w:val="hybridMultilevel"/>
    <w:lvl w:ilvl="0">
      <w:lvlJc w:val="left"/>
      <w:lvlText w:val="%1."/>
      <w:numFmt w:val="decimal"/>
      <w:start w:val="6"/>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7"/>
    </w:lvl>
  </w:abstractNum>
  <w:abstractNum w:abstractNumId="12">
    <w:nsid w:val="79838CB2"/>
    <w:multiLevelType w:val="hybridMultilevel"/>
    <w:lvl w:ilvl="0">
      <w:lvlJc w:val="left"/>
      <w:lvlText w:val="%1."/>
      <w:numFmt w:val="decimal"/>
      <w:start w:val="8"/>
    </w:lvl>
  </w:abstractNum>
  <w:abstractNum w:abstractNumId="13">
    <w:nsid w:val="4353D0CD"/>
    <w:multiLevelType w:val="hybridMultilevel"/>
    <w:lvl w:ilvl="0">
      <w:lvlJc w:val="left"/>
      <w:lvlText w:val="%1."/>
      <w:numFmt w:val="decimal"/>
      <w:start w:val="9"/>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6"/>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2019-12-08T01:32:01Z</dcterms:created>
  <dcterms:modified xsi:type="dcterms:W3CDTF">2019-12-08T01:32:01Z</dcterms:modified>
</cp:coreProperties>
</file>