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 the quarterly period ended September 30, 2010</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20-5665602</w:t>
            </w:r>
          </w:p>
        </w:tc>
      </w:tr>
      <w:tr>
        <w:trPr>
          <w:trHeight w:val="149"/>
        </w:trPr>
        <w:tc>
          <w:tcPr>
            <w:tcW w:w="466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5"/>
              </w:rPr>
              <w:t>9110 East Nichols Avenue, Suite 200</w:t>
            </w:r>
          </w:p>
        </w:tc>
        <w:tc>
          <w:tcPr>
            <w:tcW w:w="3040" w:type="dxa"/>
            <w:vAlign w:val="bottom"/>
          </w:tcPr>
          <w:p>
            <w:pPr>
              <w:spacing w:after="0"/>
              <w:rPr>
                <w:sz w:val="24"/>
                <w:szCs w:val="24"/>
                <w:color w:val="auto"/>
              </w:rPr>
            </w:pPr>
          </w:p>
        </w:tc>
      </w:tr>
      <w:tr>
        <w:trPr>
          <w:trHeight w:val="231"/>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8"/>
              </w:rPr>
              <w:t>Centennial, Colorado</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ind w:right="820"/>
        <w:spacing w:after="0" w:line="268" w:lineRule="auto"/>
        <w:rPr>
          <w:sz w:val="20"/>
          <w:szCs w:val="20"/>
          <w:color w:val="auto"/>
        </w:rPr>
      </w:pPr>
      <w:r>
        <w:rPr>
          <w:rFonts w:ascii="Arial" w:cs="Arial" w:eastAsia="Arial" w:hAnsi="Arial"/>
          <w:sz w:val="18"/>
          <w:szCs w:val="18"/>
          <w:color w:val="auto"/>
        </w:rPr>
        <w:t>As of November 2, 2010, 54,198,197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85"/>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08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680" w:type="dxa"/>
            <w:vAlign w:val="bottom"/>
            <w:gridSpan w:val="16"/>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w:t>
              </w:r>
            </w:hyperlink>
          </w:p>
        </w:tc>
        <w:tc>
          <w:tcPr>
            <w:tcW w:w="58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 of Equity/(Deficit) and Comprehensive Income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Unaudited Condensed Consolidated Financial Statements</w:t>
              </w:r>
            </w:hyperlink>
          </w:p>
        </w:tc>
        <w:tc>
          <w:tcPr>
            <w:tcW w:w="1960" w:type="dxa"/>
            <w:vAlign w:val="bottom"/>
            <w:tcBorders>
              <w:top w:val="single" w:sz="8" w:color="0000EE"/>
            </w:tcBorders>
            <w:gridSpan w:val="4"/>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38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9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7"/>
          </w:tcPr>
          <w:p>
            <w:pPr>
              <w:jc w:val="center"/>
              <w:ind w:right="5060"/>
              <w:spacing w:after="0"/>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PART II</w:t>
              </w:r>
            </w:hyperlink>
          </w:p>
        </w:tc>
        <w:tc>
          <w:tcPr>
            <w:tcW w:w="280" w:type="dxa"/>
            <w:vAlign w:val="bottom"/>
          </w:tcPr>
          <w:p>
            <w:pPr>
              <w:spacing w:after="0"/>
              <w:rPr>
                <w:sz w:val="24"/>
                <w:szCs w:val="24"/>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460" w:type="dxa"/>
            <w:vAlign w:val="bottom"/>
            <w:gridSpan w:val="1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640" w:type="dxa"/>
            <w:vAlign w:val="bottom"/>
            <w:tcBorders>
              <w:top w:val="single" w:sz="8" w:color="0000EE"/>
            </w:tcBorders>
            <w:gridSpan w:val="4"/>
          </w:tcPr>
          <w:p>
            <w:pPr>
              <w:spacing w:after="0"/>
              <w:rPr>
                <w:sz w:val="24"/>
                <w:szCs w:val="24"/>
                <w:color w:val="auto"/>
              </w:rPr>
            </w:pPr>
          </w:p>
        </w:tc>
        <w:tc>
          <w:tcPr>
            <w:tcW w:w="50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886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24"/>
                <w:szCs w:val="24"/>
                <w:color w:val="auto"/>
              </w:rPr>
            </w:pPr>
          </w:p>
        </w:tc>
        <w:tc>
          <w:tcPr>
            <w:tcW w:w="59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(Removed and Reserved)</w:t>
              </w:r>
            </w:hyperlink>
          </w:p>
        </w:tc>
        <w:tc>
          <w:tcPr>
            <w:tcW w:w="83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16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888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Signatures</w:t>
              </w:r>
            </w:hyperlink>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71"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NATIONAL CINEMEDIA, INC. AND SUBSIDIARY CONDENSED CONSOLIDATED BALANCE SHEETS (In millions, except share and per share data) (UNAUDITED)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 of allowance of $3.7 and $3.6 million, respectively</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89.7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Prepaid income taxes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157.6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PROPERTY AND EQUIPMENT, net of accum. deprec. of $44.1 and $39.3 million, respectively</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accum. amort. of $8.6 and $4.4 million, respectively</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278.6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 of valuation allow. of $1.8 and $1.9 million, respectively</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366.1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Debt issuance costs, net</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investment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836.1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EQUITY/(DEFICIT)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to founding members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related expenses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117.1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755.0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founding members under tax sharing agreement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171.8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Interest rate swap agreements</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62.8</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1,059.8</w:t>
            </w: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1,176.9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1,121.3</w:t>
            </w: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EQUITY/(DEFICIT):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NCM, Inc. Stockholders’ Equity:</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10,000,000 shares authorized, none issued and outstanding, respectively</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Common stock, $0.01 par value; 120,000,000 shares authorized, 53,301,588 and 42,121,747 issued and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outstanding, respectively</w:t>
            </w:r>
          </w:p>
        </w:tc>
        <w:tc>
          <w:tcPr>
            <w:tcW w:w="18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 in capital (deficit)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(383.3)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Retained earnings (distributions in excess of earnings)</w:t>
            </w:r>
          </w:p>
        </w:tc>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color w:val="auto"/>
              </w:rPr>
              <w:t>Total NCM, Inc. stockholders’ equity/(deficit)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(425.3)</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860"/>
              <w:spacing w:after="0"/>
              <w:rPr>
                <w:sz w:val="20"/>
                <w:szCs w:val="20"/>
                <w:color w:val="auto"/>
              </w:rPr>
            </w:pPr>
            <w:r>
              <w:rPr>
                <w:rFonts w:ascii="Arial" w:cs="Arial" w:eastAsia="Arial" w:hAnsi="Arial"/>
                <w:sz w:val="18"/>
                <w:szCs w:val="18"/>
                <w:color w:val="auto"/>
              </w:rPr>
              <w:t>Total equity/(deficit)</w:t>
            </w:r>
          </w:p>
        </w:tc>
        <w:tc>
          <w:tcPr>
            <w:tcW w:w="18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(340.8)</w:t>
            </w:r>
          </w:p>
        </w:tc>
        <w:tc>
          <w:tcPr>
            <w:tcW w:w="1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7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017"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017"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5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Nine Months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Sept. 30,</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Sept. 30,</w:t>
            </w:r>
          </w:p>
        </w:tc>
        <w:tc>
          <w:tcPr>
            <w:tcW w:w="80" w:type="dxa"/>
            <w:vAlign w:val="bottom"/>
          </w:tcPr>
          <w:p>
            <w:pPr>
              <w:spacing w:after="0"/>
              <w:rPr>
                <w:sz w:val="12"/>
                <w:szCs w:val="12"/>
                <w:color w:val="auto"/>
              </w:rPr>
            </w:pPr>
          </w:p>
        </w:tc>
        <w:tc>
          <w:tcPr>
            <w:tcW w:w="14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Oct. 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 Oct.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Advertising (including revenue from founding members of $9.7,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$28.5, $8.6 and $26.9 million, respectively)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275.6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Fathom Events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309.4</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Advertising operating costs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Fathom Events operating costs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Network costs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Theatre access fees—founding members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Selling and marketing costs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Administrative and other costs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128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172.6</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323"/>
        </w:trPr>
        <w:tc>
          <w:tcPr>
            <w:tcW w:w="5960" w:type="dxa"/>
            <w:vAlign w:val="bottom"/>
            <w:gridSpan w:val="2"/>
          </w:tcPr>
          <w:p>
            <w:pPr>
              <w:spacing w:after="0"/>
              <w:rPr>
                <w:sz w:val="20"/>
                <w:szCs w:val="20"/>
                <w:color w:val="auto"/>
              </w:rPr>
            </w:pPr>
            <w:r>
              <w:rPr>
                <w:rFonts w:ascii="Arial" w:cs="Arial" w:eastAsia="Arial" w:hAnsi="Arial"/>
                <w:sz w:val="18"/>
                <w:szCs w:val="18"/>
                <w:color w:val="auto"/>
              </w:rPr>
              <w:t>Interest Expense and Other, Net:</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Change in derivative fair value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Accretion of interest on the discounted payable to founding</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members under tax sharing agreement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Interest income and other</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Equity loss from investment, net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EARNINGS PER NCM, INC.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9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47,557,238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44,019,099</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42,119,511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42,117,934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48,213,905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44,585,452</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42,472,700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42,338,783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7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5"/>
              </w:rPr>
              <w:t>Nine Months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Sept.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Ended Oct.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73.2</w:t>
            </w:r>
          </w:p>
        </w:tc>
        <w:tc>
          <w:tcPr>
            <w:tcW w:w="8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Deferred income tax expense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Non-cash share-based compensation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Accretion of interest on the discounted payable to founding members under tax sharing agreement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Net unrealized hedging transactions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losses from investment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operating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Receivables—net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Amounts due to founding members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80"/>
              <w:spacing w:after="0"/>
              <w:rPr>
                <w:sz w:val="20"/>
                <w:szCs w:val="20"/>
                <w:color w:val="auto"/>
              </w:rPr>
            </w:pPr>
            <w:r>
              <w:rPr>
                <w:rFonts w:ascii="Arial" w:cs="Arial" w:eastAsia="Arial" w:hAnsi="Arial"/>
                <w:sz w:val="18"/>
                <w:szCs w:val="18"/>
                <w:color w:val="auto"/>
              </w:rPr>
              <w:t>Payment to founding members under tax sharing agreement</w:t>
            </w:r>
          </w:p>
        </w:tc>
        <w:tc>
          <w:tcPr>
            <w:tcW w:w="2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and other</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280"/>
              <w:spacing w:after="0"/>
              <w:rPr>
                <w:sz w:val="20"/>
                <w:szCs w:val="20"/>
                <w:color w:val="auto"/>
              </w:rPr>
            </w:pPr>
            <w:r>
              <w:rPr>
                <w:rFonts w:ascii="Arial" w:cs="Arial" w:eastAsia="Arial" w:hAnsi="Arial"/>
                <w:sz w:val="18"/>
                <w:szCs w:val="18"/>
                <w:color w:val="auto"/>
              </w:rPr>
              <w:t>Other operating</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Proceeds from sale of property and equipment to founding member</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short-term investments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Proceeds from sale of short-term investments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investment in affiliate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8800" w:type="dxa"/>
            <w:vAlign w:val="bottom"/>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24"/>
                <w:szCs w:val="2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Payment of dividends</w:t>
            </w:r>
          </w:p>
        </w:tc>
        <w:tc>
          <w:tcPr>
            <w:tcW w:w="2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borrowings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Repayments of borrowings</w:t>
            </w:r>
          </w:p>
        </w:tc>
        <w:tc>
          <w:tcPr>
            <w:tcW w:w="2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(128.0)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founding member contributions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Distributions to founding members</w:t>
            </w:r>
          </w:p>
        </w:tc>
        <w:tc>
          <w:tcPr>
            <w:tcW w:w="2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offering costs and fees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Proceeds from stock option exercises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stock for restricted stock tax withholding</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8800" w:type="dxa"/>
            <w:vAlign w:val="bottom"/>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24"/>
                <w:szCs w:val="2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(127.5)</w:t>
            </w:r>
          </w:p>
        </w:tc>
        <w:tc>
          <w:tcPr>
            <w:tcW w:w="18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1720"/>
              <w:spacing w:after="0"/>
              <w:rPr>
                <w:sz w:val="20"/>
                <w:szCs w:val="20"/>
                <w:color w:val="auto"/>
              </w:rPr>
            </w:pPr>
            <w:r>
              <w:rPr>
                <w:rFonts w:ascii="Arial" w:cs="Arial" w:eastAsia="Arial" w:hAnsi="Arial"/>
                <w:sz w:val="18"/>
                <w:szCs w:val="18"/>
                <w:color w:val="auto"/>
              </w:rPr>
              <w:t>End of period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55.9</w:t>
            </w:r>
          </w:p>
        </w:tc>
        <w:tc>
          <w:tcPr>
            <w:tcW w:w="8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Nine Months</w:t>
            </w:r>
          </w:p>
        </w:tc>
        <w:tc>
          <w:tcPr>
            <w:tcW w:w="80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Nine Months</w:t>
            </w:r>
          </w:p>
        </w:tc>
      </w:tr>
      <w:tr>
        <w:trPr>
          <w:trHeight w:val="149"/>
        </w:trPr>
        <w:tc>
          <w:tcPr>
            <w:tcW w:w="6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Ended Sept. 30,</w:t>
            </w:r>
          </w:p>
        </w:tc>
        <w:tc>
          <w:tcPr>
            <w:tcW w:w="8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Ended Oct. 1,</w:t>
            </w:r>
          </w:p>
        </w:tc>
      </w:tr>
      <w:tr>
        <w:trPr>
          <w:trHeight w:val="161"/>
        </w:trPr>
        <w:tc>
          <w:tcPr>
            <w:tcW w:w="6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6860" w:type="dxa"/>
            <w:vAlign w:val="bottom"/>
          </w:tcPr>
          <w:p>
            <w:pPr>
              <w:ind w:left="440"/>
              <w:spacing w:after="0"/>
              <w:rPr>
                <w:sz w:val="20"/>
                <w:szCs w:val="20"/>
                <w:color w:val="auto"/>
              </w:rPr>
            </w:pPr>
            <w:r>
              <w:rPr>
                <w:rFonts w:ascii="Arial" w:cs="Arial" w:eastAsia="Arial" w:hAnsi="Arial"/>
                <w:sz w:val="18"/>
                <w:szCs w:val="18"/>
                <w:color w:val="auto"/>
              </w:rPr>
              <w:t>Purchase of an intangible asset with subsidiary equity</w:t>
            </w:r>
          </w:p>
        </w:tc>
        <w:tc>
          <w:tcPr>
            <w:tcW w:w="216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151.3</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4"/>
                <w:szCs w:val="24"/>
                <w:color w:val="auto"/>
              </w:rPr>
            </w:pPr>
          </w:p>
        </w:tc>
      </w:tr>
      <w:tr>
        <w:trPr>
          <w:trHeight w:val="217"/>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subsidiary equity with NCM, Inc. equity</w:t>
            </w: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Settlement of put liability by issuance of debt</w:t>
            </w:r>
          </w:p>
        </w:tc>
        <w:tc>
          <w:tcPr>
            <w:tcW w:w="216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Assets acquired in settlement of put liability</w:t>
            </w: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323"/>
        </w:trPr>
        <w:tc>
          <w:tcPr>
            <w:tcW w:w="68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r>
      <w:tr>
        <w:trPr>
          <w:trHeight w:val="222"/>
        </w:trPr>
        <w:tc>
          <w:tcPr>
            <w:tcW w:w="6860" w:type="dxa"/>
            <w:vAlign w:val="bottom"/>
          </w:tcPr>
          <w:p>
            <w:pPr>
              <w:ind w:left="440"/>
              <w:spacing w:after="0"/>
              <w:rPr>
                <w:sz w:val="20"/>
                <w:szCs w:val="20"/>
                <w:color w:val="auto"/>
              </w:rPr>
            </w:pPr>
            <w:r>
              <w:rPr>
                <w:rFonts w:ascii="Arial" w:cs="Arial" w:eastAsia="Arial" w:hAnsi="Arial"/>
                <w:sz w:val="18"/>
                <w:szCs w:val="18"/>
                <w:color w:val="auto"/>
              </w:rPr>
              <w:t>Cash paid for income taxes</w:t>
            </w:r>
          </w:p>
        </w:tc>
        <w:tc>
          <w:tcPr>
            <w:tcW w:w="216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EQUITY/(DEFICIT)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NCM, Inc.</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Retained</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 Paid</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(Distrib. in</w:t>
            </w:r>
          </w:p>
        </w:tc>
        <w:tc>
          <w:tcPr>
            <w:tcW w:w="220" w:type="dxa"/>
            <w:vAlign w:val="bottom"/>
          </w:tcPr>
          <w:p>
            <w:pPr>
              <w:spacing w:after="0"/>
              <w:rPr>
                <w:sz w:val="12"/>
                <w:szCs w:val="12"/>
                <w:color w:val="auto"/>
              </w:rPr>
            </w:pPr>
          </w:p>
        </w:tc>
        <w:tc>
          <w:tcPr>
            <w:tcW w:w="11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Accum.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12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5"/>
              </w:rPr>
              <w:t>in Capital</w:t>
            </w:r>
          </w:p>
        </w:tc>
        <w:tc>
          <w:tcPr>
            <w:tcW w:w="9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79"/>
              </w:rPr>
              <w:t>Excess of</w:t>
            </w:r>
          </w:p>
        </w:tc>
        <w:tc>
          <w:tcPr>
            <w:tcW w:w="2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(Deficit)</w:t>
            </w:r>
          </w:p>
        </w:tc>
        <w:tc>
          <w:tcPr>
            <w:tcW w:w="48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Earnings)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(493.1)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issued for purchase of intangible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151.3</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58.9</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7"/>
              </w:rPr>
              <w:t>Income tax and other impacts of subsidiary ownership</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changes</w:t>
            </w:r>
          </w:p>
        </w:tc>
        <w:tc>
          <w:tcPr>
            <w:tcW w:w="2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9"/>
                <w:szCs w:val="19"/>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174.5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NCM, Inc. investment in subsidiary</w:t>
            </w: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(174.9)</w:t>
            </w:r>
          </w:p>
        </w:tc>
        <w:tc>
          <w:tcPr>
            <w:tcW w:w="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(174.9)</w:t>
            </w:r>
          </w:p>
        </w:tc>
        <w:tc>
          <w:tcPr>
            <w:tcW w:w="1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impact to Consolidated Equity</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2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cash flow hedge, net of tax</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Net income, net of tax</w:t>
            </w:r>
          </w:p>
        </w:tc>
        <w:tc>
          <w:tcPr>
            <w:tcW w:w="2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 net of tax</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$0.52 per share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Balance—September 30, 2010</w:t>
            </w: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(340.8)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(383.3)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(526.3)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issued for purchase of intangible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7"/>
              </w:rPr>
              <w:t>Income tax and other impacts of subsidiary ownership</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changes</w:t>
            </w:r>
          </w:p>
        </w:tc>
        <w:tc>
          <w:tcPr>
            <w:tcW w:w="2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Unrealized gain on cash flow hedge, net of tax</w:t>
            </w:r>
          </w:p>
        </w:tc>
        <w:tc>
          <w:tcPr>
            <w:tcW w:w="2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net of tax</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Income, net of tax</w:t>
            </w: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dividends declared $0.48 per share</w:t>
            </w: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Balance—October 1, 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(504.5)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left="300" w:right="278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38"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Descriptionof Business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The Company operates the largest digital in-theatre network in North America, allowing NCM to distribute advertising, Fathom entertainment programming events and corporate events under long-term exhibitor services agreements (“ESAs”) with American Multi-Cinema Inc. (“AMC”), a wholly owned subsidiary of AMC Entertainment Inc. (“AMCE”), Regal Cinemas, Inc., a wholly owned subsidiary of Regal Entertainment Group (“Regal”), and Cinemark USA, Inc., a wholly owned subsidiary of Cinemark Holdings, Inc. (“Cinemark”). AMC, Regal, Cinemark, and their affiliates are referred to in this document as “founding members”. NCM LLC also provides such services to certain third-party theater circuits under “network affiliate” agreements, which expire at various dates.</w:t>
      </w:r>
    </w:p>
    <w:p>
      <w:pPr>
        <w:spacing w:after="0" w:line="14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September 30, 2010, NCM LLC had 110,504,303 common membership units outstanding, of which 53,301,588 (48.2%) were owned by NCM, Inc., 21,452,792 (19.4%) were owned by Regal, 18,803,420 (17.0%) were owned by AMC, and 16,946,503 (15.4%) were owned by Cinemark. The membership units held by the founding members are exchangeable into NCM, Inc. common stock on a one-for-one basis. During the third quarter of 2010, AMC and Regal completed a common unit membership redemption and an underwritten public offering of an aggregate 10,955,471 shares of the Company’s common stock (see Note 6).</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in accordance with accounting principles generally accepted in the United States of America for interim financial information and the rules and regulations of the Securities and Exchange Commission (“SEC”). Accordingly, certain information and footnote disclosures typically included in an annual report have been condensed or omitted for this quarterly report. Therefore, the unaudited condensed consolidated financial statements should be read in conjunction with the audited consolidated financial statements and notes thereto included in the Company’s annual report on Form 10-K filed for the fiscal year ended December 31, 2009. The Company’s initial public offering (“IPO”) was completed in February 2007. 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6, the operating results as presented are not necessarily indicative of the results that might have occurred if all agreements were with non-related third parties.</w:t>
      </w:r>
    </w:p>
    <w:p>
      <w:pPr>
        <w:spacing w:after="0" w:line="12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accounting principles generally accepted in the United States of America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equity-based compensation and income taxes. Actual results could differ from those estimates.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—NCM, Inc. consolidates the accounts of NCM LLC under the provision of ASC 810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color w:val="auto"/>
        </w:rPr>
        <w:t>. Under ASC 810, a managing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 In addition, the Company adopted accounting guidance for noncontrolling interests effective January 2, 2009, which changed the manner of presentation and related disclosures for the noncontrolling interest in a subsidiary. The presentation changes are reflected retrospectively in the Company’s unaudited condensed consolidated financial statements. Refer to Note 11. ASC 810 also changed the measurement principles for noncontrolling interests by permitting the recognition of a deficit balance.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Reclassifications – </w:t>
      </w:r>
      <w:r>
        <w:rPr>
          <w:rFonts w:ascii="Arial" w:cs="Arial" w:eastAsia="Arial" w:hAnsi="Arial"/>
          <w:sz w:val="16"/>
          <w:szCs w:val="16"/>
          <w:color w:val="auto"/>
        </w:rPr>
        <w:t>Certain reclassifications of previously reported amounts have been made to conform to the current year presentation.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 filed for the fiscal year ended December 31, 2009 contain a complete discussion of the Company’s significant accounting policies.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—Bad debts are provided for using the allowance for doubtful accounts method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Receivables are written off when management determines amounts are uncollectible. Trade accounts receivable are uncollateralized and represent a large number of geographically dispersed debtors. At September 30, 2010 there were two advertising agency groups through which the Company sources national advertising revenue that represented approximately 17% and 16% of the Company’s outstanding gross receivable balance, respectively; however, none of the individual contracts related to the advertising agencies were more than 10% of advertising revenue. At December 31, 2009 there was one advertising agency group through which the Company sources national advertising revenue representing approximately 19% of the Company’s outstanding gross receivable balance; however, none of the individual contracts related to the advertising agency were more than 10% of advertising revenue. The collectability risk is reduced by dealing with large, national advertising agencies who have strong reputations in the advertising industry and clients with stable financial positions.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Income taxes are accounted for under the asset and liability method, which requires recognition of deferred tax assets and liabilities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effect of a change in tax rates on deferred tax assets and liabilities is recognized in income in the period that includes the enactment date.</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The Company’s unrecognized tax benefits or related interest and penalties are immaterial.</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During the quarter and nine months ended October 1, 2009, the Company presented the provision for income taxes including the amounts attributable to the noncontrolling interests and presented the noncontrolling interests net of its proportionate share of the income tax provision. However, after further review of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determined that since NCM LLC is a pass-through entity for income tax purposes, the income tax provision for the Company should be presented only for the Company’s income tax obligation on its portion of NCM LLC’s earnings and should not include amounts calculated on the noncontrolling interests’ portion of NCM LLC’s taxable earnings. As a result, the Company has restated its Condensed Consolidated Statements of Operations to reduce its provision for income taxes by $8.1 million and $17.8 million with a corresponding increase in net income attributable to noncontrolling interests for the quarter and nine months ended October 1, 2009, respectively. The correction has no effect on net income attributable to NCM, Inc., earnings per share, nor any impact to the Condensed Consolidated Balance Sheets or on Condensed Consolidated Cash Flows from Operations.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is a summary of the effects of the restatement on our (a) Condensed Consolidated Statement of Operations for the quarter and nine months ended October 1, 2009; (b) Condensed Consolidated Statement of Cash Flows for the nine months ended October 1, 2009; and (c) Condensed Consolidated Statement of Equity/(Deficit) and Comprehensive Income as of October 1,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700" w:right="238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6"/>
              </w:rPr>
              <w:t>CONDENSED CONSOLIDATED STATEMENT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4"/>
                <w:szCs w:val="14"/>
                <w:b w:val="1"/>
                <w:bCs w:val="1"/>
                <w:color w:val="auto"/>
                <w:w w:val="95"/>
              </w:rPr>
              <w:t>OPERATIONS</w:t>
            </w: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4"/>
          </w:tcPr>
          <w:p>
            <w:pPr>
              <w:ind w:left="220"/>
              <w:spacing w:after="0" w:line="129" w:lineRule="exact"/>
              <w:rPr>
                <w:sz w:val="20"/>
                <w:szCs w:val="20"/>
                <w:color w:val="auto"/>
              </w:rPr>
            </w:pPr>
            <w:r>
              <w:rPr>
                <w:rFonts w:ascii="Arial" w:cs="Arial" w:eastAsia="Arial" w:hAnsi="Arial"/>
                <w:sz w:val="14"/>
                <w:szCs w:val="14"/>
                <w:b w:val="1"/>
                <w:bCs w:val="1"/>
                <w:color w:val="auto"/>
                <w:w w:val="92"/>
              </w:rPr>
              <w:t>Quarter Ended</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5"/>
          </w:tcPr>
          <w:p>
            <w:pPr>
              <w:jc w:val="center"/>
              <w:ind w:right="77"/>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88"/>
              </w:rPr>
              <w:t>October 1, 2009</w:t>
            </w:r>
          </w:p>
        </w:tc>
        <w:tc>
          <w:tcPr>
            <w:tcW w:w="3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left="102"/>
              <w:spacing w:after="0"/>
              <w:rPr>
                <w:sz w:val="20"/>
                <w:szCs w:val="20"/>
                <w:color w:val="auto"/>
              </w:rPr>
            </w:pPr>
            <w:r>
              <w:rPr>
                <w:rFonts w:ascii="Arial" w:cs="Arial" w:eastAsia="Arial" w:hAnsi="Arial"/>
                <w:sz w:val="14"/>
                <w:szCs w:val="14"/>
                <w:b w:val="1"/>
                <w:bCs w:val="1"/>
                <w:color w:val="auto"/>
                <w:w w:val="88"/>
              </w:rPr>
              <w:t>October 1, 2009</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As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rPr>
              <w:t>As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4"/>
              </w:rPr>
              <w:t>Previously</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77"/>
              </w:rPr>
              <w:t>As</w:t>
            </w:r>
          </w:p>
        </w:tc>
        <w:tc>
          <w:tcPr>
            <w:tcW w:w="6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Previously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w w:val="87"/>
              </w:rPr>
              <w:t>Reported</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1"/>
              </w:rPr>
              <w:t>Restated</w:t>
            </w:r>
          </w:p>
        </w:tc>
        <w:tc>
          <w:tcPr>
            <w:tcW w:w="4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w w:val="87"/>
              </w:rPr>
              <w:t>Reported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8"/>
              </w:rPr>
              <w:t>Restated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0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24"/>
                <w:szCs w:val="24"/>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26.4</w:t>
            </w:r>
          </w:p>
        </w:tc>
        <w:tc>
          <w:tcPr>
            <w:tcW w:w="600" w:type="dxa"/>
            <w:vAlign w:val="bottom"/>
            <w:tcBorders>
              <w:right w:val="single" w:sz="8" w:color="auto"/>
            </w:tcBorders>
          </w:tcPr>
          <w:p>
            <w:pPr>
              <w:spacing w:after="0"/>
              <w:rPr>
                <w:sz w:val="24"/>
                <w:szCs w:val="24"/>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42.9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19.8</w:t>
            </w:r>
          </w:p>
        </w:tc>
        <w:tc>
          <w:tcPr>
            <w:tcW w:w="60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ind w:left="106"/>
              <w:spacing w:after="0"/>
              <w:rPr>
                <w:sz w:val="20"/>
                <w:szCs w:val="20"/>
                <w:color w:val="auto"/>
              </w:rPr>
            </w:pPr>
            <w:r>
              <w:rPr>
                <w:rFonts w:ascii="Arial" w:cs="Arial" w:eastAsia="Arial" w:hAnsi="Arial"/>
                <w:sz w:val="14"/>
                <w:szCs w:val="14"/>
                <w:b w:val="1"/>
                <w:bCs w:val="1"/>
                <w:color w:val="auto"/>
                <w:w w:val="93"/>
              </w:rPr>
              <w:t>CONDENSED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center"/>
              <w:ind w:left="106"/>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center"/>
              <w:ind w:left="106"/>
              <w:spacing w:after="0" w:line="149" w:lineRule="exact"/>
              <w:rPr>
                <w:sz w:val="20"/>
                <w:szCs w:val="20"/>
                <w:color w:val="auto"/>
              </w:rPr>
            </w:pPr>
            <w:r>
              <w:rPr>
                <w:rFonts w:ascii="Arial" w:cs="Arial" w:eastAsia="Arial" w:hAnsi="Arial"/>
                <w:sz w:val="14"/>
                <w:szCs w:val="14"/>
                <w:b w:val="1"/>
                <w:bCs w:val="1"/>
                <w:color w:val="auto"/>
                <w:w w:val="95"/>
              </w:rPr>
              <w:t>STATEMENT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86"/>
              <w:spacing w:after="0"/>
              <w:rPr>
                <w:sz w:val="20"/>
                <w:szCs w:val="20"/>
                <w:color w:val="auto"/>
              </w:rPr>
            </w:pPr>
            <w:r>
              <w:rPr>
                <w:rFonts w:ascii="Arial" w:cs="Arial" w:eastAsia="Arial" w:hAnsi="Arial"/>
                <w:sz w:val="14"/>
                <w:szCs w:val="14"/>
                <w:b w:val="1"/>
                <w:bCs w:val="1"/>
                <w:color w:val="auto"/>
                <w:w w:val="95"/>
              </w:rPr>
              <w:t>CASH FLOWS</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5"/>
          </w:tcPr>
          <w:p>
            <w:pPr>
              <w:jc w:val="center"/>
              <w:ind w:right="77"/>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106"/>
              <w:spacing w:after="0"/>
              <w:rPr>
                <w:sz w:val="20"/>
                <w:szCs w:val="20"/>
                <w:color w:val="auto"/>
              </w:rPr>
            </w:pPr>
            <w:r>
              <w:rPr>
                <w:rFonts w:ascii="Arial" w:cs="Arial" w:eastAsia="Arial" w:hAnsi="Arial"/>
                <w:sz w:val="14"/>
                <w:szCs w:val="14"/>
                <w:b w:val="1"/>
                <w:bCs w:val="1"/>
                <w:color w:val="auto"/>
                <w:w w:val="88"/>
              </w:rPr>
              <w:t>October 1, 2009</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As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340" w:type="dxa"/>
            <w:vAlign w:val="bottom"/>
            <w:gridSpan w:val="4"/>
          </w:tcPr>
          <w:p>
            <w:pPr>
              <w:ind w:left="2380"/>
              <w:spacing w:after="0" w:line="149" w:lineRule="exact"/>
              <w:rPr>
                <w:sz w:val="20"/>
                <w:szCs w:val="20"/>
                <w:color w:val="auto"/>
              </w:rPr>
            </w:pPr>
            <w:r>
              <w:rPr>
                <w:rFonts w:ascii="Arial" w:cs="Arial" w:eastAsia="Arial" w:hAnsi="Arial"/>
                <w:sz w:val="14"/>
                <w:szCs w:val="14"/>
                <w:b w:val="1"/>
                <w:bCs w:val="1"/>
                <w:color w:val="auto"/>
              </w:rPr>
              <w:t>Previously</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77"/>
              </w:rPr>
              <w:t>As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Reported</w:t>
            </w:r>
          </w:p>
        </w:tc>
        <w:tc>
          <w:tcPr>
            <w:tcW w:w="360" w:type="dxa"/>
            <w:vAlign w:val="bottom"/>
          </w:tcPr>
          <w:p>
            <w:pPr>
              <w:spacing w:after="0"/>
              <w:rPr>
                <w:sz w:val="14"/>
                <w:szCs w:val="14"/>
                <w:color w:val="auto"/>
              </w:rPr>
            </w:pPr>
          </w:p>
        </w:tc>
        <w:tc>
          <w:tcPr>
            <w:tcW w:w="920" w:type="dxa"/>
            <w:vAlign w:val="bottom"/>
            <w:gridSpan w:val="4"/>
          </w:tcPr>
          <w:p>
            <w:pPr>
              <w:ind w:left="30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54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20" w:type="dxa"/>
            <w:vAlign w:val="bottom"/>
            <w:gridSpan w:val="2"/>
          </w:tcPr>
          <w:p>
            <w:pPr>
              <w:spacing w:after="0"/>
              <w:rPr>
                <w:sz w:val="20"/>
                <w:szCs w:val="20"/>
                <w:color w:val="auto"/>
              </w:rPr>
            </w:pPr>
            <w:r>
              <w:rPr>
                <w:rFonts w:ascii="Arial" w:cs="Arial" w:eastAsia="Arial" w:hAnsi="Arial"/>
                <w:sz w:val="18"/>
                <w:szCs w:val="18"/>
                <w:color w:val="auto"/>
              </w:rPr>
              <w:t>Deferred income tax expense</w:t>
            </w:r>
          </w:p>
        </w:tc>
        <w:tc>
          <w:tcPr>
            <w:tcW w:w="254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24"/>
                <w:szCs w:val="24"/>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taxes and other (1)</w:t>
            </w:r>
          </w:p>
        </w:tc>
        <w:tc>
          <w:tcPr>
            <w:tcW w:w="254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as restated balance includes a $17.5 million reclassification adjustment, which partially offsets the $15.9 million correction of an error.</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40" w:type="dxa"/>
            <w:vAlign w:val="bottom"/>
            <w:gridSpan w:val="10"/>
          </w:tcPr>
          <w:p>
            <w:pPr>
              <w:jc w:val="center"/>
              <w:ind w:right="32"/>
              <w:spacing w:after="0"/>
              <w:rPr>
                <w:sz w:val="20"/>
                <w:szCs w:val="20"/>
                <w:color w:val="auto"/>
              </w:rPr>
            </w:pPr>
            <w:r>
              <w:rPr>
                <w:rFonts w:ascii="Arial" w:cs="Arial" w:eastAsia="Arial" w:hAnsi="Arial"/>
                <w:sz w:val="14"/>
                <w:szCs w:val="14"/>
                <w:b w:val="1"/>
                <w:bCs w:val="1"/>
                <w:color w:val="auto"/>
                <w:w w:val="96"/>
              </w:rPr>
              <w:t>CONDENSED CONSOLIDATED STATEMENT OF EQUITY</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8"/>
          </w:tcPr>
          <w:p>
            <w:pPr>
              <w:jc w:val="center"/>
              <w:ind w:left="179"/>
              <w:spacing w:after="0"/>
              <w:rPr>
                <w:sz w:val="20"/>
                <w:szCs w:val="20"/>
                <w:color w:val="auto"/>
              </w:rPr>
            </w:pPr>
            <w:r>
              <w:rPr>
                <w:rFonts w:ascii="Arial" w:cs="Arial" w:eastAsia="Arial" w:hAnsi="Arial"/>
                <w:sz w:val="14"/>
                <w:szCs w:val="14"/>
                <w:b w:val="1"/>
                <w:bCs w:val="1"/>
                <w:color w:val="auto"/>
                <w:w w:val="99"/>
              </w:rPr>
              <w:t>(DEFICIT) AND COMPREHENSIVE INCOME</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right="112"/>
              <w:spacing w:after="0" w:line="142" w:lineRule="exact"/>
              <w:rPr>
                <w:sz w:val="20"/>
                <w:szCs w:val="20"/>
                <w:color w:val="auto"/>
              </w:rPr>
            </w:pPr>
            <w:r>
              <w:rPr>
                <w:rFonts w:ascii="Arial" w:cs="Arial" w:eastAsia="Arial" w:hAnsi="Arial"/>
                <w:sz w:val="14"/>
                <w:szCs w:val="14"/>
                <w:b w:val="1"/>
                <w:bCs w:val="1"/>
                <w:color w:val="auto"/>
                <w:w w:val="87"/>
              </w:rPr>
              <w:t>At October 1, 2009</w:t>
            </w:r>
          </w:p>
        </w:tc>
        <w:tc>
          <w:tcPr>
            <w:tcW w:w="5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5"/>
          </w:tcPr>
          <w:p>
            <w:pPr>
              <w:jc w:val="right"/>
              <w:ind w:right="276"/>
              <w:spacing w:after="0" w:line="142" w:lineRule="exact"/>
              <w:rPr>
                <w:sz w:val="20"/>
                <w:szCs w:val="20"/>
                <w:color w:val="auto"/>
              </w:rPr>
            </w:pPr>
            <w:r>
              <w:rPr>
                <w:rFonts w:ascii="Arial" w:cs="Arial" w:eastAsia="Arial" w:hAnsi="Arial"/>
                <w:sz w:val="14"/>
                <w:szCs w:val="14"/>
                <w:b w:val="1"/>
                <w:bCs w:val="1"/>
                <w:color w:val="auto"/>
              </w:rPr>
              <w:t>As Previously Reported</w:t>
            </w:r>
          </w:p>
        </w:tc>
        <w:tc>
          <w:tcPr>
            <w:tcW w:w="64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w w:val="86"/>
              </w:rPr>
              <w:t>As Restated</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1"/>
        </w:trPr>
        <w:tc>
          <w:tcPr>
            <w:tcW w:w="5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9"/>
              </w:rPr>
              <w:t>Noncontrolling</w:t>
            </w:r>
          </w:p>
        </w:tc>
        <w:tc>
          <w:tcPr>
            <w:tcW w:w="64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4"/>
                <w:szCs w:val="14"/>
                <w:color w:val="auto"/>
                <w:w w:val="91"/>
              </w:rPr>
              <w:t>Noncontrolling</w:t>
            </w:r>
          </w:p>
        </w:tc>
        <w:tc>
          <w:tcPr>
            <w:tcW w:w="100" w:type="dxa"/>
            <w:vAlign w:val="bottom"/>
          </w:tcPr>
          <w:p>
            <w:pPr>
              <w:spacing w:after="0"/>
              <w:rPr>
                <w:sz w:val="11"/>
                <w:szCs w:val="11"/>
                <w:color w:val="auto"/>
              </w:rPr>
            </w:pPr>
          </w:p>
        </w:tc>
      </w:tr>
      <w:tr>
        <w:trPr>
          <w:trHeight w:val="159"/>
        </w:trPr>
        <w:tc>
          <w:tcPr>
            <w:tcW w:w="5120" w:type="dxa"/>
            <w:vAlign w:val="bottom"/>
          </w:tcPr>
          <w:p>
            <w:pPr>
              <w:spacing w:after="0"/>
              <w:rPr>
                <w:sz w:val="13"/>
                <w:szCs w:val="13"/>
                <w:color w:val="auto"/>
              </w:rPr>
            </w:pPr>
          </w:p>
        </w:tc>
        <w:tc>
          <w:tcPr>
            <w:tcW w:w="760" w:type="dxa"/>
            <w:vAlign w:val="bottom"/>
            <w:gridSpan w:val="3"/>
          </w:tcPr>
          <w:p>
            <w:pPr>
              <w:spacing w:after="0" w:line="159" w:lineRule="exact"/>
              <w:rPr>
                <w:sz w:val="20"/>
                <w:szCs w:val="20"/>
                <w:color w:val="auto"/>
              </w:rPr>
            </w:pPr>
            <w:r>
              <w:rPr>
                <w:rFonts w:ascii="Arial" w:cs="Arial" w:eastAsia="Arial" w:hAnsi="Arial"/>
                <w:sz w:val="14"/>
                <w:szCs w:val="14"/>
                <w:color w:val="auto"/>
                <w:w w:val="90"/>
              </w:rPr>
              <w:t>Consolidated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36"/>
              <w:spacing w:after="0" w:line="159" w:lineRule="exact"/>
              <w:rPr>
                <w:sz w:val="20"/>
                <w:szCs w:val="20"/>
                <w:color w:val="auto"/>
              </w:rPr>
            </w:pPr>
            <w:r>
              <w:rPr>
                <w:rFonts w:ascii="Arial" w:cs="Arial" w:eastAsia="Arial" w:hAnsi="Arial"/>
                <w:sz w:val="14"/>
                <w:szCs w:val="14"/>
                <w:color w:val="auto"/>
                <w:w w:val="94"/>
              </w:rPr>
              <w:t>Interest</w:t>
            </w:r>
          </w:p>
        </w:tc>
        <w:tc>
          <w:tcPr>
            <w:tcW w:w="64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3"/>
          </w:tcPr>
          <w:p>
            <w:pPr>
              <w:spacing w:after="0" w:line="159" w:lineRule="exact"/>
              <w:rPr>
                <w:sz w:val="20"/>
                <w:szCs w:val="20"/>
                <w:color w:val="auto"/>
              </w:rPr>
            </w:pPr>
            <w:r>
              <w:rPr>
                <w:rFonts w:ascii="Arial" w:cs="Arial" w:eastAsia="Arial" w:hAnsi="Arial"/>
                <w:sz w:val="14"/>
                <w:szCs w:val="14"/>
                <w:color w:val="auto"/>
              </w:rPr>
              <w:t>Consolidated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94"/>
              </w:rPr>
              <w:t>Interest</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Impacts of subsidiary ownership changes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40" w:type="dxa"/>
            <w:vAlign w:val="bottom"/>
            <w:tcBorders>
              <w:righ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r>
      <w:tr>
        <w:trPr>
          <w:trHeight w:val="457"/>
        </w:trPr>
        <w:tc>
          <w:tcPr>
            <w:tcW w:w="5120" w:type="dxa"/>
            <w:vAlign w:val="bottom"/>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on cash flow hedge, net of tax</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40" w:type="dxa"/>
            <w:vAlign w:val="bottom"/>
            <w:tcBorders>
              <w:righ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458"/>
        </w:trPr>
        <w:tc>
          <w:tcPr>
            <w:tcW w:w="5120" w:type="dxa"/>
            <w:vAlign w:val="bottom"/>
          </w:tcPr>
          <w:p>
            <w:pPr>
              <w:ind w:left="440"/>
              <w:spacing w:after="0"/>
              <w:rPr>
                <w:sz w:val="20"/>
                <w:szCs w:val="20"/>
                <w:color w:val="auto"/>
              </w:rPr>
            </w:pPr>
            <w:r>
              <w:rPr>
                <w:rFonts w:ascii="Arial" w:cs="Arial" w:eastAsia="Arial" w:hAnsi="Arial"/>
                <w:sz w:val="18"/>
                <w:szCs w:val="18"/>
                <w:color w:val="auto"/>
              </w:rPr>
              <w:t>Net income, net of tax</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28.0</w:t>
            </w:r>
          </w:p>
        </w:tc>
        <w:tc>
          <w:tcPr>
            <w:tcW w:w="640" w:type="dxa"/>
            <w:vAlign w:val="bottom"/>
            <w:tcBorders>
              <w:right w:val="single" w:sz="8" w:color="auto"/>
            </w:tcBorders>
          </w:tcPr>
          <w:p>
            <w:pPr>
              <w:spacing w:after="0"/>
              <w:rPr>
                <w:sz w:val="24"/>
                <w:szCs w:val="24"/>
                <w:color w:val="auto"/>
              </w:rPr>
            </w:pPr>
          </w:p>
        </w:tc>
        <w:tc>
          <w:tcPr>
            <w:tcW w:w="6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60.7</w:t>
            </w:r>
          </w:p>
        </w:tc>
        <w:tc>
          <w:tcPr>
            <w:tcW w:w="360" w:type="dxa"/>
            <w:vAlign w:val="bottom"/>
          </w:tcPr>
          <w:p>
            <w:pPr>
              <w:spacing w:after="0"/>
              <w:rPr>
                <w:sz w:val="24"/>
                <w:szCs w:val="24"/>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r>
        <w:trPr>
          <w:trHeight w:val="251"/>
        </w:trPr>
        <w:tc>
          <w:tcPr>
            <w:tcW w:w="5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Comprehensive Income, net of tax</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40" w:type="dxa"/>
            <w:vAlign w:val="bottom"/>
            <w:tcBorders>
              <w:righ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363"/>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436"/>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b w:val="1"/>
          <w:bCs w:val="1"/>
          <w:i w:val="1"/>
          <w:iCs w:val="1"/>
          <w:color w:val="auto"/>
        </w:rPr>
        <w:t>Current Liabilities</w:t>
      </w:r>
      <w:r>
        <w:rPr>
          <w:rFonts w:ascii="Arial" w:cs="Arial" w:eastAsia="Arial" w:hAnsi="Arial"/>
          <w:sz w:val="16"/>
          <w:szCs w:val="16"/>
          <w:color w:val="auto"/>
        </w:rPr>
        <w:t>—For the year ended December 31, 2009, the Company presented the liability for interest rate swap agreements in a single line on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Condensed Consolidated Balance Sheet in other non-current liabilities. However, after further review, the Company determined that the current portion of the liability should be reclassified and presented with total current liabilities. As a result, the Company has restated its Condensed Consolidated Balance Sheet to reflect this classification. The correction has no effect on total assets, total liabilities, total equity/deficit, the Condensed Consolidated Statements of Operations, or the Condensed Consolidated Cash Flows from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effects of the restatement on our Condensed Consolidated Balance Sheet as of December 31, 2009:</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CONDENSED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BALANCE SHEET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ind w:right="32"/>
              <w:spacing w:after="0" w:line="129" w:lineRule="exact"/>
              <w:rPr>
                <w:sz w:val="20"/>
                <w:szCs w:val="20"/>
                <w:color w:val="auto"/>
              </w:rPr>
            </w:pPr>
            <w:r>
              <w:rPr>
                <w:rFonts w:ascii="Arial" w:cs="Arial" w:eastAsia="Arial" w:hAnsi="Arial"/>
                <w:sz w:val="14"/>
                <w:szCs w:val="14"/>
                <w:b w:val="1"/>
                <w:bCs w:val="1"/>
                <w:color w:val="auto"/>
                <w:w w:val="85"/>
              </w:rPr>
              <w:t>As of</w:t>
            </w: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63"/>
              <w:spacing w:after="0" w:line="129" w:lineRule="exact"/>
              <w:rPr>
                <w:sz w:val="20"/>
                <w:szCs w:val="20"/>
                <w:color w:val="auto"/>
              </w:rPr>
            </w:pPr>
            <w:r>
              <w:rPr>
                <w:rFonts w:ascii="Arial" w:cs="Arial" w:eastAsia="Arial" w:hAnsi="Arial"/>
                <w:sz w:val="14"/>
                <w:szCs w:val="14"/>
                <w:b w:val="1"/>
                <w:bCs w:val="1"/>
                <w:color w:val="auto"/>
              </w:rPr>
              <w:t>As</w:t>
            </w: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Previously</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52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interest rate swap agreements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820" w:type="dxa"/>
            <w:vAlign w:val="bottom"/>
            <w:gridSpan w:val="2"/>
          </w:tcPr>
          <w:p>
            <w:pPr>
              <w:ind w:left="17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182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Total other liabilities</w:t>
            </w:r>
          </w:p>
        </w:tc>
        <w:tc>
          <w:tcPr>
            <w:tcW w:w="1820" w:type="dxa"/>
            <w:vAlign w:val="bottom"/>
            <w:gridSpan w:val="2"/>
          </w:tcPr>
          <w:p>
            <w:pPr>
              <w:ind w:left="17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1,029.1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1,004.7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—The carrying amounts of cash and cash equivalents, the revolving credit facility and other notes payable as reported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Company’s balance sheets approximate their fair values due to their short maturity or floating rate terms, as applicable. The carrying amounts and fair values of interest rate swap agreements are the same since the Company accounts for these instruments at fair value. The Company has estimated the fair value of its term loan based on an average of at least two non-binding broker quotes and our reasonability analysis to be $702.3 million and $688.8 million at September 30, 2010 and December 31, 2009, respectively. The carrying value of the term loan was $725.0 million as of September 30, 2010 and December 31, 2009.</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Other Investment</w:t>
      </w:r>
      <w:r>
        <w:rPr>
          <w:rFonts w:ascii="Arial" w:cs="Arial" w:eastAsia="Arial" w:hAnsi="Arial"/>
          <w:sz w:val="16"/>
          <w:szCs w:val="16"/>
          <w:color w:val="auto"/>
        </w:rPr>
        <w:t>— Through March 15, 2010, the Company accounted for its investment in RMG Networks, Inc., (“RMG”) (formerly Danoo, Inc.)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equity method of accounting as required by ASC 323-10 </w:t>
      </w:r>
      <w:r>
        <w:rPr>
          <w:rFonts w:ascii="Arial" w:cs="Arial" w:eastAsia="Arial" w:hAnsi="Arial"/>
          <w:sz w:val="16"/>
          <w:szCs w:val="16"/>
          <w:i w:val="1"/>
          <w:iCs w:val="1"/>
          <w:color w:val="auto"/>
        </w:rPr>
        <w:t>Investments – Equity Method and Joint Ventures</w:t>
      </w:r>
      <w:r>
        <w:rPr>
          <w:rFonts w:ascii="Arial" w:cs="Arial" w:eastAsia="Arial" w:hAnsi="Arial"/>
          <w:sz w:val="16"/>
          <w:szCs w:val="16"/>
          <w:color w:val="auto"/>
        </w:rPr>
        <w:t xml:space="preserve"> (“ASC 323-10”) because we exerted “significant influence” over, but did not control, the policy and decisions of RMG, due to ownership of approximately 24% of the issued and outstanding preferred and common stock of RMG. During the first quarter, RMG sold additional common stock to other third party investors for cash, which reduced the Company’s ownership in RMG resulting in cost method accounting. At September 30, 2010, the Company’s ownership in RMG was approximately 19% of the issued and outstanding preferred and common stock of RMG (before considering out-of-the-money warrants). The carrying amount of the Company’s investment was $6.7 million and $7.4 million as of September 30, 2010 and December 31, 2009, respectively. The investment in RMG and the Company’s share of its operating results through September 30, 2010 are not material to the Company’s financial position or results of operations and as a result summarized financial information is not presented. The fair value of the investment in RMG networks has not been estimated at September 30, 2010 as there were no monetary equity events or changes in circumstances that may have a significant adverse effect on the fair value of the investment, and as it is not practicable to do so because RMG is not a publicly traded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76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Nine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Nine</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Quarter</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Months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Quarter</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Sept. 30,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Sept. 30,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Oct. 1,</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Oct. 1,</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 (in millions)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47,557,238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44,019,099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42,119,511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42,117,934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340" w:type="dxa"/>
            <w:vAlign w:val="bottom"/>
          </w:tcPr>
          <w:p>
            <w:pPr>
              <w:ind w:left="440"/>
              <w:spacing w:after="0"/>
              <w:rPr>
                <w:sz w:val="20"/>
                <w:szCs w:val="20"/>
                <w:color w:val="auto"/>
              </w:rPr>
            </w:pPr>
            <w:r>
              <w:rPr>
                <w:rFonts w:ascii="Arial" w:cs="Arial" w:eastAsia="Arial" w:hAnsi="Arial"/>
                <w:sz w:val="18"/>
                <w:szCs w:val="18"/>
                <w:color w:val="auto"/>
                <w:w w:val="98"/>
              </w:rPr>
              <w:t>Add: Dilutive effect of stock options and restricted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660"/>
              <w:spacing w:after="0"/>
              <w:rPr>
                <w:sz w:val="20"/>
                <w:szCs w:val="20"/>
                <w:color w:val="auto"/>
              </w:rPr>
            </w:pPr>
            <w:r>
              <w:rPr>
                <w:rFonts w:ascii="Arial" w:cs="Arial" w:eastAsia="Arial" w:hAnsi="Arial"/>
                <w:sz w:val="18"/>
                <w:szCs w:val="18"/>
                <w:color w:val="auto"/>
              </w:rPr>
              <w:t>stock</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656,667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566,353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353,189</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48,213,905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44,585,452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42,472,700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42,338,783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Earnings per NCM, Inc. share:</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40" w:type="dxa"/>
            <w:vAlign w:val="bottom"/>
          </w:tcPr>
          <w:p>
            <w:pPr>
              <w:ind w:left="44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0.24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0.39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effect of the 62,919,990; 61,893,473; 59,435,758 and 58,859,451 exchangeable NCM LLC common units held by the founding members for the quarter and nine months ended September 30, 2010 and the quarter and nine months ended October 1, 2009, respectively, has been excluded from the calculation of diluted weighted average shares and earnings per NCM, Inc. share as they were antidilutive. In addition, there were 104,490; 134,244; 804,742 and 1,180,222 stock options and 913; 3,782; 29,394 and 83,947 non-vested restricted shares for the quarter and nine months ended September 30, 2010 and October 1, 2009, respectively, owned by management (and directors) excluded from the calculation as they are antidilutive, primarily as exercise prices on stock options and intrinsic value of restricted stock shares were above the average market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RECENT ACCOUNTING PRONOUNCEMENTS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October 2009, the FASB issued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xml:space="preserve"> which revises the existing multiple-element revenue arrangements guidance and changes the determination of when the individual deliverables included in a multiple-element revenue arrangement may be treated as separate units of accounting, modifies the manner in which the transaction consideration is allocated across the separately identified deliverables and expands the disclosures required for multiple-element revenue arrangements. The pronouncement is effective for revenue arrangements entered into or materially modified in fiscal years beginning after June 15, 2010. The Company does not expect the pronouncement to have a material effect on its unaudited condensed consolidated financial statements.</w:t>
      </w:r>
    </w:p>
    <w:p>
      <w:pPr>
        <w:spacing w:after="0" w:line="14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In June 2009, the FASB finalized SFAS No. 167, </w:t>
      </w:r>
      <w:r>
        <w:rPr>
          <w:rFonts w:ascii="Arial" w:cs="Arial" w:eastAsia="Arial" w:hAnsi="Arial"/>
          <w:sz w:val="18"/>
          <w:szCs w:val="18"/>
          <w:i w:val="1"/>
          <w:iCs w:val="1"/>
          <w:color w:val="auto"/>
        </w:rPr>
        <w:t>Amending FASB interpretation No. 46(R),</w:t>
      </w:r>
      <w:r>
        <w:rPr>
          <w:rFonts w:ascii="Arial" w:cs="Arial" w:eastAsia="Arial" w:hAnsi="Arial"/>
          <w:sz w:val="18"/>
          <w:szCs w:val="18"/>
          <w:color w:val="auto"/>
        </w:rPr>
        <w:t xml:space="preserve"> and subsequently ASU 2009-17, </w:t>
      </w:r>
      <w:r>
        <w:rPr>
          <w:rFonts w:ascii="Arial" w:cs="Arial" w:eastAsia="Arial" w:hAnsi="Arial"/>
          <w:sz w:val="18"/>
          <w:szCs w:val="18"/>
          <w:i w:val="1"/>
          <w:iCs w:val="1"/>
          <w:color w:val="auto"/>
        </w:rPr>
        <w:t>Consolidations (Topic 810):</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Financial Reporting Involved with Variable Interest Entities</w:t>
      </w:r>
      <w:r>
        <w:rPr>
          <w:rFonts w:ascii="Arial" w:cs="Arial" w:eastAsia="Arial" w:hAnsi="Arial"/>
          <w:sz w:val="18"/>
          <w:szCs w:val="18"/>
          <w:color w:val="auto"/>
        </w:rPr>
        <w:t>. The provisions of ASC 810 amend the definition of the primary beneficiary of a</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interest entity and will require the Company to make an assessment each reporting period of its variable interests. The Company adopted this pronouncement effective January 1, 2010 with no impact on its unaudited condensed consolidated financial statements as NCM LLC is not a variable interest entity.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January 2010, the FASB issued ASU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which requires additional disclosures about</w:t>
      </w:r>
    </w:p>
    <w:p>
      <w:pPr>
        <w:spacing w:after="0" w:line="38" w:lineRule="exact"/>
        <w:rPr>
          <w:sz w:val="20"/>
          <w:szCs w:val="20"/>
          <w:color w:val="auto"/>
        </w:rPr>
      </w:pPr>
    </w:p>
    <w:p>
      <w:pPr>
        <w:ind w:right="500" w:firstLine="8"/>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different classes of assets and liabilities measured at fair value, (2) the valuation techniques and inputs used, (3) the activity in Level 3 fair value measurements, and (4) the transfers between Levels 1, 2 and 3</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adopted this pronouncement effective January 1, 2010 with no impact on its unaudited condensed consolidated financial statements.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 xml:space="preserve">In August 2010, the FASB issued ASU 2010-21, </w:t>
      </w:r>
      <w:r>
        <w:rPr>
          <w:rFonts w:ascii="Arial" w:cs="Arial" w:eastAsia="Arial" w:hAnsi="Arial"/>
          <w:sz w:val="18"/>
          <w:szCs w:val="18"/>
          <w:i w:val="1"/>
          <w:iCs w:val="1"/>
          <w:color w:val="auto"/>
        </w:rPr>
        <w:t>Accounting for Technical Amendments to Various SEC Rules and Schedules</w:t>
      </w:r>
      <w:r>
        <w:rPr>
          <w:rFonts w:ascii="Arial" w:cs="Arial" w:eastAsia="Arial" w:hAnsi="Arial"/>
          <w:sz w:val="18"/>
          <w:szCs w:val="18"/>
          <w:color w:val="auto"/>
        </w:rPr>
        <w:t xml:space="preserve">. The purpose of these technical amendments and revisions is to eliminate obsolete terminology and revise reporting and disclosure requirements as necessary to achieve consistency between the Commission’s compliance requirements and SFAS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SFAS 160, </w:t>
      </w:r>
      <w:r>
        <w:rPr>
          <w:rFonts w:ascii="Arial" w:cs="Arial" w:eastAsia="Arial" w:hAnsi="Arial"/>
          <w:sz w:val="18"/>
          <w:szCs w:val="18"/>
          <w:i w:val="1"/>
          <w:iCs w:val="1"/>
          <w:color w:val="auto"/>
        </w:rPr>
        <w:t>Noncontrolling Interests in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 an amendment of ARB 51</w:t>
      </w:r>
      <w:r>
        <w:rPr>
          <w:rFonts w:ascii="Arial" w:cs="Arial" w:eastAsia="Arial" w:hAnsi="Arial"/>
          <w:sz w:val="18"/>
          <w:szCs w:val="18"/>
          <w:color w:val="auto"/>
        </w:rPr>
        <w:t>. The Company adopted this pronouncement effective August 2010 with no impact on its unaudited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During the second quarter of 2010, NCM LLC issued 6,510,209 common membership units to a subsidiary of AMCE as a result of that subsidiary’s acquisition of Kerasotes Showplace Theatres, LLC (the “AMC Kerasotes Acquisition”). Such issuance provided NCM LLC with exclusive access, in accordance with the ESA, to the net new theatre screens and attendees added by AMCE to NCM LLC’s network since the date of the last annual common unit adjustment through the date of the AMC Kerasotes Acquisition. As a result, NCM LLC recorded an intangible asset at the market value of the common membership units equal to $111.5 million. During the first quarter of 2010, NCM LLC issued 2,212,219 common membership units to its founding members in exchange for the rights to exclusive access, in accordance with the ESA, to net new theatre screens and projected attendees added by the founding members to NCM LLC’s network during 2009. As a result, NCM LLC recorded an intangible asset at the market value of the common membership units equal to $39.8 million. During the first quarter of 2009, NCM LLC issued 2,126,104 common membership units to its founding members in exchange for the rights to exclusive access to net new theatre screens and projected attendees added by the founding members to NCM LLC’s network. The Company recorded an intangible asset at the market value of the common membership units equal to $28.5 million. The Company based the fair value of the intangible assets on the market value of the common membership units issued on the date of grants, which are freely convertible into the Company’s common stock.</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Pursuant to ASC 350-10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the intangible assets have a finite useful life and the Company amortizes the assets over the remaining useful life corresponding with the ESAs. Amortization of the asset related to Regal Consolidated Theatres will not begin until after 2011 since the Company will not have access to on-screen advertising in the Regal Consolidated Theatres until the run-out of their existing on–screen advertising agreement (see Note 6). The estimated aggregate amortization expense for the next twelve months is $10.1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RELATED-PARTY TRANSACTIONS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Pursuant to the ESAs, the Company makes monthly theatre access fee payments to the founding members, comprised of a payment per theatre attendee and a payment per digital screen with respect to the founding member theatres included in our network. The total theatre access fee to the founding members for the quarter ended September 30, 2010, the nine months ended September 30, 2010, the quarter ended October 1, 2009 and the nine months ended October 1, 2009 was $13.6 million, $39.9 million, $12.7 million and $39.1 million, respectively.</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ESAs, the founding members are purchasing 60 seconds of on-screen advertising time (with a right to purchase up to 90 seconds) from NCM LLC to satisfy their obligations under their beverage concessionaire agreements at a specified 30 second equivalent cost per thousand (“CPM”) impressions. The total revenue related to the beverage concessionaire agreements for the quarter ended September 30, 2010, the nine months ended September 30, 2010, the quarter ended October 1, 2009 and the nine months ended October 1, 2009 was $9.7 million, $28.5 million, $8.6 million and $26.9 million, respectively. In addition, the Company makes payments to the founding members for use of their screens and theatres for its Fathom Events businesses. These payments are at rates (percentage of event revenue) included in the ESAs based on the nature of the event. Payments to the founding members for these events totaled $1.5 million, $5.3 million, $1.2 million and $4.7 million for the quarter ended September 30, 2010, the nine months ended September 30, 2010, the quarter ended October 1, 2009 and the nine months ended October 1, 2009,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Also, 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Payments for the quarter ended September 30, 2010, the nine months ended September 30, 2010, the quarter ended October 1, 2009 and the nine months ended October 1, 2009 are as follows (in millions):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Nine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2"/>
                <w:szCs w:val="12"/>
                <w:color w:val="auto"/>
              </w:rPr>
            </w:pPr>
          </w:p>
        </w:tc>
        <w:tc>
          <w:tcPr>
            <w:tcW w:w="7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Months</w:t>
            </w:r>
          </w:p>
        </w:tc>
        <w:tc>
          <w:tcPr>
            <w:tcW w:w="12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Quarter</w:t>
            </w: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7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Ended</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 30,</w:t>
            </w:r>
          </w:p>
        </w:tc>
        <w:tc>
          <w:tcPr>
            <w:tcW w:w="240" w:type="dxa"/>
            <w:vAlign w:val="bottom"/>
          </w:tcPr>
          <w:p>
            <w:pPr>
              <w:spacing w:after="0"/>
              <w:rPr>
                <w:sz w:val="12"/>
                <w:szCs w:val="12"/>
                <w:color w:val="auto"/>
              </w:rPr>
            </w:pPr>
          </w:p>
        </w:tc>
        <w:tc>
          <w:tcPr>
            <w:tcW w:w="7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Sept. 30,</w:t>
            </w:r>
          </w:p>
        </w:tc>
        <w:tc>
          <w:tcPr>
            <w:tcW w:w="240" w:type="dxa"/>
            <w:vAlign w:val="bottom"/>
          </w:tcPr>
          <w:p>
            <w:pPr>
              <w:spacing w:after="0"/>
              <w:rPr>
                <w:sz w:val="12"/>
                <w:szCs w:val="12"/>
                <w:color w:val="auto"/>
              </w:rPr>
            </w:pPr>
          </w:p>
        </w:tc>
        <w:tc>
          <w:tcPr>
            <w:tcW w:w="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Oct. 1,</w:t>
            </w:r>
          </w:p>
        </w:tc>
        <w:tc>
          <w:tcPr>
            <w:tcW w:w="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Oct.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2010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48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324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900" w:type="dxa"/>
            <w:vAlign w:val="bottom"/>
            <w:gridSpan w:val="2"/>
          </w:tcPr>
          <w:p>
            <w:pPr>
              <w:spacing w:after="0"/>
              <w:rPr>
                <w:sz w:val="20"/>
                <w:szCs w:val="20"/>
                <w:color w:val="auto"/>
              </w:rPr>
            </w:pPr>
            <w:r>
              <w:rPr>
                <w:rFonts w:ascii="Arial" w:cs="Arial" w:eastAsia="Arial" w:hAnsi="Arial"/>
                <w:sz w:val="18"/>
                <w:szCs w:val="18"/>
                <w:color w:val="auto"/>
              </w:rPr>
              <w:t>Cinemark</w:t>
            </w: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5.8</w:t>
            </w: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900" w:type="dxa"/>
            <w:vAlign w:val="bottom"/>
            <w:gridSpan w:val="2"/>
          </w:tcPr>
          <w:p>
            <w:pPr>
              <w:spacing w:after="0"/>
              <w:rPr>
                <w:sz w:val="20"/>
                <w:szCs w:val="20"/>
                <w:color w:val="auto"/>
              </w:rPr>
            </w:pPr>
            <w:r>
              <w:rPr>
                <w:rFonts w:ascii="Arial" w:cs="Arial" w:eastAsia="Arial" w:hAnsi="Arial"/>
                <w:sz w:val="18"/>
                <w:szCs w:val="18"/>
                <w:color w:val="auto"/>
              </w:rPr>
              <w:t>NCM, Inc.</w:t>
            </w: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16.2</w:t>
            </w:r>
          </w:p>
        </w:tc>
        <w:tc>
          <w:tcPr>
            <w:tcW w:w="44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8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 available cash payment by NCM LLC to its founding members for the quarter ended September 30, 2010 of $31.1 million, which is included in amounts due to founding members at September 30, 2010, will be made on November 29, 2010. The available cash payment by NCM LLC to its founding members for the quarter ended October 1, 2009 of $22.8 million was made on November 30, 2009.</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January 26, 2006, AMC acquired the Loews Cineplex Entertainment Inc. (“AMC Loews”) theatre circuit. The Loews screen integration agreement, effective as of January 5, 2007 and amended and restated as of February 13, 2007, between NCM LLC and AMC, committed AMC to cause substantially all of the theatres it acquired as part of the Loews theatre circuit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were paid through February 2009 in accordance with certain run-out provisions. For the nine months ended October 1, 2009, the AMC Loews payment was $0.1 million (Star Theatres). The AMC Loews payment was recorded directly to NCM LLC’s members’ equity account.</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April 30, 2008, Regal acquired Consolidated Theatres and NCM issued common membership units to Regal upon the closing of its acquisition in exchange for the right to exclusive access to the theatres. The Consolidated Theatres had a pre-existing advertising agreement and, as NCM LLC issued common membership units to Regal, Regal must make “integration” payments pursuant to the ESAs on a quarterly basis in arrears through 2011 in accordance with certain run-out provisions. For the quarter ended September 30, 2010, the nine months ended September 30, 2010, the quarter ended October 1, 2009 and the nine months ended October 1, 2009, the Consolidated Theatres payment was $1.4 million, $2.7 million, $0.9 million and $2.0 million, respectively and represents a cash element of the consideration received for the common membership units issued. The Consolidated Theatres payment of $1.4 million for the quarter ended September 30, 2010, which is included in amounts due from founding members at September 30, 2010, will be received on October 28, 2010. The Consolidated Theaters payment of $0.9 million for the quarter ended October 1, 2009 was received on October 29, 2009.</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September 30, 2010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AMC</w:t>
            </w:r>
          </w:p>
        </w:tc>
        <w:tc>
          <w:tcPr>
            <w:tcW w:w="48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Cinemark</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Regal</w:t>
            </w:r>
          </w:p>
        </w:tc>
        <w:tc>
          <w:tcPr>
            <w:tcW w:w="4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2"/>
        </w:trPr>
        <w:tc>
          <w:tcPr>
            <w:tcW w:w="714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10.3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10.6</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85"/>
              </w:rPr>
              <w:t>10.6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December 31, 2009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Cinemark</w:t>
            </w:r>
          </w:p>
        </w:tc>
        <w:tc>
          <w:tcPr>
            <w:tcW w:w="4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Regal</w:t>
            </w:r>
          </w:p>
        </w:tc>
        <w:tc>
          <w:tcPr>
            <w:tcW w:w="4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2"/>
        </w:trPr>
        <w:tc>
          <w:tcPr>
            <w:tcW w:w="7200" w:type="dxa"/>
            <w:vAlign w:val="bottom"/>
            <w:gridSpan w:val="2"/>
          </w:tcPr>
          <w:p>
            <w:pPr>
              <w:spacing w:after="0"/>
              <w:rPr>
                <w:sz w:val="20"/>
                <w:szCs w:val="20"/>
                <w:color w:val="auto"/>
              </w:rPr>
            </w:pPr>
            <w:r>
              <w:rPr>
                <w:rFonts w:ascii="Arial" w:cs="Arial" w:eastAsia="Arial" w:hAnsi="Arial"/>
                <w:sz w:val="18"/>
                <w:szCs w:val="18"/>
                <w:color w:val="auto"/>
              </w:rPr>
              <w:t>Cost and other reimbursement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(0.5)</w:t>
            </w:r>
          </w:p>
        </w:tc>
        <w:tc>
          <w:tcPr>
            <w:tcW w:w="10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12.1</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$ 9.9</w:t>
            </w:r>
          </w:p>
        </w:tc>
        <w:tc>
          <w:tcPr>
            <w:tcW w:w="260" w:type="dxa"/>
            <w:vAlign w:val="bottom"/>
          </w:tcPr>
          <w:p>
            <w:pPr>
              <w:spacing w:after="0"/>
              <w:rPr>
                <w:sz w:val="24"/>
                <w:szCs w:val="24"/>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8</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12.1</w:t>
            </w:r>
          </w:p>
        </w:tc>
        <w:tc>
          <w:tcPr>
            <w:tcW w:w="4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the quarter ended September 30, 2010, the nine months ended September 30, 2010, the quarter ended October 1, 2009 and the nine months ended October 1, 2009, AMC, Cinemark and Regal purchased $0.3 million, $1.0 million, $0.5 million and $1.4 million, respectively, of NCM LLC’s advertising inventory for their own use. The value of such purchases are calculated by reference to NCM LLC’s advertising rate card and included in advertising revenue.</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Included in selling and marketing costs and Fathom Events operating costs is $0.4 million, $1.6 million, $0.7 million and $1.8 million for the quarter ended September 30, 2010, the nine months ended September 30, 2010, the quarter ended October 1, 2009 and the nine months ended October 1, 2009, respectively, related to purchases of movie tickets and concession products from the founding members primarily for marketing to NCM LLC’s advertising clients and marketing resale to Fathom Business customers.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Unit Membership Redemption –</w:t>
      </w:r>
    </w:p>
    <w:p>
      <w:pPr>
        <w:spacing w:after="0" w:line="9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The NCM LLC Operating Agreement provides a redemption right of the founding members to exchange common membership units of NCM LLC for shares of the Company’s common stock on a one-for-one basis, or at the Company’s option, a cash payment equal to the market price of one share of NCM, Inc. common stock. During the third quarter of 2010, AMC and Regal exercised the redemption right of an aggregate 10,955,471 common membership units, whereby AMC and Regal surrendered 6,655,193 and 4,300,278 common membership units to NCM LLC for cancellation, respectively. The Company contributed an aggregate 10,955,471 shares of its common stock to NCM LLC in exchange for a like number of newly issued common membership units. NCM LLC then distributed the shares of common stock to AMC and Regal to complete the redemptions. Such redemptions took place immediately prior to the closing of the underwritten public offering and the subsequent closing of the overallotment option; in each case the NCM, Inc. common stock was sold at a price to the public of $16.00 per share by AMC and Regal. The Company did not receive any proceeds from the sale of its common stock by AMC and Regal. Pursuant to ASC 810-</w:t>
      </w:r>
    </w:p>
    <w:p>
      <w:pPr>
        <w:spacing w:after="0" w:line="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10-45, the Company accounted for the change in its ownership interest in NCM LLC as an equity transaction and no gain or loss was recognized in consolidated net income.</w:t>
      </w:r>
    </w:p>
    <w:p>
      <w:pPr>
        <w:spacing w:after="0" w:line="13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recorded an $83.3 million deferred tax asset for its additional ownership interest in NCM LLC to reflect the tax effected difference between the tax basis and the book basis, the majority of which will be amortized over a 15-year period for federal income tax purposes. In addition, the Company recorded an increase of $40.4 million in its long-term payable to founding members for the estimated payment to the founding members of 90% of the amount of cash savings, if any, in U.S. federal, state and local income tax or franchise tax that the Company expects to realize as a result of the deferred tax asset, which is recorded at its present value. The discount on this liability is a temporary difference that resulted in an additional $14.8 million deferred tax liability.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February 13, 2007, concurrently with the completion of the IPO of NCM, Inc., NCM LLC entered into a senior secured credit facility with a group of lenders. The facility consists of a nine year $80.0 million revolving credit facility and an eight-year, $725.0 million term loan facility. The revolving credit facility portion is available, subject to certain conditions, for general corporate purposes of the Company in the ordinary course of business and for other transactions permitted under the credit agreement, and a portion is available for letters of credit.</w:t>
      </w:r>
    </w:p>
    <w:p>
      <w:pPr>
        <w:spacing w:after="0" w:line="14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outstanding balance of the term loan facility at September 30, 2010 and December 31, 2009 was $725.0 million. The outstanding balance under the revolving credit facility was $30.0 million at September 30, 2010 and $74.0 million at December 31, 2009. As of September 30, 2010, the effective rate on the term loan was 5.6% including the effect of the interest rate swaps (both the swaps accounted for as hedges and those that are not). The interest rate swaps hedged $550.0 million of the $725.0 million term loan at a fixed interest rate of 6.734% while the unhedged portion was at an interest rate of 2.05%. The weighted-average interest rate on the unhedged revolver was 2.34%. Commencing with the fourth fiscal quarter in fiscal year 2008, the applicable margin for the revolving credit facility is determined quarterly and is subject to adjustment based upon a consolidated net senior secured leverage ratio for NCM LLC and its subsidiaries (the ratio of secured funded debt less unrestricted cash and cash equivalents, over a non-GAAP measure defined in the credit agreement which is equivalent to Adjusted OIBDA). The senior secured credit facility also contains a number of covenants and financial ratio requirements, with which the Company was in compliance at September 30, 2010, including the consolidated net senior secured leverage ratio. There are no cash distribution restrictions to NCM LLC’s members as long as the Company is in compliance with its debt covenants. As of September 30, 2010, our consolidated net senior secured leverage ratio was 3.4 times versus a covenant limit of 6.75 times. The debt covenants also require 50% of the term loan, or $362.5 million to be hedged at a fixed rate. As of September 30, 2010, the Company had approximately $550.0 million or 76% hedged. Of the $550.0 million that is hedged, $137.5 million was transferred from Lehman Brothers Special Financing (“LBSF”) to Barclays Bank PLC (“Barclays”) in February 2010. See Note 10 for an additional discussion of the interest rate swaps.</w:t>
      </w:r>
    </w:p>
    <w:p>
      <w:pPr>
        <w:spacing w:after="0" w:line="12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NCM LLC, Lehman Brothers Holdings Inc. (“Lehman”) and Barclays entered into an agreement in March 2010 whereby Lehman resigned its agency function and restructured its outstanding $14.0 million revolving credit loan. NCM LLC and the remaining revolving credit lenders consented to the appointment of Barclays as successor administrative agent and swing line lender under the credit agreement. Additionally, the revolving credit commitments of Lehman were reduced to zero and the aggregate revolving credit commitments were reduced to $66.0 million. The $14.0 million outstanding principal of the revolving credit loans held by Lehman will not be repaid in connection with any future prepayments of revolving credit loans, but rather Lehman’s share of the revolving credit facility will be paid in full by NCM LLC, along with any accrued and unpaid fees and interest, on the revolving credit termination date, February 13, 2013.</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March 19, 2009, the Company gave an $8.5 million note payable to Credit Suisse, Cayman Islands Branch (“Credit Suisse”) with no stated interest rate to settle the $10.0 million contingent put obligation and to acquire the $20.7 million outstanding principal balance of debt of IdeaCast, Inc. (“IdeaCast”) (together with all accrued interest and other lender costs required to be reimbursed by IdeaCast). Quarterly payments to Credit Suisse began on April 15, 2009 and will continue through January 15, 2011. At issuance the Company recorded the note at a present value of $7.0 million. At September 30, 2010 and December 31, 2009, $2.4 million and $4.3 million, respectively, of the balance was recorded in current liabilities. Interest on the note is accreted at the Company’s estimated incremental cost of debt based on then current market indicators over the term of the loan to 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adverse effect on its financial position or results of operations.</w:t>
      </w:r>
    </w:p>
    <w:p>
      <w:pPr>
        <w:spacing w:after="0" w:line="13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As part of the network affiliate agreements entered in the ordinary course of business under which the Company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for display in various theatre chains other than those of the founding members of NCM LLC, the Company has agreed to certain minimum revenue guarantees. If an affiliate achieves the attendance set forth in their respective agreement, the Company has guaranteed minimum revenue for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network affiliate per attendee if such amount paid under the revenue share arrangement is less than its guaranteed amount. The amount and term varies for each network affiliate, but initial terms range from 2-5 years, prior to any renewal periods. The maximum potential amount of future payments the Company could be required to make pursuant to the minimum revenue guarantees is $15.2 million over the remaining terms of the network affiliate agreements. For the quarter and nine months ended September 30, 2010 the Company had no liabilities recorded for these obligations as such guarantees are less than the expected share of revenue paid to the affiliate.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7"/>
          </w:tcPr>
          <w:p>
            <w:pPr>
              <w:ind w:left="540"/>
              <w:spacing w:after="0"/>
              <w:rPr>
                <w:sz w:val="20"/>
                <w:szCs w:val="20"/>
                <w:color w:val="auto"/>
              </w:rPr>
            </w:pPr>
            <w:r>
              <w:rPr>
                <w:rFonts w:ascii="Arial" w:cs="Arial" w:eastAsia="Arial" w:hAnsi="Arial"/>
                <w:sz w:val="14"/>
                <w:szCs w:val="14"/>
                <w:b w:val="1"/>
                <w:bCs w:val="1"/>
                <w:color w:val="auto"/>
              </w:rPr>
              <w:t>Fair Value Measurements at Reporting Date</w:t>
            </w:r>
          </w:p>
        </w:tc>
      </w:tr>
      <w:tr>
        <w:trPr>
          <w:trHeight w:val="161"/>
        </w:trPr>
        <w:tc>
          <w:tcPr>
            <w:tcW w:w="4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Using</w:t>
            </w:r>
          </w:p>
        </w:tc>
        <w:tc>
          <w:tcPr>
            <w:tcW w:w="7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20" w:type="dxa"/>
            <w:vAlign w:val="bottom"/>
            <w:gridSpan w:val="3"/>
          </w:tcPr>
          <w:p>
            <w:pPr>
              <w:jc w:val="center"/>
              <w:ind w:right="72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At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in Active</w:t>
            </w:r>
          </w:p>
        </w:tc>
        <w:tc>
          <w:tcPr>
            <w:tcW w:w="100" w:type="dxa"/>
            <w:vAlign w:val="bottom"/>
          </w:tcPr>
          <w:p>
            <w:pPr>
              <w:spacing w:after="0"/>
              <w:rPr>
                <w:sz w:val="12"/>
                <w:szCs w:val="12"/>
                <w:color w:val="auto"/>
              </w:rPr>
            </w:pPr>
          </w:p>
        </w:tc>
        <w:tc>
          <w:tcPr>
            <w:tcW w:w="5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Other</w:t>
            </w:r>
          </w:p>
        </w:tc>
        <w:tc>
          <w:tcPr>
            <w:tcW w:w="7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Significant</w:t>
            </w:r>
          </w:p>
        </w:tc>
      </w:tr>
      <w:tr>
        <w:trPr>
          <w:trHeight w:val="149"/>
        </w:trPr>
        <w:tc>
          <w:tcPr>
            <w:tcW w:w="4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September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7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r>
      <w:tr>
        <w:trPr>
          <w:trHeight w:val="149"/>
        </w:trPr>
        <w:tc>
          <w:tcPr>
            <w:tcW w:w="4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2"/>
                <w:szCs w:val="12"/>
                <w:color w:val="auto"/>
              </w:rPr>
            </w:pPr>
          </w:p>
        </w:tc>
        <w:tc>
          <w:tcPr>
            <w:tcW w:w="16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00" w:type="dxa"/>
            <w:vAlign w:val="bottom"/>
          </w:tcPr>
          <w:p>
            <w:pPr>
              <w:spacing w:after="0"/>
              <w:rPr>
                <w:sz w:val="12"/>
                <w:szCs w:val="12"/>
                <w:color w:val="auto"/>
              </w:rPr>
            </w:pPr>
          </w:p>
        </w:tc>
        <w:tc>
          <w:tcPr>
            <w:tcW w:w="5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Inputs</w:t>
            </w:r>
          </w:p>
        </w:tc>
        <w:tc>
          <w:tcPr>
            <w:tcW w:w="7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4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2"/>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(Level 1)</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7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54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560" w:type="dxa"/>
            <w:vAlign w:val="bottom"/>
          </w:tcPr>
          <w:p>
            <w:pPr>
              <w:jc w:val="center"/>
              <w:ind w:left="122"/>
              <w:spacing w:after="0"/>
              <w:rPr>
                <w:sz w:val="20"/>
                <w:szCs w:val="20"/>
                <w:color w:val="auto"/>
              </w:rPr>
            </w:pPr>
            <w:r>
              <w:rPr>
                <w:rFonts w:ascii="Arial" w:cs="Arial" w:eastAsia="Arial" w:hAnsi="Arial"/>
                <w:sz w:val="18"/>
                <w:szCs w:val="18"/>
                <w:color w:val="auto"/>
                <w:w w:val="88"/>
              </w:rPr>
              <w:t>—</w:t>
            </w:r>
          </w:p>
        </w:tc>
        <w:tc>
          <w:tcPr>
            <w:tcW w:w="7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540" w:type="dxa"/>
            <w:vAlign w:val="bottom"/>
          </w:tcPr>
          <w:p>
            <w:pPr>
              <w:ind w:left="440"/>
              <w:spacing w:after="0"/>
              <w:rPr>
                <w:sz w:val="20"/>
                <w:szCs w:val="20"/>
                <w:color w:val="auto"/>
              </w:rPr>
            </w:pPr>
            <w:r>
              <w:rPr>
                <w:rFonts w:ascii="Arial" w:cs="Arial" w:eastAsia="Arial" w:hAnsi="Arial"/>
                <w:sz w:val="18"/>
                <w:szCs w:val="18"/>
                <w:color w:val="auto"/>
              </w:rPr>
              <w:t>Current portion of interest rate swap agreements</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25.6</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center"/>
              <w:ind w:left="162"/>
              <w:spacing w:after="0"/>
              <w:rPr>
                <w:sz w:val="20"/>
                <w:szCs w:val="20"/>
                <w:color w:val="auto"/>
              </w:rPr>
            </w:pPr>
            <w:r>
              <w:rPr>
                <w:rFonts w:ascii="Arial" w:cs="Arial" w:eastAsia="Arial" w:hAnsi="Arial"/>
                <w:sz w:val="18"/>
                <w:szCs w:val="18"/>
                <w:color w:val="auto"/>
                <w:w w:val="91"/>
              </w:rPr>
              <w:t>25.6</w:t>
            </w:r>
          </w:p>
        </w:tc>
        <w:tc>
          <w:tcPr>
            <w:tcW w:w="7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7"/>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Agreements</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center"/>
              <w:ind w:left="162"/>
              <w:spacing w:after="0"/>
              <w:rPr>
                <w:sz w:val="20"/>
                <w:szCs w:val="20"/>
                <w:color w:val="auto"/>
              </w:rPr>
            </w:pPr>
            <w:r>
              <w:rPr>
                <w:rFonts w:ascii="Arial" w:cs="Arial" w:eastAsia="Arial" w:hAnsi="Arial"/>
                <w:sz w:val="18"/>
                <w:szCs w:val="18"/>
                <w:color w:val="auto"/>
                <w:w w:val="91"/>
              </w:rPr>
              <w:t>62.8</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b w:val="1"/>
          <w:bCs w:val="1"/>
          <w:i w:val="1"/>
          <w:iCs w:val="1"/>
          <w:color w:val="auto"/>
        </w:rPr>
        <w:t>Short-Term Investments</w:t>
      </w:r>
      <w:r>
        <w:rPr>
          <w:rFonts w:ascii="Arial" w:cs="Arial" w:eastAsia="Arial" w:hAnsi="Arial"/>
          <w:sz w:val="16"/>
          <w:szCs w:val="16"/>
          <w:color w:val="auto"/>
        </w:rPr>
        <w:t>— The Company’s short-term investments are classified as available-for-sale and are carried at estimated fair value with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unrealized gains, as well as losses that the Company considers to be temporary, reported net of tax in other comprehensive income within stockholders’ equity. For the quarter and nine months ended September 30, 2010 there was an immaterial amount of net realized gains (losses) recognized in interest income and no net unrealized holding gains (losses) included in other comprehensive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—NCM LLC has interest rate swap agreements with four counterparties that, at their inception, qualified for and were designated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flow hedges against interest rate exposure on $550.0 million of the variable rate debt obligations under the senior secured credit facility. The interest rate swap agreements have the effect of converting a portion of the Company’s variable rate debt to a fixed rate of 6.734%. All interest rate swaps were entered into for risk management purposes. The Company has no derivatives for other purposes.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Effective February 8, 2010, NCM LLC entered into a novation agreement with LBSF and Barclays whereby LBSF transferred to Barclays all the rights, liabilities, duties and obligations of NCM LLC’s interest rate swap agreement with LBSF with identical terms. NCM LLC accepted Barclays as its sole counterparty with respect to the new agreement. The term runs until February 13, 2015, subject to earlier termination upon the occurrence of certain specified events. Subject to the terms of the new agreement, NCM LLC or Barclays will make payments at specified intervals based on the variance between LIBOR and a fixed rate of 4.984% on a notional amount of $137.5 million. NCM LLC effectively pays a rate of 6.734% on this notional amount inclusive of the 1.75% margin currently required by NCM LLC’s credit agreement. The agreement with Barclays is secured by the assets of NCM LLC on a pari passu basis with the credit agreement and the other interest rates swaps that were entered into by NCM LLC. In consideration of LBSF entering into the transfer, NCM LLC agreed to pay to LBSF the full amount of interest rate swap payments withheld since LBSF’s default, aggregating $7.0 million, and an immaterial amount of penalty interest.</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Cash flow hedge accounting was discontinued on September 15, 2008 due to the event of default created by the bankruptcy of Lehman and the inability of the Company to continue to demonstrate the swap would be effective. The Company did not elect cash flow hedge accounting and the interest rate swap with Barclays is recorded at fair value with any change in the fair value recorded in the statement of operations. There was a $2.9 million increase and an $8.5 million increase, and a $2.1 million increase and a $4.9 million decrease in the fair value of the liability associated with the interest rate swap for the quarter and nine months ended September 30, 2010 and October 1, 2009, respectively, which the Company recorded as a component of interest expense and other, net.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net derivative loss as of September 14, 2008 related to the discontinued cash flow hedge with LBSF shall continue to be reported in accumulated other comprehensive income unless it is probable that the forecasted transaction will not occur by the end of the originally specified time period. Accordingly, the net derivative loss is being amortized to interest expense over the remaining term of the interest rate swap through February 13, 2015. The amount amortized during the quarter and nine months ended September 30, 2010 was $0.3 million and $0.9 million compared to $0.3 million and $0.9 million for the same periods in 2009. The Company estimates approximately $1.3 million will be amortized to interest expense in the next 12 months.</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Both at inception and on an on-going basis the Company performs an effectiveness test using the hypothetical derivative method. The fair values of the interest rate swaps with the counterparties other than Barclays (representing notional amounts of $412.5 million associated with a like amount of the variable rate debt) are recorded on the Company’s balance sheet as a liability with the change in fair value recorded in other comprehensive income since the instruments were determined to be perfectly effective at September 30, 2010 and October 1, 2009. There were no amounts reclassified into current earnings due to ineffectiveness during the periods presented other than as described below.</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September 30, 2010 and December 31, 2009, the estimated fair value and line item caption of derivative instruments recorded were as follows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Liability Derivatives</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840" w:type="dxa"/>
            <w:vAlign w:val="bottom"/>
            <w:tcBorders>
              <w:bottom w:val="single" w:sz="8" w:color="auto"/>
            </w:tcBorders>
            <w:gridSpan w:val="3"/>
          </w:tcPr>
          <w:p>
            <w:pPr>
              <w:ind w:left="340"/>
              <w:spacing w:after="0" w:line="156" w:lineRule="exact"/>
              <w:rPr>
                <w:sz w:val="20"/>
                <w:szCs w:val="20"/>
                <w:color w:val="auto"/>
              </w:rPr>
            </w:pPr>
            <w:r>
              <w:rPr>
                <w:rFonts w:ascii="Arial" w:cs="Arial" w:eastAsia="Arial" w:hAnsi="Arial"/>
                <w:sz w:val="14"/>
                <w:szCs w:val="14"/>
                <w:b w:val="1"/>
                <w:bCs w:val="1"/>
                <w:color w:val="auto"/>
                <w:w w:val="87"/>
              </w:rPr>
              <w:t>As of September 30, 2010</w:t>
            </w: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Borders>
              <w:bottom w:val="single" w:sz="8" w:color="auto"/>
            </w:tcBorders>
            <w:gridSpan w:val="3"/>
          </w:tcPr>
          <w:p>
            <w:pPr>
              <w:jc w:val="right"/>
              <w:spacing w:after="0" w:line="156" w:lineRule="exact"/>
              <w:rPr>
                <w:sz w:val="20"/>
                <w:szCs w:val="20"/>
                <w:color w:val="auto"/>
              </w:rPr>
            </w:pPr>
            <w:r>
              <w:rPr>
                <w:rFonts w:ascii="Arial" w:cs="Arial" w:eastAsia="Arial" w:hAnsi="Arial"/>
                <w:sz w:val="14"/>
                <w:szCs w:val="14"/>
                <w:b w:val="1"/>
                <w:bCs w:val="1"/>
                <w:color w:val="auto"/>
              </w:rPr>
              <w:t>As of December 31, 2009</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60" w:type="dxa"/>
            <w:vAlign w:val="bottom"/>
          </w:tcPr>
          <w:p>
            <w:pPr>
              <w:ind w:left="320"/>
              <w:spacing w:after="0" w:line="129" w:lineRule="exact"/>
              <w:rPr>
                <w:sz w:val="20"/>
                <w:szCs w:val="20"/>
                <w:color w:val="auto"/>
              </w:rPr>
            </w:pPr>
            <w:r>
              <w:rPr>
                <w:rFonts w:ascii="Arial" w:cs="Arial" w:eastAsia="Arial" w:hAnsi="Arial"/>
                <w:sz w:val="14"/>
                <w:szCs w:val="14"/>
                <w:b w:val="1"/>
                <w:bCs w:val="1"/>
                <w:color w:val="auto"/>
              </w:rPr>
              <w:t>Balance Sheet</w:t>
            </w:r>
          </w:p>
        </w:tc>
        <w:tc>
          <w:tcPr>
            <w:tcW w:w="280" w:type="dxa"/>
            <w:vAlign w:val="bottom"/>
          </w:tcPr>
          <w:p>
            <w:pPr>
              <w:spacing w:after="0"/>
              <w:rPr>
                <w:sz w:val="11"/>
                <w:szCs w:val="11"/>
                <w:color w:val="auto"/>
              </w:rPr>
            </w:pPr>
          </w:p>
        </w:tc>
        <w:tc>
          <w:tcPr>
            <w:tcW w:w="6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300" w:type="dxa"/>
            <w:vAlign w:val="bottom"/>
          </w:tcPr>
          <w:p>
            <w:pPr>
              <w:spacing w:after="0"/>
              <w:rPr>
                <w:sz w:val="11"/>
                <w:szCs w:val="11"/>
                <w:color w:val="auto"/>
              </w:rPr>
            </w:pPr>
          </w:p>
        </w:tc>
        <w:tc>
          <w:tcPr>
            <w:tcW w:w="50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Fair</w:t>
            </w: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460" w:type="dxa"/>
            <w:vAlign w:val="bottom"/>
          </w:tcPr>
          <w:p>
            <w:pPr>
              <w:ind w:left="460"/>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5"/>
                <w:szCs w:val="15"/>
                <w:color w:val="auto"/>
              </w:rPr>
            </w:pPr>
          </w:p>
        </w:tc>
        <w:tc>
          <w:tcPr>
            <w:tcW w:w="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00" w:type="dxa"/>
            <w:vAlign w:val="bottom"/>
          </w:tcPr>
          <w:p>
            <w:pPr>
              <w:spacing w:after="0"/>
              <w:rPr>
                <w:sz w:val="15"/>
                <w:szCs w:val="15"/>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46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19.2</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Current Liabilities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agreements</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47.1</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22.6</w:t>
            </w:r>
          </w:p>
        </w:tc>
        <w:tc>
          <w:tcPr>
            <w:tcW w:w="100" w:type="dxa"/>
            <w:vAlign w:val="bottom"/>
            <w:shd w:val="clear" w:color="auto" w:fill="CCEEFF"/>
          </w:tcPr>
          <w:p>
            <w:pPr>
              <w:spacing w:after="0"/>
              <w:rPr>
                <w:sz w:val="18"/>
                <w:szCs w:val="18"/>
                <w:color w:val="auto"/>
              </w:rPr>
            </w:pPr>
          </w:p>
        </w:tc>
      </w:tr>
      <w:tr>
        <w:trPr>
          <w:trHeight w:val="323"/>
        </w:trPr>
        <w:tc>
          <w:tcPr>
            <w:tcW w:w="5700" w:type="dxa"/>
            <w:vAlign w:val="bottom"/>
            <w:gridSpan w:val="2"/>
          </w:tcPr>
          <w:p>
            <w:pPr>
              <w:spacing w:after="0"/>
              <w:rPr>
                <w:sz w:val="20"/>
                <w:szCs w:val="20"/>
                <w:color w:val="auto"/>
              </w:rPr>
            </w:pPr>
            <w:r>
              <w:rPr>
                <w:rFonts w:ascii="Arial" w:cs="Arial" w:eastAsia="Arial" w:hAnsi="Arial"/>
                <w:sz w:val="18"/>
                <w:szCs w:val="18"/>
                <w:color w:val="auto"/>
              </w:rPr>
              <w:t>Derivatives not designated as hedging instruments:</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Interest rate swap agreements</w:t>
            </w:r>
          </w:p>
        </w:tc>
        <w:tc>
          <w:tcPr>
            <w:tcW w:w="146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15.7</w:t>
            </w:r>
          </w:p>
        </w:tc>
        <w:tc>
          <w:tcPr>
            <w:tcW w:w="180" w:type="dxa"/>
            <w:vAlign w:val="bottom"/>
          </w:tcPr>
          <w:p>
            <w:pPr>
              <w:spacing w:after="0"/>
              <w:rPr>
                <w:sz w:val="19"/>
                <w:szCs w:val="19"/>
                <w:color w:val="auto"/>
              </w:rPr>
            </w:pP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88.4</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54.6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effect of derivative instruments in cash flow hedge relationships on the unaudited condensed consolidated financial statements for the quarter and nine months ended September 30, 2010 and October 1, 2009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100" w:type="dxa"/>
            <w:vAlign w:val="bottom"/>
            <w:tcBorders>
              <w:right w:val="single" w:sz="8" w:color="auto"/>
            </w:tcBorders>
            <w:gridSpan w:val="10"/>
          </w:tcPr>
          <w:p>
            <w:pPr>
              <w:jc w:val="center"/>
              <w:ind w:right="380"/>
              <w:spacing w:after="0"/>
              <w:rPr>
                <w:sz w:val="20"/>
                <w:szCs w:val="20"/>
                <w:color w:val="auto"/>
              </w:rPr>
            </w:pPr>
            <w:r>
              <w:rPr>
                <w:rFonts w:ascii="Arial" w:cs="Arial" w:eastAsia="Arial" w:hAnsi="Arial"/>
                <w:sz w:val="14"/>
                <w:szCs w:val="14"/>
                <w:b w:val="1"/>
                <w:bCs w:val="1"/>
                <w:color w:val="auto"/>
                <w:w w:val="86"/>
              </w:rPr>
              <w:t>Unrealized Gain (Loss) Recognized in</w:t>
            </w:r>
          </w:p>
        </w:tc>
        <w:tc>
          <w:tcPr>
            <w:tcW w:w="200" w:type="dxa"/>
            <w:vAlign w:val="bottom"/>
          </w:tcPr>
          <w:p>
            <w:pPr>
              <w:spacing w:after="0"/>
              <w:rPr>
                <w:sz w:val="14"/>
                <w:szCs w:val="14"/>
                <w:color w:val="auto"/>
              </w:rPr>
            </w:pPr>
          </w:p>
        </w:tc>
        <w:tc>
          <w:tcPr>
            <w:tcW w:w="284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86"/>
              </w:rPr>
              <w:t>Realized Gain (Loss) Recognized in</w:t>
            </w:r>
          </w:p>
        </w:tc>
      </w:tr>
      <w:tr>
        <w:trPr>
          <w:trHeight w:val="161"/>
        </w:trPr>
        <w:tc>
          <w:tcPr>
            <w:tcW w:w="3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4"/>
              </w:rPr>
              <w:t>NCM, Inc’s OCI (Pre-tax)</w:t>
            </w:r>
          </w:p>
        </w:tc>
        <w:tc>
          <w:tcPr>
            <w:tcW w:w="440" w:type="dxa"/>
            <w:vAlign w:val="bottom"/>
            <w:tcBorders>
              <w:bottom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87"/>
              </w:rPr>
              <w:t>Interest Expense (Pre-tax)</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Nine</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Nine</w:t>
            </w:r>
          </w:p>
        </w:tc>
        <w:tc>
          <w:tcPr>
            <w:tcW w:w="3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Nine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Nine</w:t>
            </w:r>
          </w:p>
        </w:tc>
        <w:tc>
          <w:tcPr>
            <w:tcW w:w="100" w:type="dxa"/>
            <w:vAlign w:val="bottom"/>
          </w:tcPr>
          <w:p>
            <w:pPr>
              <w:spacing w:after="0"/>
              <w:rPr>
                <w:sz w:val="11"/>
                <w:szCs w:val="11"/>
                <w:color w:val="auto"/>
              </w:rPr>
            </w:pPr>
          </w:p>
        </w:tc>
      </w:tr>
      <w:tr>
        <w:trPr>
          <w:trHeight w:val="149"/>
        </w:trPr>
        <w:tc>
          <w:tcPr>
            <w:tcW w:w="3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Qtr.</w:t>
            </w:r>
          </w:p>
        </w:tc>
        <w:tc>
          <w:tcPr>
            <w:tcW w:w="22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2"/>
                <w:szCs w:val="12"/>
                <w:color w:val="auto"/>
              </w:rPr>
            </w:pPr>
          </w:p>
        </w:tc>
        <w:tc>
          <w:tcPr>
            <w:tcW w:w="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Qtr.</w:t>
            </w:r>
          </w:p>
        </w:tc>
        <w:tc>
          <w:tcPr>
            <w:tcW w:w="820" w:type="dxa"/>
            <w:vAlign w:val="bottom"/>
            <w:tcBorders>
              <w:right w:val="single" w:sz="8" w:color="auto"/>
            </w:tcBorders>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Months</w:t>
            </w:r>
          </w:p>
        </w:tc>
        <w:tc>
          <w:tcPr>
            <w:tcW w:w="2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Qtr.</w:t>
            </w:r>
          </w:p>
        </w:tc>
        <w:tc>
          <w:tcPr>
            <w:tcW w:w="2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Months</w:t>
            </w:r>
          </w:p>
        </w:tc>
        <w:tc>
          <w:tcPr>
            <w:tcW w:w="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Qtr.</w:t>
            </w:r>
          </w:p>
        </w:tc>
        <w:tc>
          <w:tcPr>
            <w:tcW w:w="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3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820" w:type="dxa"/>
            <w:vAlign w:val="bottom"/>
            <w:tcBorders>
              <w:right w:val="single" w:sz="8" w:color="auto"/>
            </w:tcBorders>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Sept. 30,</w:t>
            </w:r>
          </w:p>
        </w:tc>
        <w:tc>
          <w:tcPr>
            <w:tcW w:w="22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Sept. 30,</w:t>
            </w:r>
          </w:p>
        </w:tc>
        <w:tc>
          <w:tcPr>
            <w:tcW w:w="12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Oct. 1,</w:t>
            </w:r>
          </w:p>
        </w:tc>
        <w:tc>
          <w:tcPr>
            <w:tcW w:w="820" w:type="dxa"/>
            <w:vAlign w:val="bottom"/>
            <w:tcBorders>
              <w:right w:val="single" w:sz="8" w:color="auto"/>
            </w:tcBorders>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Oct. 1,</w:t>
            </w:r>
          </w:p>
        </w:tc>
        <w:tc>
          <w:tcPr>
            <w:tcW w:w="2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Sept. 30,</w:t>
            </w:r>
          </w:p>
        </w:tc>
        <w:tc>
          <w:tcPr>
            <w:tcW w:w="2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Sept. 30,</w:t>
            </w:r>
          </w:p>
        </w:tc>
        <w:tc>
          <w:tcPr>
            <w:tcW w:w="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Oct. 1,</w:t>
            </w: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Oct. 1,</w:t>
            </w:r>
          </w:p>
        </w:tc>
      </w:tr>
      <w:tr>
        <w:trPr>
          <w:trHeight w:val="161"/>
        </w:trPr>
        <w:tc>
          <w:tcPr>
            <w:tcW w:w="3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38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(38.9)</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(9.1)</w:t>
            </w:r>
          </w:p>
        </w:tc>
        <w:tc>
          <w:tcPr>
            <w:tcW w:w="82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(4.7)</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(14.5)</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(4.6)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(11.8)</w:t>
            </w:r>
          </w:p>
        </w:tc>
      </w:tr>
      <w:tr>
        <w:trPr>
          <w:trHeight w:val="20"/>
        </w:trPr>
        <w:tc>
          <w:tcPr>
            <w:tcW w:w="3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was $0.3 million and $0.9 million of ineffectiveness recognized for the quarter and nine months ended September 30, 2010, respectively. There was no ineffectiveness recognized for the quarter and nine months ended October 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80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effect of derivatives not designated as hedging instruments under ASC 815 on the unaudited condensed consolidated financial statements for the quarters and nine months ended September 30, 2010 and October 1, 2009 were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86"/>
              </w:rPr>
              <w:t>Gain or (Loss) Recognized in Interest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w w:val="89"/>
              </w:rPr>
              <w:t>Expense (Pre-tax)</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Nine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Nine</w:t>
            </w:r>
          </w:p>
        </w:tc>
        <w:tc>
          <w:tcPr>
            <w:tcW w:w="100" w:type="dxa"/>
            <w:vAlign w:val="bottom"/>
          </w:tcPr>
          <w:p>
            <w:pPr>
              <w:spacing w:after="0"/>
              <w:rPr>
                <w:sz w:val="11"/>
                <w:szCs w:val="11"/>
                <w:color w:val="auto"/>
              </w:rPr>
            </w:pPr>
          </w:p>
        </w:tc>
      </w:tr>
      <w:tr>
        <w:trPr>
          <w:trHeight w:val="149"/>
        </w:trPr>
        <w:tc>
          <w:tcPr>
            <w:tcW w:w="46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Qtr.</w:t>
            </w:r>
          </w:p>
        </w:tc>
        <w:tc>
          <w:tcPr>
            <w:tcW w:w="420" w:type="dxa"/>
            <w:vAlign w:val="bottom"/>
          </w:tcPr>
          <w:p>
            <w:pPr>
              <w:spacing w:after="0"/>
              <w:rPr>
                <w:sz w:val="12"/>
                <w:szCs w:val="12"/>
                <w:color w:val="auto"/>
              </w:rPr>
            </w:pPr>
          </w:p>
        </w:tc>
        <w:tc>
          <w:tcPr>
            <w:tcW w:w="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Months</w:t>
            </w:r>
          </w:p>
        </w:tc>
        <w:tc>
          <w:tcPr>
            <w:tcW w:w="200" w:type="dxa"/>
            <w:vAlign w:val="bottom"/>
          </w:tcPr>
          <w:p>
            <w:pPr>
              <w:spacing w:after="0"/>
              <w:rPr>
                <w:sz w:val="12"/>
                <w:szCs w:val="12"/>
                <w:color w:val="auto"/>
              </w:rPr>
            </w:pPr>
          </w:p>
        </w:tc>
        <w:tc>
          <w:tcPr>
            <w:tcW w:w="8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Qtr.</w:t>
            </w:r>
          </w:p>
        </w:tc>
        <w:tc>
          <w:tcPr>
            <w:tcW w:w="6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Months</w:t>
            </w:r>
          </w:p>
        </w:tc>
      </w:tr>
      <w:tr>
        <w:trPr>
          <w:trHeight w:val="149"/>
        </w:trPr>
        <w:tc>
          <w:tcPr>
            <w:tcW w:w="46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6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Sept. 30,</w:t>
            </w:r>
          </w:p>
        </w:tc>
        <w:tc>
          <w:tcPr>
            <w:tcW w:w="42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Sept. 30,</w:t>
            </w:r>
          </w:p>
        </w:tc>
        <w:tc>
          <w:tcPr>
            <w:tcW w:w="20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Oct. 1,</w:t>
            </w:r>
          </w:p>
        </w:tc>
        <w:tc>
          <w:tcPr>
            <w:tcW w:w="6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Oct. 1,</w:t>
            </w:r>
          </w:p>
        </w:tc>
      </w:tr>
      <w:tr>
        <w:trPr>
          <w:trHeight w:val="161"/>
        </w:trPr>
        <w:tc>
          <w:tcPr>
            <w:tcW w:w="4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2010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Change in derivative fair value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7"/>
        </w:trPr>
        <w:tc>
          <w:tcPr>
            <w:tcW w:w="4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(14.0)</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(4.2)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0"/>
        </w:trPr>
        <w:tc>
          <w:tcPr>
            <w:tcW w:w="4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OWNERSHIP CHANGES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5"/>
              </w:rPr>
              <w:t>Nine Months</w:t>
            </w:r>
          </w:p>
        </w:tc>
        <w:tc>
          <w:tcPr>
            <w:tcW w:w="1300" w:type="dxa"/>
            <w:vAlign w:val="bottom"/>
            <w:gridSpan w:val="4"/>
          </w:tcPr>
          <w:p>
            <w:pPr>
              <w:ind w:left="420"/>
              <w:spacing w:after="0"/>
              <w:rPr>
                <w:sz w:val="20"/>
                <w:szCs w:val="20"/>
                <w:color w:val="auto"/>
              </w:rPr>
            </w:pPr>
            <w:r>
              <w:rPr>
                <w:rFonts w:ascii="Arial" w:cs="Arial" w:eastAsia="Arial" w:hAnsi="Arial"/>
                <w:sz w:val="14"/>
                <w:szCs w:val="14"/>
                <w:b w:val="1"/>
                <w:bCs w:val="1"/>
                <w:color w:val="auto"/>
              </w:rPr>
              <w:t>Nine Months</w:t>
            </w:r>
          </w:p>
        </w:tc>
      </w:tr>
      <w:tr>
        <w:trPr>
          <w:trHeight w:val="149"/>
        </w:trPr>
        <w:tc>
          <w:tcPr>
            <w:tcW w:w="6000" w:type="dxa"/>
            <w:vAlign w:val="bottom"/>
          </w:tcPr>
          <w:p>
            <w:pPr>
              <w:spacing w:after="0"/>
              <w:rPr>
                <w:sz w:val="12"/>
                <w:szCs w:val="12"/>
                <w:color w:val="auto"/>
              </w:rPr>
            </w:pPr>
          </w:p>
        </w:tc>
        <w:tc>
          <w:tcPr>
            <w:tcW w:w="13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Ended Sept. 30,</w:t>
            </w:r>
          </w:p>
        </w:tc>
        <w:tc>
          <w:tcPr>
            <w:tcW w:w="130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Ended Oct.1,</w:t>
            </w:r>
          </w:p>
        </w:tc>
      </w:t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and other impacts of subsidiary ownership changes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NCM, Inc. investment in subsidiary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(174.9)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000" w:type="dxa"/>
            <w:vAlign w:val="bottom"/>
          </w:tcPr>
          <w:p>
            <w:pPr>
              <w:spacing w:after="0"/>
              <w:rPr>
                <w:sz w:val="20"/>
                <w:szCs w:val="20"/>
                <w:color w:val="auto"/>
              </w:rPr>
            </w:pPr>
            <w:r>
              <w:rPr>
                <w:rFonts w:ascii="Arial" w:cs="Arial" w:eastAsia="Arial" w:hAnsi="Arial"/>
                <w:sz w:val="18"/>
                <w:szCs w:val="18"/>
                <w:color w:val="auto"/>
              </w:rPr>
              <w:t>Change from net income attributable to NCM, Inc. and transfers from</w:t>
            </w: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600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118.0</w:t>
            </w:r>
          </w:p>
        </w:tc>
        <w:tc>
          <w:tcPr>
            <w:tcW w:w="460" w:type="dxa"/>
            <w:vAlign w:val="bottom"/>
          </w:tcPr>
          <w:p>
            <w:pPr>
              <w:spacing w:after="0"/>
              <w:rPr>
                <w:sz w:val="19"/>
                <w:szCs w:val="19"/>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96"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Advertising is the principal business activity of the Company and is the Company’s reportable segment under the requirements of ASC 280 </w:t>
      </w:r>
      <w:r>
        <w:rPr>
          <w:rFonts w:ascii="Arial" w:cs="Arial" w:eastAsia="Arial" w:hAnsi="Arial"/>
          <w:sz w:val="15"/>
          <w:szCs w:val="15"/>
          <w:i w:val="1"/>
          <w:iCs w:val="1"/>
          <w:color w:val="auto"/>
        </w:rPr>
        <w:t>Segment</w:t>
      </w:r>
      <w:r>
        <w:rPr>
          <w:rFonts w:ascii="Arial" w:cs="Arial" w:eastAsia="Arial" w:hAnsi="Arial"/>
          <w:sz w:val="15"/>
          <w:szCs w:val="15"/>
          <w:color w:val="auto"/>
        </w:rPr>
        <w:t xml:space="preserve"> </w:t>
      </w:r>
      <w:r>
        <w:rPr>
          <w:rFonts w:ascii="Arial" w:cs="Arial" w:eastAsia="Arial" w:hAnsi="Arial"/>
          <w:sz w:val="15"/>
          <w:szCs w:val="15"/>
          <w:i w:val="1"/>
          <w:iCs w:val="1"/>
          <w:color w:val="auto"/>
        </w:rPr>
        <w:t>Reporting</w:t>
      </w:r>
      <w:r>
        <w:rPr>
          <w:rFonts w:ascii="Arial" w:cs="Arial" w:eastAsia="Arial" w:hAnsi="Arial"/>
          <w:sz w:val="15"/>
          <w:szCs w:val="15"/>
          <w:color w:val="auto"/>
        </w:rPr>
        <w:t>. Advertising revenue accounted for 93.6%, 92.3%, 89.1% and 88.4% of consolidated revenue for the quarters ended September 30, 2010 and</w:t>
      </w:r>
      <w:r>
        <w:rPr>
          <w:rFonts w:ascii="Arial" w:cs="Arial" w:eastAsia="Arial" w:hAnsi="Arial"/>
          <w:sz w:val="15"/>
          <w:szCs w:val="15"/>
          <w:i w:val="1"/>
          <w:iCs w:val="1"/>
          <w:color w:val="auto"/>
        </w:rPr>
        <w:t xml:space="preserve"> </w:t>
      </w:r>
      <w:r>
        <w:rPr>
          <w:rFonts w:ascii="Arial" w:cs="Arial" w:eastAsia="Arial" w:hAnsi="Arial"/>
          <w:sz w:val="15"/>
          <w:szCs w:val="15"/>
          <w:color w:val="auto"/>
        </w:rPr>
        <w:t>October 1, 2009 and the nine months ended September 30, 2010 and October 1, 2009, respectively. Fathom Consumer Events and Fathom Business Events are operating segments under ASC 280, but do not meet the quantitative thresholds for segment reporting. The following table presents revenues less directly identifiable expenses to arrive at operating income net of direct expenses for the Advertising reportable segment, the combined Fathom Events operating segments, and Network, Administrative and Unallocated costs. Management does not evaluate its segments on a fully allocated cost basis. Therefore, the measure of segment operating income net of direct expenses shown below is not prepared on the same basis as operating income in the unaudited condensed consolidated statement of operations and the results below are not indicative of what segment results of operations would have been had it been operated on a fully allocated cost basis. Management cautions that it would be inappropriate to assume that unallocated operating costs are incurred proportional to segment revenue or any directly identifiable segment expenses. Unallocated operating costs consist primarily of network costs, general and administrative costs and other unallocated costs including depreciation and amortization. Management does not track segment assets and, therefore, segment asset information is not presented.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700" w:right="238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1"/>
              </w:rPr>
              <w:t>Quarter Ended September 30, 2010 (in millions)</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700"/>
              <w:spacing w:after="0" w:line="131" w:lineRule="exact"/>
              <w:rPr>
                <w:sz w:val="20"/>
                <w:szCs w:val="20"/>
                <w:color w:val="auto"/>
              </w:rPr>
            </w:pPr>
            <w:r>
              <w:rPr>
                <w:rFonts w:ascii="Arial" w:cs="Arial" w:eastAsia="Arial" w:hAnsi="Arial"/>
                <w:sz w:val="14"/>
                <w:szCs w:val="14"/>
                <w:color w:val="auto"/>
                <w:w w:val="94"/>
              </w:rPr>
              <w:t>Network,</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0"/>
              </w:rPr>
              <w:t>Administrative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5"/>
              </w:rPr>
              <w:t>and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86"/>
              </w:rPr>
              <w:t>Unallocated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spacing w:after="0" w:line="159" w:lineRule="exact"/>
              <w:rPr>
                <w:sz w:val="20"/>
                <w:szCs w:val="20"/>
                <w:color w:val="auto"/>
              </w:rPr>
            </w:pPr>
            <w:r>
              <w:rPr>
                <w:rFonts w:ascii="Arial" w:cs="Arial" w:eastAsia="Arial" w:hAnsi="Arial"/>
                <w:sz w:val="14"/>
                <w:szCs w:val="14"/>
                <w:color w:val="auto"/>
                <w:w w:val="92"/>
              </w:rPr>
              <w:t>Advertising</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w w:val="85"/>
              </w:rPr>
              <w:t>Other</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62"/>
              <w:spacing w:after="0" w:line="159" w:lineRule="exact"/>
              <w:rPr>
                <w:sz w:val="20"/>
                <w:szCs w:val="20"/>
                <w:color w:val="auto"/>
              </w:rPr>
            </w:pPr>
            <w:r>
              <w:rPr>
                <w:rFonts w:ascii="Arial" w:cs="Arial" w:eastAsia="Arial" w:hAnsi="Arial"/>
                <w:sz w:val="14"/>
                <w:szCs w:val="14"/>
                <w:color w:val="auto"/>
                <w:w w:val="83"/>
              </w:rPr>
              <w:t>Costs</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spacing w:after="0" w:line="15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6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costs</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40" w:type="dxa"/>
            <w:vAlign w:val="bottom"/>
            <w:gridSpan w:val="2"/>
          </w:tcPr>
          <w:p>
            <w:pPr>
              <w:spacing w:after="0"/>
              <w:rPr>
                <w:sz w:val="20"/>
                <w:szCs w:val="20"/>
                <w:color w:val="auto"/>
              </w:rPr>
            </w:pPr>
            <w:r>
              <w:rPr>
                <w:rFonts w:ascii="Arial" w:cs="Arial" w:eastAsia="Arial" w:hAnsi="Arial"/>
                <w:sz w:val="18"/>
                <w:szCs w:val="18"/>
                <w:color w:val="auto"/>
              </w:rPr>
              <w:t>Other costs</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980" w:type="dxa"/>
            <w:vAlign w:val="bottom"/>
            <w:gridSpan w:val="3"/>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240" w:type="dxa"/>
            <w:vAlign w:val="bottom"/>
            <w:gridSpan w:val="2"/>
          </w:tcPr>
          <w:p>
            <w:pPr>
              <w:spacing w:after="0"/>
              <w:rPr>
                <w:sz w:val="20"/>
                <w:szCs w:val="20"/>
                <w:color w:val="auto"/>
              </w:rPr>
            </w:pPr>
            <w:r>
              <w:rPr>
                <w:rFonts w:ascii="Arial" w:cs="Arial" w:eastAsia="Arial" w:hAnsi="Arial"/>
                <w:sz w:val="18"/>
                <w:szCs w:val="18"/>
                <w:color w:val="auto"/>
              </w:rPr>
              <w:t>Network, administrative and other costs</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2"/>
              </w:rPr>
              <w:t>Nine Months Ended September 30, 2010 (in millions)</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700"/>
              <w:spacing w:after="0" w:line="131" w:lineRule="exact"/>
              <w:rPr>
                <w:sz w:val="20"/>
                <w:szCs w:val="20"/>
                <w:color w:val="auto"/>
              </w:rPr>
            </w:pPr>
            <w:r>
              <w:rPr>
                <w:rFonts w:ascii="Arial" w:cs="Arial" w:eastAsia="Arial" w:hAnsi="Arial"/>
                <w:sz w:val="14"/>
                <w:szCs w:val="14"/>
                <w:color w:val="auto"/>
                <w:w w:val="94"/>
              </w:rPr>
              <w:t>Network,</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0"/>
              </w:rPr>
              <w:t>Administrative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5"/>
              </w:rPr>
              <w:t>and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86"/>
              </w:rPr>
              <w:t>Unallocated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60" w:type="dxa"/>
            <w:vAlign w:val="bottom"/>
            <w:gridSpan w:val="3"/>
          </w:tcPr>
          <w:p>
            <w:pPr>
              <w:spacing w:after="0" w:line="159" w:lineRule="exact"/>
              <w:rPr>
                <w:sz w:val="20"/>
                <w:szCs w:val="20"/>
                <w:color w:val="auto"/>
              </w:rPr>
            </w:pPr>
            <w:r>
              <w:rPr>
                <w:rFonts w:ascii="Arial" w:cs="Arial" w:eastAsia="Arial" w:hAnsi="Arial"/>
                <w:sz w:val="14"/>
                <w:szCs w:val="14"/>
                <w:color w:val="auto"/>
                <w:w w:val="92"/>
              </w:rPr>
              <w:t>Advertising</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6"/>
              </w:rPr>
              <w:t>Other</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62"/>
              <w:spacing w:after="0" w:line="159" w:lineRule="exact"/>
              <w:rPr>
                <w:sz w:val="20"/>
                <w:szCs w:val="20"/>
                <w:color w:val="auto"/>
              </w:rPr>
            </w:pPr>
            <w:r>
              <w:rPr>
                <w:rFonts w:ascii="Arial" w:cs="Arial" w:eastAsia="Arial" w:hAnsi="Arial"/>
                <w:sz w:val="14"/>
                <w:szCs w:val="14"/>
                <w:color w:val="auto"/>
                <w:w w:val="83"/>
              </w:rPr>
              <w:t>Costs</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spacing w:after="0" w:line="15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275.6</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costs</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55.9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40" w:type="dxa"/>
            <w:vAlign w:val="bottom"/>
            <w:gridSpan w:val="2"/>
          </w:tcPr>
          <w:p>
            <w:pPr>
              <w:spacing w:after="0"/>
              <w:rPr>
                <w:sz w:val="20"/>
                <w:szCs w:val="20"/>
                <w:color w:val="auto"/>
              </w:rPr>
            </w:pPr>
            <w:r>
              <w:rPr>
                <w:rFonts w:ascii="Arial" w:cs="Arial" w:eastAsia="Arial" w:hAnsi="Arial"/>
                <w:sz w:val="18"/>
                <w:szCs w:val="18"/>
                <w:color w:val="auto"/>
              </w:rPr>
              <w:t>Other costs</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2.1</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980" w:type="dxa"/>
            <w:vAlign w:val="bottom"/>
            <w:gridSpan w:val="3"/>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3"/>
              </w:rPr>
              <w:t>182.6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240" w:type="dxa"/>
            <w:vAlign w:val="bottom"/>
            <w:gridSpan w:val="2"/>
          </w:tcPr>
          <w:p>
            <w:pPr>
              <w:spacing w:after="0"/>
              <w:rPr>
                <w:sz w:val="20"/>
                <w:szCs w:val="20"/>
                <w:color w:val="auto"/>
              </w:rPr>
            </w:pPr>
            <w:r>
              <w:rPr>
                <w:rFonts w:ascii="Arial" w:cs="Arial" w:eastAsia="Arial" w:hAnsi="Arial"/>
                <w:sz w:val="18"/>
                <w:szCs w:val="18"/>
                <w:color w:val="auto"/>
              </w:rPr>
              <w:t>Network, administrative and other costs</w:t>
            </w:r>
          </w:p>
        </w:tc>
        <w:tc>
          <w:tcPr>
            <w:tcW w:w="17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vMerge w:val="restart"/>
          </w:tcPr>
          <w:p>
            <w:pPr>
              <w:jc w:val="right"/>
              <w:ind w:right="572"/>
              <w:spacing w:after="0"/>
              <w:rPr>
                <w:sz w:val="20"/>
                <w:szCs w:val="20"/>
                <w:color w:val="auto"/>
              </w:rPr>
            </w:pPr>
            <w:r>
              <w:rPr>
                <w:rFonts w:ascii="Arial" w:cs="Arial" w:eastAsia="Arial" w:hAnsi="Arial"/>
                <w:sz w:val="18"/>
                <w:szCs w:val="18"/>
                <w:color w:val="auto"/>
              </w:rPr>
              <w:t>19</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520" w:right="256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2"/>
          </w:tcPr>
          <w:p>
            <w:pPr>
              <w:ind w:left="200"/>
              <w:spacing w:after="0"/>
              <w:rPr>
                <w:sz w:val="20"/>
                <w:szCs w:val="20"/>
                <w:color w:val="auto"/>
              </w:rPr>
            </w:pPr>
            <w:r>
              <w:rPr>
                <w:rFonts w:ascii="Arial" w:cs="Arial" w:eastAsia="Arial" w:hAnsi="Arial"/>
                <w:sz w:val="14"/>
                <w:szCs w:val="14"/>
                <w:b w:val="1"/>
                <w:bCs w:val="1"/>
                <w:color w:val="auto"/>
                <w:w w:val="92"/>
              </w:rPr>
              <w:t>Quarter Ended October 1, 2009 (in millions)</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5"/>
          </w:tcPr>
          <w:p>
            <w:pPr>
              <w:jc w:val="center"/>
              <w:ind w:right="560"/>
              <w:spacing w:after="0" w:line="131" w:lineRule="exact"/>
              <w:rPr>
                <w:sz w:val="20"/>
                <w:szCs w:val="20"/>
                <w:color w:val="auto"/>
              </w:rPr>
            </w:pPr>
            <w:r>
              <w:rPr>
                <w:rFonts w:ascii="Arial" w:cs="Arial" w:eastAsia="Arial" w:hAnsi="Arial"/>
                <w:sz w:val="14"/>
                <w:szCs w:val="14"/>
                <w:color w:val="auto"/>
                <w:w w:val="90"/>
              </w:rPr>
              <w:t>Network,</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5"/>
          </w:tcPr>
          <w:p>
            <w:pPr>
              <w:jc w:val="center"/>
              <w:ind w:right="560"/>
              <w:spacing w:after="0" w:line="149" w:lineRule="exact"/>
              <w:rPr>
                <w:sz w:val="20"/>
                <w:szCs w:val="20"/>
                <w:color w:val="auto"/>
              </w:rPr>
            </w:pPr>
            <w:r>
              <w:rPr>
                <w:rFonts w:ascii="Arial" w:cs="Arial" w:eastAsia="Arial" w:hAnsi="Arial"/>
                <w:sz w:val="14"/>
                <w:szCs w:val="14"/>
                <w:color w:val="auto"/>
                <w:w w:val="93"/>
              </w:rPr>
              <w:t>Administrative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780"/>
              <w:spacing w:after="0" w:line="149" w:lineRule="exact"/>
              <w:rPr>
                <w:sz w:val="20"/>
                <w:szCs w:val="20"/>
                <w:color w:val="auto"/>
              </w:rPr>
            </w:pPr>
            <w:r>
              <w:rPr>
                <w:rFonts w:ascii="Arial" w:cs="Arial" w:eastAsia="Arial" w:hAnsi="Arial"/>
                <w:sz w:val="14"/>
                <w:szCs w:val="14"/>
                <w:color w:val="auto"/>
                <w:w w:val="76"/>
              </w:rPr>
              <w:t>and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5"/>
          </w:tcPr>
          <w:p>
            <w:pPr>
              <w:jc w:val="center"/>
              <w:ind w:right="560"/>
              <w:spacing w:after="0" w:line="149" w:lineRule="exact"/>
              <w:rPr>
                <w:sz w:val="20"/>
                <w:szCs w:val="20"/>
                <w:color w:val="auto"/>
              </w:rPr>
            </w:pPr>
            <w:r>
              <w:rPr>
                <w:rFonts w:ascii="Arial" w:cs="Arial" w:eastAsia="Arial" w:hAnsi="Arial"/>
                <w:sz w:val="14"/>
                <w:szCs w:val="14"/>
                <w:color w:val="auto"/>
                <w:w w:val="89"/>
              </w:rPr>
              <w:t>Unallocated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4"/>
          </w:tcPr>
          <w:p>
            <w:pPr>
              <w:ind w:left="20"/>
              <w:spacing w:after="0" w:line="159" w:lineRule="exact"/>
              <w:rPr>
                <w:sz w:val="20"/>
                <w:szCs w:val="20"/>
                <w:color w:val="auto"/>
              </w:rPr>
            </w:pPr>
            <w:r>
              <w:rPr>
                <w:rFonts w:ascii="Arial" w:cs="Arial" w:eastAsia="Arial" w:hAnsi="Arial"/>
                <w:sz w:val="14"/>
                <w:szCs w:val="14"/>
                <w:color w:val="auto"/>
                <w:w w:val="89"/>
              </w:rPr>
              <w:t>Advertising</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w w:val="85"/>
              </w:rPr>
              <w:t>Other</w:t>
            </w:r>
          </w:p>
        </w:tc>
        <w:tc>
          <w:tcPr>
            <w:tcW w:w="3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center"/>
              <w:ind w:right="120"/>
              <w:spacing w:after="0" w:line="159" w:lineRule="exact"/>
              <w:rPr>
                <w:sz w:val="20"/>
                <w:szCs w:val="20"/>
                <w:color w:val="auto"/>
              </w:rPr>
            </w:pPr>
            <w:r>
              <w:rPr>
                <w:rFonts w:ascii="Arial" w:cs="Arial" w:eastAsia="Arial" w:hAnsi="Arial"/>
                <w:sz w:val="14"/>
                <w:szCs w:val="14"/>
                <w:color w:val="auto"/>
                <w:w w:val="83"/>
              </w:rPr>
              <w:t>Costs</w:t>
            </w:r>
          </w:p>
        </w:tc>
        <w:tc>
          <w:tcPr>
            <w:tcW w:w="5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spacing w:after="0" w:line="159" w:lineRule="exact"/>
              <w:rPr>
                <w:sz w:val="20"/>
                <w:szCs w:val="20"/>
                <w:color w:val="auto"/>
              </w:rPr>
            </w:pPr>
            <w:r>
              <w:rPr>
                <w:rFonts w:ascii="Arial" w:cs="Arial" w:eastAsia="Arial" w:hAnsi="Arial"/>
                <w:sz w:val="14"/>
                <w:szCs w:val="14"/>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$7.4</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29"/>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tcBorders>
            <w:gridSpan w:val="2"/>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costs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40" w:type="dxa"/>
            <w:vAlign w:val="bottom"/>
            <w:gridSpan w:val="2"/>
          </w:tcPr>
          <w:p>
            <w:pPr>
              <w:spacing w:after="0"/>
              <w:rPr>
                <w:sz w:val="20"/>
                <w:szCs w:val="20"/>
                <w:color w:val="auto"/>
              </w:rPr>
            </w:pPr>
            <w:r>
              <w:rPr>
                <w:rFonts w:ascii="Arial" w:cs="Arial" w:eastAsia="Arial" w:hAnsi="Arial"/>
                <w:sz w:val="18"/>
                <w:szCs w:val="18"/>
                <w:color w:val="auto"/>
              </w:rPr>
              <w:t>Other costs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0.5</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740" w:type="dxa"/>
            <w:vAlign w:val="bottom"/>
            <w:gridSpan w:val="2"/>
          </w:tcPr>
          <w:p>
            <w:pPr>
              <w:spacing w:after="0"/>
              <w:rPr>
                <w:sz w:val="20"/>
                <w:szCs w:val="20"/>
                <w:color w:val="auto"/>
              </w:rPr>
            </w:pPr>
            <w:r>
              <w:rPr>
                <w:rFonts w:ascii="Arial" w:cs="Arial" w:eastAsia="Arial" w:hAnsi="Arial"/>
                <w:sz w:val="18"/>
                <w:szCs w:val="18"/>
                <w:color w:val="auto"/>
              </w:rPr>
              <w:t>Network, administrative and other costs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12"/>
            <w:vMerge w:val="restart"/>
          </w:tcPr>
          <w:p>
            <w:pPr>
              <w:ind w:left="20"/>
              <w:spacing w:after="0"/>
              <w:rPr>
                <w:sz w:val="20"/>
                <w:szCs w:val="20"/>
                <w:color w:val="auto"/>
              </w:rPr>
            </w:pPr>
            <w:r>
              <w:rPr>
                <w:rFonts w:ascii="Arial" w:cs="Arial" w:eastAsia="Arial" w:hAnsi="Arial"/>
                <w:sz w:val="14"/>
                <w:szCs w:val="14"/>
                <w:b w:val="1"/>
                <w:bCs w:val="1"/>
                <w:color w:val="auto"/>
                <w:w w:val="88"/>
              </w:rPr>
              <w:t>Nine Months Ended October 1, 2009 (in millions)</w:t>
            </w: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2"/>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5"/>
          </w:tcPr>
          <w:p>
            <w:pPr>
              <w:jc w:val="center"/>
              <w:ind w:right="580"/>
              <w:spacing w:after="0" w:line="131" w:lineRule="exact"/>
              <w:rPr>
                <w:sz w:val="20"/>
                <w:szCs w:val="20"/>
                <w:color w:val="auto"/>
              </w:rPr>
            </w:pPr>
            <w:r>
              <w:rPr>
                <w:rFonts w:ascii="Arial" w:cs="Arial" w:eastAsia="Arial" w:hAnsi="Arial"/>
                <w:sz w:val="14"/>
                <w:szCs w:val="14"/>
                <w:color w:val="auto"/>
                <w:w w:val="94"/>
              </w:rPr>
              <w:t>Network,</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6"/>
          </w:tcPr>
          <w:p>
            <w:pPr>
              <w:jc w:val="center"/>
              <w:ind w:right="320"/>
              <w:spacing w:after="0" w:line="149" w:lineRule="exact"/>
              <w:rPr>
                <w:sz w:val="20"/>
                <w:szCs w:val="20"/>
                <w:color w:val="auto"/>
              </w:rPr>
            </w:pPr>
            <w:r>
              <w:rPr>
                <w:rFonts w:ascii="Arial" w:cs="Arial" w:eastAsia="Arial" w:hAnsi="Arial"/>
                <w:sz w:val="14"/>
                <w:szCs w:val="14"/>
                <w:color w:val="auto"/>
                <w:w w:val="90"/>
              </w:rPr>
              <w:t>Administrative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85"/>
              </w:rPr>
              <w:t>and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5"/>
          </w:tcPr>
          <w:p>
            <w:pPr>
              <w:jc w:val="center"/>
              <w:ind w:right="580"/>
              <w:spacing w:after="0" w:line="149" w:lineRule="exact"/>
              <w:rPr>
                <w:sz w:val="20"/>
                <w:szCs w:val="20"/>
                <w:color w:val="auto"/>
              </w:rPr>
            </w:pPr>
            <w:r>
              <w:rPr>
                <w:rFonts w:ascii="Arial" w:cs="Arial" w:eastAsia="Arial" w:hAnsi="Arial"/>
                <w:sz w:val="14"/>
                <w:szCs w:val="14"/>
                <w:color w:val="auto"/>
                <w:w w:val="86"/>
              </w:rPr>
              <w:t>Unallocated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4"/>
          </w:tcPr>
          <w:p>
            <w:pPr>
              <w:spacing w:after="0" w:line="159" w:lineRule="exact"/>
              <w:rPr>
                <w:sz w:val="20"/>
                <w:szCs w:val="20"/>
                <w:color w:val="auto"/>
              </w:rPr>
            </w:pPr>
            <w:r>
              <w:rPr>
                <w:rFonts w:ascii="Arial" w:cs="Arial" w:eastAsia="Arial" w:hAnsi="Arial"/>
                <w:sz w:val="14"/>
                <w:szCs w:val="14"/>
                <w:color w:val="auto"/>
                <w:w w:val="92"/>
              </w:rPr>
              <w:t>Advertising</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6"/>
              </w:rPr>
              <w:t>Other</w:t>
            </w:r>
          </w:p>
        </w:tc>
        <w:tc>
          <w:tcPr>
            <w:tcW w:w="3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center"/>
              <w:ind w:right="160"/>
              <w:spacing w:after="0" w:line="159" w:lineRule="exact"/>
              <w:rPr>
                <w:sz w:val="20"/>
                <w:szCs w:val="20"/>
                <w:color w:val="auto"/>
              </w:rPr>
            </w:pPr>
            <w:r>
              <w:rPr>
                <w:rFonts w:ascii="Arial" w:cs="Arial" w:eastAsia="Arial" w:hAnsi="Arial"/>
                <w:sz w:val="14"/>
                <w:szCs w:val="14"/>
                <w:color w:val="auto"/>
                <w:w w:val="83"/>
              </w:rPr>
              <w:t>Costs</w:t>
            </w:r>
          </w:p>
        </w:tc>
        <w:tc>
          <w:tcPr>
            <w:tcW w:w="5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spacing w:after="0" w:line="159" w:lineRule="exact"/>
              <w:rPr>
                <w:sz w:val="20"/>
                <w:szCs w:val="20"/>
                <w:color w:val="auto"/>
              </w:rPr>
            </w:pPr>
            <w:r>
              <w:rPr>
                <w:rFonts w:ascii="Arial" w:cs="Arial" w:eastAsia="Arial" w:hAnsi="Arial"/>
                <w:sz w:val="14"/>
                <w:szCs w:val="14"/>
                <w:color w:val="auto"/>
                <w:w w:val="85"/>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231.8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$30.2</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costs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53.0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40" w:type="dxa"/>
            <w:vAlign w:val="bottom"/>
            <w:gridSpan w:val="2"/>
          </w:tcPr>
          <w:p>
            <w:pPr>
              <w:spacing w:after="0"/>
              <w:rPr>
                <w:sz w:val="20"/>
                <w:szCs w:val="20"/>
                <w:color w:val="auto"/>
              </w:rPr>
            </w:pPr>
            <w:r>
              <w:rPr>
                <w:rFonts w:ascii="Arial" w:cs="Arial" w:eastAsia="Arial" w:hAnsi="Arial"/>
                <w:sz w:val="18"/>
                <w:szCs w:val="18"/>
                <w:color w:val="auto"/>
              </w:rPr>
              <w:t>Other costs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147.4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$ 3.9</w:t>
            </w: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740" w:type="dxa"/>
            <w:vAlign w:val="bottom"/>
            <w:gridSpan w:val="2"/>
          </w:tcPr>
          <w:p>
            <w:pPr>
              <w:spacing w:after="0"/>
              <w:rPr>
                <w:sz w:val="20"/>
                <w:szCs w:val="20"/>
                <w:color w:val="auto"/>
              </w:rPr>
            </w:pPr>
            <w:r>
              <w:rPr>
                <w:rFonts w:ascii="Arial" w:cs="Arial" w:eastAsia="Arial" w:hAnsi="Arial"/>
                <w:sz w:val="18"/>
                <w:szCs w:val="18"/>
                <w:color w:val="auto"/>
              </w:rPr>
              <w:t>Network, administrative and other costs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w w:val="92"/>
              </w:rPr>
              <w:t>The following is a summary of revenues by category, in millions:</w:t>
            </w: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Nine Months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6"/>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4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6"/>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October 1,</w:t>
            </w:r>
          </w:p>
        </w:tc>
        <w:tc>
          <w:tcPr>
            <w:tcW w:w="14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October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197.0</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5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740" w:type="dxa"/>
            <w:vAlign w:val="bottom"/>
            <w:gridSpan w:val="2"/>
          </w:tcPr>
          <w:p>
            <w:pPr>
              <w:spacing w:after="0"/>
              <w:rPr>
                <w:sz w:val="20"/>
                <w:szCs w:val="20"/>
                <w:color w:val="auto"/>
              </w:rPr>
            </w:pPr>
            <w:r>
              <w:rPr>
                <w:rFonts w:ascii="Arial" w:cs="Arial" w:eastAsia="Arial" w:hAnsi="Arial"/>
                <w:sz w:val="18"/>
                <w:szCs w:val="18"/>
                <w:color w:val="auto"/>
              </w:rPr>
              <w:t>Founding Member Advertising Revenue from Beverage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Concessionaire Agreements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Local Advertising Revenue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5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40" w:type="dxa"/>
            <w:vAlign w:val="bottom"/>
            <w:gridSpan w:val="2"/>
          </w:tcPr>
          <w:p>
            <w:pPr>
              <w:spacing w:after="0"/>
              <w:rPr>
                <w:sz w:val="20"/>
                <w:szCs w:val="20"/>
                <w:color w:val="auto"/>
              </w:rPr>
            </w:pPr>
            <w:r>
              <w:rPr>
                <w:rFonts w:ascii="Arial" w:cs="Arial" w:eastAsia="Arial" w:hAnsi="Arial"/>
                <w:sz w:val="18"/>
                <w:szCs w:val="18"/>
                <w:color w:val="auto"/>
              </w:rPr>
              <w:t>Fathom Consumer Revenue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5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309.4</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95.7</w:t>
            </w:r>
          </w:p>
        </w:tc>
        <w:tc>
          <w:tcPr>
            <w:tcW w:w="5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-179705</wp:posOffset>
            </wp:positionV>
            <wp:extent cx="17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-25400</wp:posOffset>
            </wp:positionV>
            <wp:extent cx="17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-8255</wp:posOffset>
            </wp:positionV>
            <wp:extent cx="17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November 4, 2010, the Company declared a cash dividend of $0.20 per share on each share of the Company’s common stock (including outstanding restricted stock) to stockholders of record on November 18, 2010 to be paid on December 2, 2010.</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24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31, 2009.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31, 2009. In the following discussion and analysis, the term net income refers to net income attributable to NCM,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NCM operates the largest digital in-theatre network in North America, for the distribution of advertising, and Fathom Business and Consumer Events. Our revenue is principally derived from the sale of advertising and, to a lesser extent, from our Fathom Events business. We have long-term ESAs with NCM LLC’s founding members and multi-year agreements with several other unrelated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and Fathom Events business are distributed primarily to theatres that are digitally equipped with our proprietary digital content network (“DCN”) technology. Approximately 93% of the aggregate founding member and network affiliate theatre attendance is generated by theatres included in our digital network.</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operating income before depreciation and amortization (“OIBDA”), Adjusted OIBDA and Adjusted OIBDA margin, as defined and discussed in “—Non-GAAP Financial Measures” below, as some of our primary measurement metrics. In addition, we pay particular attention to our monthly advertising performance measurements, including advertising inventory utilization, pricing (CPM), local and total advertising revenue per attendee and the number of Fathom Events locations and revenue per location. Finally, we monitor our operating cash flow and related financial leverage (see Note 7 to the unaudited condensed consolidated financial statements) and revolving credit facility availability and cash balances to ensure that debt obligations and future declared dividends can be met while providing adequate cash reserves.</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March 9, 2010 for the Company’s fiscal year ended December 31,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presents operating data and OIBDA. See “—Non-GAAP Financial Measures” below for a discussion of the calculation of Adjusted OIBDA and reconciliation to operating income.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Nine</w:t>
            </w:r>
          </w:p>
        </w:tc>
      </w:tr>
      <w:tr>
        <w:trPr>
          <w:trHeight w:val="149"/>
        </w:trPr>
        <w:tc>
          <w:tcPr>
            <w:tcW w:w="4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Quarter</w:t>
            </w:r>
          </w:p>
        </w:tc>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28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2"/>
                <w:szCs w:val="12"/>
                <w:color w:val="auto"/>
              </w:rPr>
            </w:pP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4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October 1,</w:t>
            </w:r>
          </w:p>
        </w:tc>
        <w:tc>
          <w:tcPr>
            <w:tcW w:w="2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October 1,</w:t>
            </w:r>
          </w:p>
        </w:tc>
      </w:tr>
      <w:tr>
        <w:trPr>
          <w:trHeight w:val="161"/>
        </w:trPr>
        <w:tc>
          <w:tcPr>
            <w:tcW w:w="412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2010</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4"/>
                <w:szCs w:val="14"/>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309.4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2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67.1</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136.8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46.3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108.5</w:t>
            </w:r>
          </w:p>
        </w:tc>
        <w:tc>
          <w:tcPr>
            <w:tcW w:w="2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3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Adjusted OIBDA margin</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13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Income per NCM, Inc. Basic Share</w:t>
            </w:r>
          </w:p>
        </w:tc>
        <w:tc>
          <w:tcPr>
            <w:tcW w:w="13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0.25</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0.40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0.16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NCM, Inc. Diluted Share</w:t>
            </w:r>
          </w:p>
        </w:tc>
        <w:tc>
          <w:tcPr>
            <w:tcW w:w="13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8"/>
                <w:szCs w:val="18"/>
                <w:color w:val="auto"/>
              </w:rPr>
            </w:pPr>
          </w:p>
        </w:tc>
      </w:tr>
      <w:tr>
        <w:trPr>
          <w:trHeight w:val="322"/>
        </w:trPr>
        <w:tc>
          <w:tcPr>
            <w:tcW w:w="4120" w:type="dxa"/>
            <w:vAlign w:val="bottom"/>
          </w:tcPr>
          <w:p>
            <w:pPr>
              <w:spacing w:after="0"/>
              <w:rPr>
                <w:sz w:val="20"/>
                <w:szCs w:val="20"/>
                <w:color w:val="auto"/>
              </w:rPr>
            </w:pPr>
            <w:r>
              <w:rPr>
                <w:rFonts w:ascii="Arial" w:cs="Arial" w:eastAsia="Arial" w:hAnsi="Arial"/>
                <w:sz w:val="18"/>
                <w:szCs w:val="18"/>
                <w:color w:val="auto"/>
              </w:rPr>
              <w:t>Total advertising revenue ($ in millions)</w:t>
            </w:r>
          </w:p>
        </w:tc>
        <w:tc>
          <w:tcPr>
            <w:tcW w:w="13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117.7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275.6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88.3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231.8</w:t>
            </w:r>
          </w:p>
        </w:tc>
        <w:tc>
          <w:tcPr>
            <w:tcW w:w="200" w:type="dxa"/>
            <w:vAlign w:val="bottom"/>
          </w:tcPr>
          <w:p>
            <w:pPr>
              <w:spacing w:after="0"/>
              <w:rPr>
                <w:sz w:val="24"/>
                <w:szCs w:val="24"/>
                <w:color w:val="auto"/>
              </w:rPr>
            </w:pPr>
          </w:p>
        </w:tc>
      </w:tr>
      <w:tr>
        <w:trPr>
          <w:trHeight w:val="218"/>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theater attendance (in millions)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200" w:type="dxa"/>
            <w:vAlign w:val="bottom"/>
            <w:shd w:val="clear" w:color="auto" w:fill="CCEEFF"/>
          </w:tcPr>
          <w:p>
            <w:pPr>
              <w:spacing w:after="0"/>
              <w:rPr>
                <w:sz w:val="18"/>
                <w:szCs w:val="18"/>
                <w:color w:val="auto"/>
              </w:rPr>
            </w:pP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3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0.72</w:t>
            </w:r>
          </w:p>
        </w:tc>
        <w:tc>
          <w:tcPr>
            <w:tcW w:w="7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0.56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0.56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generally accepted accounting principles (GAAP) in the United States. OIBDA represents operating income before depreciation and amortization expense. Adjusted OIBDA excludes from OIBDA non-cash share based payment costs and deferred stock compensation. Adjusted OIBDA margin is calculated by dividing Adjusted OIBDA by total revenue. These non-GAAP financial measures are used by management to evaluate operating performance and to forecast future results.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presentations may not be comparable to other similarly titled measures of other companies.</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OIBDA and Adjusted OIBDA do not reflect the AMC Loews or Regal Consolidated Theatres integration payments. The integration payments received are added to Adjusted OIBDA to determine our compliance with financial covenants under our senior secured credit facility. AMC made Loews payments to NCM LLC pursuant to the AMC Loews screen integration agreement through April 2009, which were $0 and $0.1 million for the quarter and nine months ended October 1, 2009, respectively. Regal made Consolidated Theatre payments to NCM LLC pursuant to the revised ESAs, which were $1.4 million, $2.7 million, $0.9 million and $2.0 million for the quarter ended September 30, 2010, the nine months ended September 30, 2010, the quarter ended October 1, 2009 and the nine months ended October 1, 2009, respectively.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34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Sept. 30, 2010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8"/>
              </w:rPr>
              <w:t>Sept. 30, 2010</w:t>
            </w: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4"/>
              </w:rPr>
              <w:t>Oct. 1, 2009</w:t>
            </w: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Oct. 1, 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Share-based compensation costs (1)</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OIBDA</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vMerge w:val="continue"/>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125.7</w:t>
            </w:r>
          </w:p>
        </w:tc>
        <w:tc>
          <w:tcPr>
            <w:tcW w:w="4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95.7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OIBDA margin</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7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Share-based payment costs are included in network operations, selling and marketing, and administrative expense in the accompanying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results of operations data for the quarter and nine months ended September 30, 2010 and October 1, 2009 were derived from the unaudited condensed consolidated financial statements and accounting records of NCM, Inc. and should be read in conjunction with the notes thereto.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2010 and October 1, 2009</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of the Company for the quarter ended September 30, 2010 was $125.7 million compared to $95.7 million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2009, an increase of $30.0 million, or 31.3%. The increase in total revenue was primarily the result of an increase in total advertising revenue of $29.4 million or 33.3% (including revenue from our founding member beverage concessionaire agreements, or “beverage revenue”) in addition to the 8.1% increase in Fathom Events revenue.</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National advertising revenues of $96.2 million (including $9.7 million of beverage revenue) for the quarter ended September 30, 2010 increased 35.3% from $71.1 million (including $8.6 million of beverage revenue) for the quarter ended October 1, 2009. National advertising revenue (excluding beverage revenue) for the quarter ended September 30, 2010 increased $24.0 million or 38.4% to $86.5 million compared to $62.5 million for the quarter ended October 1, 2009. This increase was due to the continued expansion of our overall client base, an increase in the allocation to the third quarter of the annual content partner spending, and a favorable TV advertising scatter market, which contributed to an increase in inventory utilization (excluding beverage revenue) to 121.8% for the quarter ended September 30, 2010 from 96.5% for the quarter ended October 1, 2009. A 4.0% increase in advertising impressions available for sale compared to the prior year period also contributed to the increase in national advertising revenue. The higher inventory utilization and robust TV advertising scatter market contributed to a 7.6% increase in national advertising CPM’s (excluding beverage revenue). The 12.1% increase in payments from the founding members for their beverage concessionaire agreements was due primarily to a combination of the impact of the annual contractual 6% beverage revenue CPM increase and a 5.8% increase in founding member attendance due primarily to the AMC Kerasotes Acquisition and a strong box office during the third quarter of 2010. Our make-good reserve balance of $4.2 million at September 30, 2010 increased from a balance of $0.4 million at October 1, 2009. This increase is primarily the result of an under-delivery in certain film rating categories with respect to certain advertising contracts, and the high current quarter inventory utilization resulting in a lack of available inventory to deliver all previous quarter contracts during the current quarter. The Company now expects that the majority of this reserve will be recognized as revenue in the fourth quarter of 2010.</w:t>
      </w:r>
    </w:p>
    <w:p>
      <w:pPr>
        <w:spacing w:after="0" w:line="12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Local advertising revenue increased $4.3 million or 25.0% to $21.5 million for the quarter ended September 30, 2010 compared to $17.2 million for the quarter ended October 1, 2009. These increases were primarily due to an increase in the number of larger regional contracts and an increase in the level of spending by smaller businesses. Local revenue per theatre attendee increased 18.2% to $0.13 per attendee for the third quarter of 2010 compared to $0.11 for the third quarter of 2009, notwithstanding the 3.9% increase in theatre attendance.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Total advertising revenue (including beverage revenue) per attendee for the quarter ended September 30, 2010 increased 28.6% to $0.72 per attendee compared to $0.56 for the quarter ended October 1, 2009. The increase in the advertising revenue per attendee was due to the impact of the 33.3% increase in total advertising revenue, notwithstanding the 3.9% increase in theatre attendance. Excluding beverage revenue, total advertising revenue per attendee increased 30.5%.</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Fathom Events revenue increased 8.1%, to $8.0 million for the quarter ended September 30, 2010 as compared to $7.4 million for the quarter ended October 1, 2009. Our Fathom Consumer events revenue increased 21.6% primarily due to additional Metropolitan Opera encore series and an increased number of concert series events during the third quarter of 2010 compared to the third quarter of 2009.</w:t>
      </w:r>
    </w:p>
    <w:p>
      <w:pPr>
        <w:spacing w:after="0" w:line="14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quarter ended September 30, 2010 were $58.6 million compared to $49.4 million for the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1, 2009. The 18.6% increase in 2010 compared to the 2009 period was primarily the result of the 35.5% increase in our advertising revenues (excluding beverage). Set forth below is a discussion of the operating expenses.</w:t>
      </w:r>
    </w:p>
    <w:p>
      <w:pPr>
        <w:spacing w:after="0" w:line="59"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of $5.8 million for the quarter ended September 30, 2010 increased 18.4% over the $4.9 million for the quarter ended October 1, 2009. This increase was primarily the result of a $0.5 million increase in payments made to our advertising affiliates due to the increase in national advertising revenue (excluding beverage). The impact of significantly higher revenue was offset by a decrease of 11.0% in advertising affiliate attendance, primarily due to the AMC Kerasotes Acquisition in the second quarter of 2010, which shifted those theatres and screens from an affiliate revenue share arrangement to the theatre access fee and beverage advertising arrangement set forth in our long-term ESA agreements. Network affiliate screens represented 12.3% of total network screens for the third quarter of 2010 versus 13.9% for the 2009 period as the shift from the AMC Kerasotes Acquisition has been partially offset by the addition of new network affiliates. Also contributing to the higher costs was a $0.3 million increase in advertising supply costs, including expenses directly related to the delivery of the advertising preshow, including rolling stock supplies and other incremental expenses related to 3D advertising contracts.</w:t>
      </w:r>
    </w:p>
    <w:p>
      <w:pPr>
        <w:spacing w:after="0" w:line="39"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of $5.6 million for the quarter ended September 30, 2010 increased 21.7% compared to $4.6 million during the quarter ended October 1, 2009. The increase was primarily the result of an increase in content payments and other expenses directly related to the increased revenue generated by the Fathom Consumer division, combined with an increase in Fathom Business division direct event expenses including concessions and equipment rental which are variable costs that are dictated by the mix of Fathom Business events. Certain other Fathom Events operating costs, including film rentals, decreased due to the decrease in the Fathom Business division revenues.</w:t>
      </w:r>
    </w:p>
    <w:p>
      <w:pPr>
        <w:spacing w:after="0" w:line="35"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of $4.9 million for the quarter ended September 30, 2010 increased 4.3% from $4.7 million for the quarter ended October 1, 2009 primarily due to increased personnel costs, including incentive compensation related to the increased levels of OIBDA versus internal targets, and increased share based compensation expense due to the annual issuance of share based instruments in the first quarter of 2010. Other operating expenses, including network maintenance and network and media operations, were at levels for the quarter ended September 30, 2010 that are consistent with those for the quarter ended October 1, 2009 despite a 2.1% increase in the total digital network screens operated to 15,721 from 15,395 in 2009 due primarily to conversion of non-digital screens by certain network affiliates.</w:t>
      </w:r>
    </w:p>
    <w:p>
      <w:pPr>
        <w:spacing w:after="0" w:line="39"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 xml:space="preserve"> Theatre access fees were $13.6 million for the quarter ended September 30, 2010 compared to $12.7 million for the quarter ended October 1, 2009. The 7.1% increase for 2010 versus the 2009 period was primarily the result of a 5.8% increase in founding member attendance, primarily driven by the attendance and screens added by the AMC Kerasotes Acquisition. The remaining increase was due to the annual increase in the amount per digital screen specified in the ESA.</w:t>
      </w:r>
    </w:p>
    <w:p>
      <w:pPr>
        <w:spacing w:after="0" w:line="62"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to $15.5 million, or 22.0% for the quarter ended September 30, 2010 compared to $12.7 million for the quarter ended October 1, 2009. Selling and marketing costs have increased primarily due to local sales commissions and other personnel costs, including incentive compensation related to sales levels in excess of internal targets.</w:t>
      </w:r>
    </w:p>
    <w:p>
      <w:pPr>
        <w:spacing w:after="0" w:line="59"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for the quarter ended September 30, 2010 was $8.2 million compared to $5.8 million for the quarter ended October 1, 2009, an increase of 41.4%. The increase is primarily due to increased personnel costs, including incentive compensation related to the increased levels of OIBDA versus internal targets, and increased share based compensation expense due to the annual issuance of share based instruments in the first quarter of 2010.</w:t>
      </w:r>
    </w:p>
    <w:p>
      <w:pPr>
        <w:spacing w:after="0" w:line="62" w:lineRule="exact"/>
        <w:rPr>
          <w:sz w:val="20"/>
          <w:szCs w:val="20"/>
          <w:color w:val="auto"/>
        </w:rPr>
      </w:pPr>
    </w:p>
    <w:p>
      <w:pPr>
        <w:jc w:val="both"/>
        <w:ind w:left="460" w:right="26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$1.0 million to $5.0 million for the quarter ended September 30, 2010, compared to $4.0 million for the quarter ended October 1, 2009 period, primarily as a result of increased amortization expense recognized on intangible assets added in accordance with the annual Common Unit Adjustment.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quarter ended September 30, 2010 was $11.8 million, an increase of 78.8% over the $6.6 million for the quarter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ended October 1, 2009. The increase was due primarily to the 44.9% increase in operating income offset by an increase in the provision for income taxes and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attributable to noncontrolling interests. The increase in the provision for income taxes of $2.4 million to $6.6 million for the third quarter of 2010 is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to higher taxable income. Net income attributable to noncontrolling interests increased $11.0 million to $30.8 million for the quarter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2010 due to higher NCM LLC net income partially offset by the impact of the redemption of common membership units during the third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2010 (see Note 6 to the unaudited condensed consolidated financial statements included elsewhere in this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2010 and October 1, 2009</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of the Company for the nine months ended September 30, 2010 was $309.4 million compared to $262.1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October 1, 2009. This 18.0% increase for the 2010 period over the 2009 period of was the result of an increase of $43.8 million, or 18.9%, in advertising revenues, as well as the impact of a $3.5 million, or 11.6%, increase in Fathom Events revenue.</w:t>
      </w:r>
    </w:p>
    <w:p>
      <w:pPr>
        <w:spacing w:after="0" w:line="14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National advertising revenues of $225.5 million (including $28.5 million of beverage revenue) for the nine months ended September 30, 2010 increased 18.5% from $190.3 million (including $26.9 million of beverage revenue) for the 2009 period. National advertising revenue (excluding beverage revenue) for the nine months ended September 30, 2010 increased 20.6% to $197.0 million compared to $163.4 million for the nine months ended October 1, 2009, primarily due to an increase in national advertising inventory utilization (excluding beverage revenue) to 97.6% from 81.8% in 2009. The increase in utilization is due to the expansion of our advertising client base and a slight increase in the allocation of the annual spending by our content partners through the first three quarters of 2010 as compared to the same period in 2009. Utilization is also slightly impacted by a 1.0% decrease in our salable impressions through the third quarter of 2010 compared to the same period in 2009 due to a decrease in theatre industry attendance. In addition, the higher inventory utilization and favorable television scatter market contributed to the 6.0% increase in CPMs (excluding beverage revenue). The Company had a $1.6 million increase in beverage revenue, primarily due to the contracted annual 6% increase in beverage CPM, combined with a consistent level of founding member attendance in the nine months ended September 30, 2010 as compared to the nine months ended October 1, 2009 as the AMC Kerasotes Acquisition offset overall industry attendance declines.</w:t>
      </w:r>
    </w:p>
    <w:p>
      <w:pPr>
        <w:spacing w:after="0" w:line="10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Local advertising revenue increased $8.6 million or 20.7% to $50.1 million for the nine months ended September 30, 2010 compared to $41.5 million for the nine months ended October 1, 2009. The increase is due to the number of larger regional client contracts as well as increased spending by smaller businesses on advertising. Local revenue per theatre attendee for the nine months ended September 30, 2010 increased 25.0% to $0.10 per attendee compared to $0.08 for the nine months ended October 1, 2009 due to the increased sales revenue combined with a slight decrease in theatre attendance within our network of 1.1% over the comparable period in 2009.</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Total advertising revenue per attendee (including beverage revenue) for the nine months ended September 30, 2010 increased 19.1% to $0.56 per attendee, from $0.47 per attendee for the nine months ended October 1, 2009. The increase in the advertising revenue per attendee was primarily due to the impact of an 18.9% increase in total advertising revenue combined with the overall 1.1% decrease in attendance across our network.</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Fathom Events revenue increased $3.5 million, or 11.6%, to $33.7 million for the nine months ended September 30, 2010 compared to the 2009 period as a result of the diversification of programming categories in our Fathom Consumer business resulting in a 21.5% increase in Fathom Consumer revenue, while the Fathom Business division revenue decreased slightly compared to 2009 due to the continued impact of the soft economy as larger corporations continue to delay their marketing and employee communications spending. The total number of Fathom event sites utilized during the current nine month period increased 15.9% compared to the same period of 2009, primarily due to a 30.0% increase in the number of Fathom Consumer events held and the expansion of the Fathom Events network.</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nine months ended September 30, 2010 were $172.6 million compared to $153.6 million for the 2009</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through October 1, 2009. The 12.4% increase for the nine months ended September 30, 2010 compared to the same period of 2009 was largely the result of the 20.6% increase in our advertising revenues (excluding beverage revenue).</w:t>
      </w:r>
    </w:p>
    <w:p>
      <w:pPr>
        <w:spacing w:after="0" w:line="59"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operations costs of $16.0 million for the nine months ended September 30, 2010 increased 15.1% over the $13.9 million for the 2009 period. This increase was primarily the result of a $1.2 million increase in revenue share payments made to our network affiliate theatre circuits related to an increase in the advertising revenue displayed in their theatres. Network affiliate attendance has decreased 8.3% as compared to 2009 due to the AMC Kerasotes Acquisition which shifted those theatres and screens from the affiliate revenue share arrangement to our long-term ESA agreement, partially offset by new affiliate theatres added to our network in late 2009 and 2010. The increase in advertising operating costs was also due primarily to an increase in advertising supply costs, including expenses directly related to the delivery of the advertising preshow, including rolling stock supplies and other incremental expenses related to 3D advertising.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of $22.7 million for the nine months ended September 30, 2010 increased 18.2% compared to $19.2 million during the 2009 period. The increase was the result of a $2.6 million increase in content payments and other expenses directly related to the increased revenue generated by Fathom Consumer division, combined with an increase in Fathom Business division direct event expenses including concessions, contract labor and equipment rental which are variable costs that are dictated by the mix of Fathom Business events.</w:t>
      </w:r>
    </w:p>
    <w:p>
      <w:pPr>
        <w:spacing w:after="0" w:line="32" w:lineRule="exact"/>
        <w:rPr>
          <w:sz w:val="20"/>
          <w:szCs w:val="20"/>
          <w:color w:val="auto"/>
        </w:rPr>
      </w:pPr>
    </w:p>
    <w:p>
      <w:pPr>
        <w:jc w:val="both"/>
        <w:ind w:left="460" w:right="36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of $14.6 million for the nine months ended September 30, 2010 increased 5.0% compared to $13.9 million for the nine months ended October 1, 2009 due primarily to personnel and other costs associated with the increase in the size of our digital network and expanding client base.</w:t>
      </w:r>
    </w:p>
    <w:p>
      <w:pPr>
        <w:spacing w:after="0" w:line="59" w:lineRule="exact"/>
        <w:rPr>
          <w:sz w:val="20"/>
          <w:szCs w:val="20"/>
          <w:color w:val="auto"/>
        </w:rPr>
      </w:pPr>
    </w:p>
    <w:p>
      <w:pPr>
        <w:ind w:left="460" w:right="40"/>
        <w:spacing w:after="0" w:line="318" w:lineRule="auto"/>
        <w:rPr>
          <w:sz w:val="20"/>
          <w:szCs w:val="20"/>
          <w:color w:val="auto"/>
        </w:rPr>
      </w:pPr>
      <w:r>
        <w:rPr>
          <w:rFonts w:ascii="Arial" w:cs="Arial" w:eastAsia="Arial" w:hAnsi="Arial"/>
          <w:sz w:val="15"/>
          <w:szCs w:val="15"/>
          <w:u w:val="single" w:color="auto"/>
          <w:color w:val="auto"/>
        </w:rPr>
        <w:t>Theatre access fees.</w:t>
      </w:r>
      <w:r>
        <w:rPr>
          <w:rFonts w:ascii="Arial" w:cs="Arial" w:eastAsia="Arial" w:hAnsi="Arial"/>
          <w:sz w:val="15"/>
          <w:szCs w:val="15"/>
          <w:color w:val="auto"/>
        </w:rPr>
        <w:t xml:space="preserve"> Theatre access fees were $39.9 million for the nine months ended September 30, 2010 compared to $39.1 million for the comparable 2009 period. The 2.0% increase for the first nine months of 2010 versus the first nine months of 2009 was the result of the annual 5.0% increase per digital screen combined with the impact from founding member attendance, which for the nine months ended September 30, 2010 has remained consistent as compared to the nine months ended October 1, 2009. Founding member attendance has remained consistent, reflecting the impact of the increase related to the AMC Kerasotes Acquisition in the second quarter of 2010, offset by slight declines in the year-to-date industry box office attendance.</w:t>
      </w:r>
    </w:p>
    <w:p>
      <w:pPr>
        <w:spacing w:after="0" w:line="19"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to $42.7 million for the nine months ended September 30, 2010 compared to $36.8 million for the nine months ended October 1, 2009, an increase of 16.0%. The rise in selling and marketing costs are due to increases in local sales commissions and other personnel costs, including incentive compensation, directly related to the increase in total revenues in excess of internal targets for the nine month period ended September 30, 2010 as compared to the 2009 period. Marketing expenses also increased to support our broader client base and expanding network, including our on-line and mobile platform.</w:t>
      </w:r>
    </w:p>
    <w:p>
      <w:pPr>
        <w:spacing w:after="0" w:line="62" w:lineRule="exact"/>
        <w:rPr>
          <w:sz w:val="20"/>
          <w:szCs w:val="20"/>
          <w:color w:val="auto"/>
        </w:rPr>
      </w:pPr>
    </w:p>
    <w:p>
      <w:pPr>
        <w:ind w:left="460" w:right="400"/>
        <w:spacing w:after="0" w:line="298"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for the nine months ended September 30, 2010 were $23.4 million compared to $19.3 million for the 2009 period. The 21.2% increase in the nine month period ended September 30, 2010 as compared to the nine month period ended October 1, 2009 is primarily due to increased personnel costs, including incentive compensation related to the increased levels of OIBDA in excess of internal targets, and share based compensation expenses, related to the annual issuance of share based instruments in early 2010.</w:t>
      </w:r>
    </w:p>
    <w:p>
      <w:pPr>
        <w:spacing w:after="0" w:line="32"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$1.9 million to $13.3 million for the first nine months of 2010 compared to $11.4 million for the same period in 2009 as a result of increased amortization expense recognized on additional intangible assets recorded related to the annual and special Common Unit Adjustment. We expect full year 2010 depreciation and amortization to increase over 2009 due to the increases in amortization of the intangible assets that were recorded during 2010.</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nine months ended September 30, 2010 increased 18.1% to $17.6 million compared to net income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October 1, 2009 of $14.9 million. The increase was due primarily to the 26.2% increase in operating income offset by a $13.4 million increase in the change in derivative fair value and a $9.8 million increase in the net income attributable to noncontrolling interests. The change in derivative fair value is due to a pre-tax non-cash charge of $9.4 million for the nine months ended September 30, 2010 compared to a pre-tax non-cash gain of $4.0 million for the nine months ended October 1, 2009, due to the change in the fair value of an interest rate hedge associated with our senior secured credit facility from decreases in market interest rates. The increase of $1.7 million to $10.2 million for the nine months ended September 30, 2010 in the provision for income taxes is due primarily to higher pretax income. Net income attributable to noncontrolling interests increased to $55.6 million for the nine months ended September 30, 2010 due primarily to higher NCM LLC net income partially offset by the impact of the redemption of common membership units during the third quarter of 2010 (see Note 6 to the unaudited condensed consolidated financial statements included elsewhere in this document).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current macro-economic environment, and continued late breaking national television scatter advertising market in general, present uncertainties that could impact our results of operations, including the timing and amount of spending from our advertising clients and collections of accounts receivable. However, we are cautiously optimistic that the impact to our business associated with these issues will not be significant due to factors including the growth in our advertising client base, the effectiveness of cinema advertising relative to other advertising mediums, and the effectiveness and increasing scale of our broader national network and the related increase in salable advertising impressions and Fathom live broadcast locations. As noted previously, in the fourth quarter of 2009 and nine months of 2010, we added several new affiliate theatres to our national network including: Galaxy Theatres, LLC; Storyteller Theatres Corporation; Starplex Cinemas; ShowBiz Cinemas; Metropolitan Theatres Corporation, LA Live Theatre, Great Escape Theatres and RC Theatres, and in 2011 we will add Consolidated Theatres and Rave Cinemas, LLC. In total, these additions will add nearly 46.5 million new attendees on a full-year pro-forma basis, representing in excess of 440 million new salable advertising impressions. Our sales force either has integrated or will integrate these additional impressions into the advertising sales process during 2010 and 2011 and we expect that the yield on these attendees to be additive to our revenue, operating income and cash flow. We believe that the continued growth of our network will continue to strengthen our selling proposition and competitive positioning versus other national advertising platforms.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our founding members to satisfy their on-screen advertising commitments under their beverage concessionaire agreements. During 2010 and in 2009, we sold 60 seconds to our founding members. We expect to continue to sell 60 seconds of time to the founding members in the remainder of 2010 and for the foreseeable future.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On May 24, 2010, a subsidiary of AMC Entertainment completed the acquisition of Kerasotes Showplace Theatres, LLC. These theatres and screens were included in our network since January 2008 under a network affiliate agreement with Kerasotes Showplace Theatres, LLC that terminated on May 24, 2010. These theatres and screens remain in our network and became part of our long-term ESA with AMC as of the acquisition date. On June 14, 2010, in accordance with the Common Unit Adjustment Agreement, NCM LLC issued to a subsidiary of AMC Entertainment membership units related to the extraordinary attendance increase created by the acquisition. The issuance of these units resulted in the Company recording an intangible asset at fair value representing the contractual rights associated with the exclusive access to the net new theatre screens and attendance associated with the acquisition. See Note 5 to the unaudited condensed consolidated financial statements included elsewhere in this document. The addition of Kerasotes to AMC Entertainment did not increase our screen count or attendance as it represents a movement of the screens from a network affiliate revenue share structure to the ESA theatre access fee and beverage revenue structure, however, the term of the agreement on these screens is now lengthened from the two years remaining on the existing Kerasotes affiliate agreement to an approximate 27 year term remaining on the ESAs. We expect that the shift from the affiliate revenue share structure to the ESA structure will increase the margins associated with these screens as, after the Common Unit Adjustment, we expect our beverage revenue to increase and our affiliate expense to decrease, partially offset by increases in the theatre access fee and as a result our operating income should increase. Operating income is estimated to increase approximately $5.0 million per year based on current annual attendance levels of the Kerasotes Theatres and current NCM per attendee advertising sales levels.</w:t>
      </w:r>
    </w:p>
    <w:p>
      <w:pPr>
        <w:spacing w:after="0" w:line="112"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remain involved in discussions with the founding member circuits to explore a restructuring of the Fathom Events business relationship. The discussions are preliminary and we do not know how the existing relationship might be changed or if it will be changed. Any change to the Fathom Events business relationship with the founding members will require approval of our Audit Committee and a majority of our independent directors in addition to any other required approvals by our board of directors.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third quarter of 2010, AMC and Regal completed an underwritten public offering of an aggregate 10,955,471 shares of the Company’s common stock. See Note 6 to the unaudited condensed consolidated financial statements included elsewhere in this document. As a result, the Company recorded a net step-up in tax basis related to the investment in NCM LLC of $68.5 million, which we expect will increase our deferred income tax expense by approximately $1.5 million for the remainder of 2010 based on an estimated tax rate of 40%. In addition, we expect the accretion of interest on the discounted payable to founding members to increase approximately $0.9 million for the remainder of 2010. The Company’s increased ownership percentage in NCM LLC as a result of this redemption is expected to proportionally reduce net income attributable to noncontrolling interests and increase net income attributable to NCM, Inc.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of September 30, 2010, our cash, cash equivalents and short-term investments balance was $60.6 million, a decrease of $30.5 million compared to the balance of $91.1 million as of December 31, 2009 and a $26.7 million decrease compared to the balance at October 1, 2009. In addition, we had access to an additional $50.0 million on our revolver as of September 30, 2010 for a total liquidity position of $110.6 million. This decrease in net cash balances relates primarily to a repayment of our revolving credit balance due to the restructuring of the Lehman portion of the revolving credit balance as discussed further in Note 7 to the unaudited condensed consolidated financial statements contained elsewhere in this document. Our net debt balances (debt balance net of cash, cash equivalents and short-term investment balance) decreased $20.3 million compared to the balance at October 1, 2009.</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Nine Months</w:t>
            </w:r>
          </w:p>
        </w:tc>
        <w:tc>
          <w:tcPr>
            <w:tcW w:w="1240" w:type="dxa"/>
            <w:vAlign w:val="bottom"/>
            <w:gridSpan w:val="4"/>
          </w:tcPr>
          <w:p>
            <w:pPr>
              <w:ind w:left="3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620" w:type="dxa"/>
            <w:vAlign w:val="bottom"/>
            <w:gridSpan w:val="4"/>
          </w:tcPr>
          <w:p>
            <w:pPr>
              <w:ind w:left="2380"/>
              <w:spacing w:after="0" w:line="149"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October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54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20" w:type="dxa"/>
            <w:vAlign w:val="bottom"/>
            <w:gridSpan w:val="2"/>
          </w:tcPr>
          <w:p>
            <w:pPr>
              <w:spacing w:after="0"/>
              <w:rPr>
                <w:sz w:val="20"/>
                <w:szCs w:val="20"/>
                <w:color w:val="auto"/>
              </w:rPr>
            </w:pPr>
            <w:r>
              <w:rPr>
                <w:rFonts w:ascii="Arial" w:cs="Arial" w:eastAsia="Arial" w:hAnsi="Arial"/>
                <w:sz w:val="18"/>
                <w:szCs w:val="18"/>
                <w:color w:val="auto"/>
              </w:rPr>
              <w:t>Investing cash flow</w:t>
            </w:r>
          </w:p>
        </w:tc>
        <w:tc>
          <w:tcPr>
            <w:tcW w:w="254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(8.3)</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54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(127.5)</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00" w:right="34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The slight decline in cash provided by operating activities for the nine months ended September 30, 2010 versus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October 1, 2009 was primarily due to the timing of payments for income taxes and taxes due under the tax sharing agreement, and normal operating expenses as well as the timing of the collection of accounts receivable balances.</w:t>
      </w:r>
    </w:p>
    <w:p>
      <w:pPr>
        <w:spacing w:after="0" w:line="25"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investing cash flows for the nine months ended September 30, 2010 decreased compared to the level of cash flow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October 1, 2009. The decrease is a combination of the level of capital expenditures, which are offset by the proceeds from the sale of fixed assets, and the use of cash to purchase short term investments consistent with our investment policy.</w:t>
      </w:r>
    </w:p>
    <w:p>
      <w:pPr>
        <w:spacing w:after="0" w:line="25" w:lineRule="exact"/>
        <w:rPr>
          <w:rFonts w:ascii="Arial" w:cs="Arial" w:eastAsia="Arial" w:hAnsi="Arial"/>
          <w:sz w:val="16"/>
          <w:szCs w:val="16"/>
          <w:color w:val="auto"/>
        </w:rPr>
      </w:pPr>
    </w:p>
    <w:p>
      <w:pPr>
        <w:ind w:left="900" w:right="120" w:hanging="325"/>
        <w:spacing w:after="0" w:line="29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The change in financing cash flows for the nine months ended September 30, 2010 versus the nine months ended October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2009 was primarily due to an increase in repayments on borrowings on our revolving credit agreement, due to the restructuring of the revolving credit agreement as discussed in Note 7 to the unaudited condensed consolidated financial statements. Consistent with the activity in the second and third quarters of 2010, we expect to treat the revolving credit facility in a customary manner with regular borrowings and repayments as determined by our operating needs. In addition, due to our increase in dividend per share authorized by our Board of Directors in 2010, we have additional cash disbursements for dividends in 2010 as compared to 2009.</w:t>
      </w:r>
    </w:p>
    <w:p>
      <w:pPr>
        <w:spacing w:after="0" w:line="12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cash balances will fluctuate due to the timing of collections of accounts receivable balances and operating expenditure payments, as well as available cash payments (as defined) to NCM LLC’s founding members, interest payments on our term loan and principal payments on debt, income tax payments, tax sharing payments to our founding members and quarterly dividends to NCM, Inc’s common shareholders.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Sources of capital and capital requirements. </w:t>
      </w:r>
      <w:r>
        <w:rPr>
          <w:rFonts w:ascii="Arial" w:cs="Arial" w:eastAsia="Arial" w:hAnsi="Arial"/>
          <w:sz w:val="16"/>
          <w:szCs w:val="16"/>
          <w:color w:val="auto"/>
        </w:rPr>
        <w:t>NCM, Inc.’s primary source of liquidity and capital resources are available cash distributions from NCM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NCM LLC’s primary sources of liquidity and capital resources are its operating activities and availability under its senior secured revolving credit facility.</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experienced in advertising revenues and to a lesser extent theatre attendance. NCM LLC is required pursuant to the terms of its operating agreement to distribute its available cash, as defined in the operating agreement, to its members (the founding members and NCM, Inc.). The available cash distribution to the members of NCM LLC for the nine months ended September 30, 2010 was $106.4 million, of which $47.0 million was distributed to NCM, Inc. NCM, Inc. will use cash received from the available cash distributions to fund income taxes, payments associated with the tax sharing agreement with the founding members and current and future dividends as declared by the board of directors, including a dividend declared in November 2010 of $0.20 per share (approximately $10.8 million) which will be paid on December 2, 2010. The Company expects the available cash distributions to NCM, Inc. to increase proportionally with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increase in its ownership percentage in NCM LLC due to the redemption of units by two of NCM LLC’s founding members in the third quarter of 2010. See Note 6 to the unaudited condensed consolidated financial statements included elsewhere in this document. Distributions from NCM LLC and NCM, Inc. cash balances should be sufficient to fund NCM, Inc.’s tax sharing payments to the founding member circuits, income taxes and its regular dividend for the foreseeable future at the discretion of the Board of Directors dependent on anticipated cash needs, overall financial condition, future prospects for earnings, available cash and cash flows as well as other relevant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 filed for the fiscal year ended December 31, 2009 and incorporated by reference herein. As of September 30, 2010, there were no significant changes in those critical accounting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4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6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31, 2009 and incorporated by reference herein. We do not believe these arrangements are material to our current or future financial condition, results of operations, liquidity, capital resources or capital expenditures.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revenue and operating results are seasonal in nature, coinciding with the attendance patterns within the film exhibition industry as well as the timing of marketing expenditures by our advertising clients. Advertising expenditures tend to be higher during the second, third, and fourth fiscal quarters and are correlated to theatre attendance levels and new product releases and advertising client marketing priorities and cycles. The actual quarterly results for each quarter could differ materially depending on these factors or other risks and uncertainties. Based on our historical experience, our first quarter typically has less revenue than the other quarters of a given year due primarily to lower theatre industry attendance levels. Accordingly, there can be no assurances that seasonal variations will not materially affect our results of operations in the future. The following table reflects the quarterly percentage of total revenue for the fiscal years ended 2008 and 2009.</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Second</w:t>
            </w: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29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38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Quarter</w:t>
            </w: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6"/>
              </w:rPr>
              <w:t>Quarter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r>
      <w:tr>
        <w:trPr>
          <w:trHeight w:val="20"/>
        </w:trPr>
        <w:tc>
          <w:tcPr>
            <w:tcW w:w="29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FY 2008</w:t>
            </w:r>
          </w:p>
        </w:tc>
        <w:tc>
          <w:tcPr>
            <w:tcW w:w="3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23.5%</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FY 2009</w:t>
            </w:r>
          </w:p>
        </w:tc>
        <w:tc>
          <w:tcPr>
            <w:tcW w:w="4500" w:type="dxa"/>
            <w:vAlign w:val="bottom"/>
            <w:gridSpan w:val="3"/>
          </w:tcPr>
          <w:p>
            <w:pPr>
              <w:jc w:val="right"/>
              <w:ind w:right="240"/>
              <w:spacing w:after="0"/>
              <w:rPr>
                <w:sz w:val="20"/>
                <w:szCs w:val="20"/>
                <w:color w:val="auto"/>
              </w:rPr>
            </w:pPr>
            <w:r>
              <w:rPr>
                <w:rFonts w:ascii="Arial" w:cs="Arial" w:eastAsia="Arial" w:hAnsi="Arial"/>
                <w:sz w:val="18"/>
                <w:szCs w:val="18"/>
                <w:color w:val="auto"/>
              </w:rPr>
              <w:t>19.3%</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24.4%</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25.1%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r>
      <w:tr>
        <w:trPr>
          <w:trHeight w:val="356"/>
        </w:trPr>
        <w:tc>
          <w:tcPr>
            <w:tcW w:w="2900" w:type="dxa"/>
            <w:vAlign w:val="bottom"/>
          </w:tcPr>
          <w:p>
            <w:pPr>
              <w:spacing w:after="0"/>
              <w:rPr>
                <w:sz w:val="24"/>
                <w:szCs w:val="24"/>
                <w:color w:val="auto"/>
              </w:rPr>
            </w:pPr>
          </w:p>
        </w:tc>
        <w:tc>
          <w:tcPr>
            <w:tcW w:w="3640" w:type="dxa"/>
            <w:vAlign w:val="bottom"/>
          </w:tcPr>
          <w:p>
            <w:pPr>
              <w:jc w:val="right"/>
              <w:ind w:right="1112"/>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primary market risk to which we are exposed is interest rate risk. We have entered into variable-to-fixed interest rate swap arrangements economically hedging $550.0 million of the $725.0 million term loan at a fixed interest rate of 6.734%. For a discussion of market risks, see Item 7A. “Quantitative and Qualitative Disclosures About Market Risk” contained in our annual report on Form 10-K for the fiscal year ended December 31, 2009 and incorporated by reference herein. The current interest rates on that debt are lower than those implicit in the hedge, thus a 100 basis point fluctuation in market interest rates would have the effect of increasing or decreasing our cash interest expense by approximately $2.6 million for an annual period on a total of $255.0 million of unhedged debt. Because each of our interest rate swaps was in a liability position at September 30, 2010, we are not currently exposed to counterparty risk related to the swaps.</w:t>
      </w:r>
    </w:p>
    <w:p>
      <w:pPr>
        <w:spacing w:after="0" w:line="2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September 30, 2010,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September 30, 2010 were effective.</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There have been no changes in the Company’s internal controls over financial reporting that occurred during the quarter ended September 30, 2010 that have materially affected, or are reasonably likely to materially affect, the Company’s internal controls over financial reporting.</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9, 2010 for the fiscal year ended December 31, 2009.</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Removed and Reserved)</w:t>
      </w:r>
    </w:p>
    <w:p>
      <w:pPr>
        <w:spacing w:after="0" w:line="2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gridSpan w:val="2"/>
          </w:tcPr>
          <w:p>
            <w:pPr>
              <w:spacing w:after="0"/>
              <w:rPr>
                <w:sz w:val="20"/>
                <w:szCs w:val="20"/>
                <w:color w:val="auto"/>
              </w:rPr>
            </w:pPr>
            <w:r>
              <w:rPr>
                <w:rFonts w:ascii="Arial" w:cs="Arial" w:eastAsia="Arial" w:hAnsi="Arial"/>
                <w:sz w:val="18"/>
                <w:szCs w:val="18"/>
                <w:b w:val="1"/>
                <w:bCs w:val="1"/>
                <w:color w:val="auto"/>
                <w:w w:val="94"/>
              </w:rPr>
              <w:t>Item 6.</w:t>
            </w:r>
          </w:p>
        </w:tc>
        <w:tc>
          <w:tcPr>
            <w:tcW w:w="40" w:type="dxa"/>
            <w:vAlign w:val="bottom"/>
          </w:tcPr>
          <w:p>
            <w:pPr>
              <w:spacing w:after="0"/>
              <w:rPr>
                <w:sz w:val="19"/>
                <w:szCs w:val="19"/>
                <w:color w:val="auto"/>
              </w:rPr>
            </w:pPr>
          </w:p>
        </w:tc>
        <w:tc>
          <w:tcPr>
            <w:tcW w:w="10680" w:type="dxa"/>
            <w:vAlign w:val="bottom"/>
            <w:gridSpan w:val="4"/>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367"/>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8"/>
              </w:rPr>
              <w:t>Reference</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200" w:type="dxa"/>
            <w:vAlign w:val="bottom"/>
          </w:tcPr>
          <w:p>
            <w:pPr>
              <w:spacing w:after="0"/>
              <w:rPr>
                <w:sz w:val="24"/>
                <w:szCs w:val="24"/>
                <w:color w:val="auto"/>
              </w:rPr>
            </w:pP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0"/>
              </w:rPr>
              <w:t>Underwriting Agreement dated as of August 12, 2010, by and among National CineMedia, Inc., National CineMedia, LLC, American Multi-</w:t>
            </w: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9"/>
              </w:rPr>
              <w:t>Cinema, Inc., AMC ShowPlace Theatres, Inc., Regal CineMedia Holdings, LLC and Credit Suisse Securities (USA) LLC (as Representative</w:t>
            </w:r>
          </w:p>
        </w:tc>
      </w:tr>
      <w:tr>
        <w:trPr>
          <w:trHeight w:val="222"/>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of the Several Underwriters).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1"/>
              </w:rPr>
              <w:t>Second Amendment to Third Amended and Restated Limited Liability Company Operating Agreement of National CineMedia, LLC dated</w:t>
            </w: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2"/>
              </w:rPr>
              <w:t>August 6, 2010, by and among American Multi-Cinema, Inc., Cinemark Media, Inc., and Regal CineMedia Holdings, LLC and National</w:t>
            </w:r>
          </w:p>
        </w:tc>
      </w:tr>
      <w:tr>
        <w:trPr>
          <w:trHeight w:val="222"/>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CineMedia, Inc.</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Exhibit 1.1 from the Registrant’s Current Report on Form 8-K (File No. 001-33296) filed on August 13,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Exhibit 4.1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August 10, 2010.</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INC.</w:t>
      </w:r>
    </w:p>
    <w:p>
      <w:pPr>
        <w:spacing w:after="0" w:line="29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680" w:val="left"/>
          <w:tab w:leader="none" w:pos="5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2010</w:t>
      </w:r>
      <w:r>
        <w:rPr>
          <w:sz w:val="20"/>
          <w:szCs w:val="20"/>
          <w:color w:val="auto"/>
        </w:rPr>
        <w:tab/>
      </w:r>
      <w:r>
        <w:rPr>
          <w:rFonts w:ascii="Arial" w:cs="Arial" w:eastAsia="Arial" w:hAnsi="Arial"/>
          <w:sz w:val="16"/>
          <w:szCs w:val="16"/>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68091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spacing w:after="0"/>
        <w:tabs>
          <w:tab w:leader="none" w:pos="680" w:val="left"/>
          <w:tab w:leader="none" w:pos="5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2010</w:t>
      </w:r>
      <w:r>
        <w:rPr>
          <w:sz w:val="20"/>
          <w:szCs w:val="20"/>
          <w:color w:val="auto"/>
        </w:rPr>
        <w:tab/>
      </w:r>
      <w:r>
        <w:rPr>
          <w:rFonts w:ascii="Arial" w:cs="Arial" w:eastAsia="Arial" w:hAnsi="Arial"/>
          <w:sz w:val="15"/>
          <w:szCs w:val="15"/>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68091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September 30, 2010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5, 2010</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connection with the Quarterly Report on Form 10-Q for the period ending September 30, 2010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43"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5, 2010</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2019-12-11T03:20:18Z</dcterms:created>
  <dcterms:modified xsi:type="dcterms:W3CDTF">2019-12-11T03:20:18Z</dcterms:modified>
</cp:coreProperties>
</file>