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141605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178435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223520</wp:posOffset>
            </wp:positionV>
            <wp:extent cx="173228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150495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20-2632505</w:t>
            </w:r>
          </w:p>
        </w:tc>
      </w:tr>
      <w:tr>
        <w:trPr>
          <w:trHeight w:val="186"/>
        </w:trPr>
        <w:tc>
          <w:tcPr>
            <w:tcW w:w="5240" w:type="dxa"/>
            <w:vAlign w:val="bottom"/>
          </w:tcPr>
          <w:p>
            <w:pPr>
              <w:jc w:val="center"/>
              <w:ind w:right="1317"/>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88"/>
              </w:rPr>
              <w:t>9110 East Nichols Avenue, Suite 200</w:t>
            </w:r>
          </w:p>
        </w:tc>
        <w:tc>
          <w:tcPr>
            <w:tcW w:w="3600" w:type="dxa"/>
            <w:vAlign w:val="bottom"/>
          </w:tcPr>
          <w:p>
            <w:pPr>
              <w:spacing w:after="0"/>
              <w:rPr>
                <w:sz w:val="24"/>
                <w:szCs w:val="24"/>
                <w:color w:val="auto"/>
              </w:rPr>
            </w:pPr>
          </w:p>
        </w:tc>
      </w:t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0"/>
              </w:rPr>
              <w:t>Centennial, Colorado</w:t>
            </w:r>
          </w:p>
        </w:tc>
        <w:tc>
          <w:tcPr>
            <w:tcW w:w="3600" w:type="dxa"/>
            <w:vAlign w:val="bottom"/>
          </w:tcPr>
          <w:p>
            <w:pPr>
              <w:jc w:val="center"/>
              <w:ind w:left="1339"/>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5240" w:type="dxa"/>
            <w:vAlign w:val="bottom"/>
          </w:tcPr>
          <w:p>
            <w:pPr>
              <w:jc w:val="center"/>
              <w:ind w:right="13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0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172085</wp:posOffset>
            </wp:positionV>
            <wp:extent cx="1603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79" w:right="239" w:bottom="1440" w:gutter="0" w:footer="0" w:header="0"/>
        </w:sectPr>
      </w:pPr>
    </w:p>
    <w:p>
      <w:pPr>
        <w:spacing w:after="0" w:line="160" w:lineRule="exact"/>
        <w:rPr>
          <w:sz w:val="24"/>
          <w:szCs w:val="24"/>
          <w:color w:val="auto"/>
        </w:rPr>
      </w:pPr>
    </w:p>
    <w:p>
      <w:pPr>
        <w:ind w:right="200"/>
        <w:spacing w:after="0" w:line="360"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ind w:left="40"/>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97" w:lineRule="exact"/>
        <w:rPr>
          <w:sz w:val="24"/>
          <w:szCs w:val="24"/>
          <w:color w:val="auto"/>
        </w:rPr>
      </w:pPr>
    </w:p>
    <w:p>
      <w:pPr>
        <w:sectPr>
          <w:pgSz w:w="11900" w:h="16838" w:orient="portrait"/>
          <w:cols w:equalWidth="0" w:num="5">
            <w:col w:w="1820" w:space="720"/>
            <w:col w:w="160" w:space="180"/>
            <w:col w:w="4840" w:space="720"/>
            <w:col w:w="1980" w:space="720"/>
            <w:col w:w="280"/>
          </w:cols>
          <w:pgMar w:left="240" w:top="679"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4">
            <w:col w:w="8180" w:space="180"/>
            <w:col w:w="440" w:space="180"/>
            <w:col w:w="220" w:space="100"/>
            <w:col w:w="2120"/>
          </w:cols>
          <w:pgMar w:left="240" w:top="67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April 28, 2016, the registrant had 137,140,810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865505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20" w:type="dxa"/>
            <w:vAlign w:val="bottom"/>
            <w:gridSpan w:val="11"/>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080" w:type="dxa"/>
            <w:vAlign w:val="bottom"/>
            <w:gridSpan w:val="3"/>
            <w:vMerge w:val="restart"/>
          </w:tcPr>
          <w:p>
            <w:pPr>
              <w:spacing w:after="0"/>
              <w:rPr>
                <w:sz w:val="24"/>
                <w:szCs w:val="24"/>
                <w:color w:val="auto"/>
              </w:rPr>
            </w:pPr>
          </w:p>
        </w:tc>
        <w:tc>
          <w:tcPr>
            <w:tcW w:w="2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gridSpan w:val="2"/>
            <w:vMerge w:val="continue"/>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660" w:type="dxa"/>
            <w:vAlign w:val="bottom"/>
            <w:gridSpan w:val="15"/>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Statements of Loss</w:t>
              </w:r>
            </w:hyperlink>
          </w:p>
        </w:tc>
        <w:tc>
          <w:tcPr>
            <w:tcW w:w="4720" w:type="dxa"/>
            <w:vAlign w:val="bottom"/>
            <w:gridSpan w:val="11"/>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Comprehensive Loss</w:t>
              </w:r>
            </w:hyperlink>
          </w:p>
        </w:tc>
        <w:tc>
          <w:tcPr>
            <w:tcW w:w="3540" w:type="dxa"/>
            <w:vAlign w:val="bottom"/>
            <w:gridSpan w:val="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18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7"/>
                <w:szCs w:val="17"/>
                <w:color w:val="auto"/>
              </w:rPr>
            </w:pPr>
          </w:p>
        </w:tc>
        <w:tc>
          <w:tcPr>
            <w:tcW w:w="1720" w:type="dxa"/>
            <w:vAlign w:val="bottom"/>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18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7"/>
          </w:tcPr>
          <w:p>
            <w:pPr>
              <w:jc w:val="center"/>
              <w:ind w:right="2940"/>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8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3060" w:type="dxa"/>
            <w:vAlign w:val="bottom"/>
            <w:gridSpan w:val="2"/>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6840" w:type="dxa"/>
            <w:vAlign w:val="bottom"/>
            <w:gridSpan w:val="16"/>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3820" w:type="dxa"/>
            <w:vAlign w:val="bottom"/>
            <w:gridSpan w:val="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5840" w:type="dxa"/>
            <w:vAlign w:val="bottom"/>
            <w:gridSpan w:val="13"/>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6400" w:type="dxa"/>
            <w:vAlign w:val="bottom"/>
            <w:gridSpan w:val="1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18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860" w:type="dxa"/>
            <w:vAlign w:val="bottom"/>
            <w:gridSpan w:val="1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Receivables, net of allowance of $5.7 and $5.6, respectively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administrative fees to managing member</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managing member</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notes receivable - founding members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Property and equipment, net of accumulated depreciation of $63.5 and $64.1,</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 of accumulated amortization of $98.4 and $91.9, respectively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investments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Debt issuance costs,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Amounts due to founding members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due to managing member</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Long-term debt, net of debt issuance costs of $10.2 and $10.6, respectively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MEMBERS’ EQUITY/DEFICIT</w:t>
            </w:r>
          </w:p>
        </w:tc>
        <w:tc>
          <w:tcPr>
            <w:tcW w:w="2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EQUITY/DEFICIT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78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March 31, 2016</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April 2, 2015</w:t>
            </w:r>
          </w:p>
        </w:tc>
        <w:tc>
          <w:tcPr>
            <w:tcW w:w="100" w:type="dxa"/>
            <w:vAlign w:val="bottom"/>
          </w:tcPr>
          <w:p>
            <w:pPr>
              <w:spacing w:after="0"/>
              <w:rPr>
                <w:sz w:val="13"/>
                <w:szCs w:val="13"/>
                <w:color w:val="auto"/>
              </w:rPr>
            </w:pPr>
          </w:p>
        </w:tc>
      </w:tr>
      <w:tr>
        <w:trPr>
          <w:trHeight w:val="209"/>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(including revenue from founding members of $7.3 and $7.7,</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FF0FC"/>
          </w:tcPr>
          <w:p>
            <w:pPr>
              <w:spacing w:after="0"/>
              <w:rPr>
                <w:sz w:val="20"/>
                <w:szCs w:val="20"/>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Advertising operating costs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Theatre access fees—founding members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Administrative and other costs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fee—managing member</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7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NON-OPERATING EXPENSES:</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Interest on borrowings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non-operating expense</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040" w:type="dxa"/>
            <w:vAlign w:val="bottom"/>
            <w:tcBorders>
              <w:bottom w:val="single" w:sz="8" w:color="auto"/>
            </w:tcBorders>
            <w:gridSpan w:val="5"/>
          </w:tcPr>
          <w:p>
            <w:pPr>
              <w:jc w:val="right"/>
              <w:ind w:right="62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March 31, 2016</w:t>
            </w: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April 2, 2015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LOSS, NET OF TAX OF $0.1 AND $0.0, RESPECTIVELY</w:t>
            </w: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1"/>
              </w:rPr>
              <w:t>(7.5)</w:t>
            </w: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43"/>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(38.7)</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12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COMPREHENSIVE LOSS</w:t>
            </w:r>
          </w:p>
        </w:tc>
        <w:tc>
          <w:tcPr>
            <w:tcW w:w="1260" w:type="dxa"/>
            <w:vAlign w:val="bottom"/>
          </w:tcPr>
          <w:p>
            <w:pPr>
              <w:jc w:val="right"/>
              <w:ind w:right="107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(7.5)</w:t>
            </w:r>
          </w:p>
        </w:tc>
        <w:tc>
          <w:tcPr>
            <w:tcW w:w="20" w:type="dxa"/>
            <w:vAlign w:val="bottom"/>
          </w:tcPr>
          <w:p>
            <w:pPr>
              <w:spacing w:after="0"/>
              <w:rPr>
                <w:sz w:val="19"/>
                <w:szCs w:val="19"/>
                <w:color w:val="auto"/>
              </w:rPr>
            </w:pPr>
          </w:p>
        </w:tc>
        <w:tc>
          <w:tcPr>
            <w:tcW w:w="1160" w:type="dxa"/>
            <w:vAlign w:val="bottom"/>
          </w:tcPr>
          <w:p>
            <w:pPr>
              <w:jc w:val="right"/>
              <w:ind w:right="1043"/>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(37.1)</w:t>
            </w:r>
          </w:p>
        </w:tc>
      </w:tr>
      <w:tr>
        <w:trPr>
          <w:trHeight w:val="20"/>
        </w:trPr>
        <w:tc>
          <w:tcPr>
            <w:tcW w:w="7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78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March 31, 2016</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April 2, 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loss to net cash provided by operating</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share-based compensation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Amortization of terminated derivatives</w:t>
            </w:r>
          </w:p>
        </w:tc>
        <w:tc>
          <w:tcPr>
            <w:tcW w:w="20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FF0FC"/>
          </w:tcPr>
          <w:p>
            <w:pPr>
              <w:spacing w:after="0"/>
              <w:rPr>
                <w:sz w:val="19"/>
                <w:szCs w:val="19"/>
                <w:color w:val="auto"/>
              </w:rPr>
            </w:pPr>
          </w:p>
        </w:tc>
        <w:tc>
          <w:tcPr>
            <w:tcW w:w="1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Amounts due to founding members and managing member</w:t>
            </w:r>
          </w:p>
        </w:tc>
        <w:tc>
          <w:tcPr>
            <w:tcW w:w="20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9"/>
                <w:szCs w:val="19"/>
                <w:color w:val="auto"/>
              </w:rPr>
            </w:pPr>
          </w:p>
        </w:tc>
        <w:tc>
          <w:tcPr>
            <w:tcW w:w="1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FF0FC"/>
          </w:tcPr>
          <w:p>
            <w:pPr>
              <w:spacing w:after="0"/>
              <w:rPr>
                <w:sz w:val="19"/>
                <w:szCs w:val="19"/>
                <w:color w:val="auto"/>
              </w:rPr>
            </w:pPr>
          </w:p>
        </w:tc>
        <w:tc>
          <w:tcPr>
            <w:tcW w:w="1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880" w:type="dxa"/>
            <w:vAlign w:val="bottom"/>
            <w:vMerge w:val="restart"/>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borrowings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Repayments of borrowings</w:t>
            </w:r>
          </w:p>
        </w:tc>
        <w:tc>
          <w:tcPr>
            <w:tcW w:w="20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Founding member integration payments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20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 settlement for share-based compensation</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7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78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March 31, 2016</w:t>
            </w:r>
          </w:p>
        </w:tc>
        <w:tc>
          <w:tcPr>
            <w:tcW w:w="3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April 2, 2015</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21.1</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 and managing member</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77"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(approximately 21 years remaining as of March 31, 2016) and certain third-party theatre circuits (known as “network affiliates”) under long-term network affiliate agreements, which have terms from three to twenty years.</w:t>
      </w:r>
    </w:p>
    <w:p>
      <w:pPr>
        <w:spacing w:after="0" w:line="125"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March 31, 2016, NCM LLC had 137,140,810 common membership units outstanding, of which 59,820,477 (43.6%) were owned by NCM, Inc., 27,072,701 (19.8%) were owned by Regal, 26,384,644 (19.2%) were owned by Cinemark and 23,862,988 (17.4%) were owned by AMC. The membership units held by the founding members are exchangeable into NCM, Inc. common stock on a one-for-one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77"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On May 5, 2014, NCM, Inc. entered into an Agreement and Plan of Merger (the “Merger Agreement”) to merge with Screenvision, LLC (“Screenvision”). On November 3, 2014, the Department of Justice filed a lawsuit seeking to enjoin the merger. On March 16, 2015, NCM, Inc. announced the termination of the Merger Agreement and the lawsuit was dismissed.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This payment was $2 million lower than the reverse termination fee contemplated by the Merger Agreement. During the three months ended April 2, 2015, the Company also either paid directly or reimbursed NCM, Inc. for the legal and other merger-related costs of approximately $14.1 million ($7.5 million incurred by NCM, Inc. during the year ended January 1, 2015 and approximately $6.6 million incurred by NCM LLC during the three months ended April 2, 2015). NCM, Inc. and the founding members each bore a pro rata portion of the merger termination fee and the related merger expenses based on their aggregate ownership percentages in NCM LLC when the expenses were incurred.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31, 2015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31, 2015.</w:t>
      </w:r>
    </w:p>
    <w:p>
      <w:pPr>
        <w:spacing w:after="0" w:line="97"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 The Company manages its business under one reportable segment: advertising.</w:t>
      </w:r>
    </w:p>
    <w:p>
      <w:pPr>
        <w:spacing w:after="0" w:line="9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period. Significant estimates include those related to the reserve for uncollectible accounts receivable and share-based compensation. Actual results could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760" w:firstLine="555"/>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31, 2015 contain a complete discussion of the Company’s significant accounting policies. Following is additional information related to the Company’s accounting policies.</w:t>
      </w:r>
    </w:p>
    <w:p>
      <w:pPr>
        <w:spacing w:after="0" w:line="124" w:lineRule="exact"/>
        <w:rPr>
          <w:sz w:val="20"/>
          <w:szCs w:val="20"/>
          <w:color w:val="auto"/>
        </w:rPr>
      </w:pPr>
    </w:p>
    <w:p>
      <w:pPr>
        <w:ind w:right="140" w:firstLine="555"/>
        <w:spacing w:after="0" w:line="290"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March 31, 2016 and December 31, 2015, there were no advertising agency groups or individual customers through which the Company sources national advertising revenue representing more than 10% of the Company’s outstanding gross receivable balance. During the three months ended March 31, 2016 and April 2, 2015, there were no customers that accounted for more than 10% of revenue.</w:t>
      </w:r>
    </w:p>
    <w:p>
      <w:pPr>
        <w:spacing w:after="0" w:line="166"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management services agreement between NCM LLC and NCM, Inc. provides that NCM LLC may participate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2015 and 2016,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March 31, 2016 and April 2, 2015, NCM, Inc. acquired 581,323 and 193,119 units, respectively, due to the vesting of restricted stock and restricted stock units and exercise of stock options and contributed $0.3 million and $0.4 million to NCM LLC for the three months ended March 31, 2016 and April 2, 2015,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2015-01, </w:t>
      </w:r>
      <w:r>
        <w:rPr>
          <w:rFonts w:ascii="Arial" w:cs="Arial" w:eastAsia="Arial" w:hAnsi="Arial"/>
          <w:sz w:val="17"/>
          <w:szCs w:val="17"/>
          <w:i w:val="1"/>
          <w:iCs w:val="1"/>
          <w:color w:val="auto"/>
        </w:rPr>
        <w:t>Income Statement Extraordinary and Unusual Items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225-20): Simplifying Income Statement Presentation by Eliminating the Concept of Extraordinary Items </w:t>
      </w:r>
      <w:r>
        <w:rPr>
          <w:rFonts w:ascii="Arial" w:cs="Arial" w:eastAsia="Arial" w:hAnsi="Arial"/>
          <w:sz w:val="17"/>
          <w:szCs w:val="17"/>
          <w:color w:val="auto"/>
        </w:rPr>
        <w:t>(“ASU 2015-01”) on a prospective basis,</w:t>
      </w:r>
      <w:r>
        <w:rPr>
          <w:rFonts w:ascii="Arial" w:cs="Arial" w:eastAsia="Arial" w:hAnsi="Arial"/>
          <w:sz w:val="17"/>
          <w:szCs w:val="17"/>
          <w:i w:val="1"/>
          <w:iCs w:val="1"/>
          <w:color w:val="auto"/>
        </w:rPr>
        <w:t xml:space="preserve"> </w:t>
      </w:r>
      <w:r>
        <w:rPr>
          <w:rFonts w:ascii="Arial" w:cs="Arial" w:eastAsia="Arial" w:hAnsi="Arial"/>
          <w:sz w:val="17"/>
          <w:szCs w:val="17"/>
          <w:color w:val="auto"/>
        </w:rPr>
        <w:t>which eliminates the concept of 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The adoption of ASU 2015-01 did not have a material impact on the unaudited Condensed Financial Statements or notes thereto.</w:t>
      </w:r>
    </w:p>
    <w:p>
      <w:pPr>
        <w:spacing w:after="0" w:line="178"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2015-02, </w:t>
      </w:r>
      <w:r>
        <w:rPr>
          <w:rFonts w:ascii="Arial" w:cs="Arial" w:eastAsia="Arial" w:hAnsi="Arial"/>
          <w:sz w:val="17"/>
          <w:szCs w:val="17"/>
          <w:i w:val="1"/>
          <w:iCs w:val="1"/>
          <w:color w:val="auto"/>
        </w:rPr>
        <w:t>Consolidation (Topic 810): Amendments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Consolidation Analysis </w:t>
      </w:r>
      <w:r>
        <w:rPr>
          <w:rFonts w:ascii="Arial" w:cs="Arial" w:eastAsia="Arial" w:hAnsi="Arial"/>
          <w:sz w:val="17"/>
          <w:szCs w:val="17"/>
          <w:color w:val="auto"/>
        </w:rPr>
        <w:t>(“ASU 2015-02”). ASU 2015-02 amends current consolidation guidance by modifying the evaluation of whether limited partnerships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The adoption of ASU 2015-02 did not have a material impact on the unaudited Condensed Financial Statements or notes thereto.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40" w:firstLine="555"/>
        <w:spacing w:after="0" w:line="286" w:lineRule="auto"/>
        <w:rPr>
          <w:sz w:val="20"/>
          <w:szCs w:val="20"/>
          <w:color w:val="auto"/>
        </w:rPr>
      </w:pPr>
      <w:r>
        <w:rPr>
          <w:rFonts w:ascii="Arial" w:cs="Arial" w:eastAsia="Arial" w:hAnsi="Arial"/>
          <w:sz w:val="16"/>
          <w:szCs w:val="16"/>
          <w:color w:val="auto"/>
        </w:rPr>
        <w:t xml:space="preserve">During the first quarter of 2016, the Company adopted Accounting Standards Update 2015-03, </w:t>
      </w:r>
      <w:r>
        <w:rPr>
          <w:rFonts w:ascii="Arial" w:cs="Arial" w:eastAsia="Arial" w:hAnsi="Arial"/>
          <w:sz w:val="16"/>
          <w:szCs w:val="16"/>
          <w:i w:val="1"/>
          <w:iCs w:val="1"/>
          <w:color w:val="auto"/>
        </w:rPr>
        <w:t>Interest - Imputation of Interest (Subtopic 835-30):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Simplifying the Presentation of Debt Issuance Costs </w:t>
      </w:r>
      <w:r>
        <w:rPr>
          <w:rFonts w:ascii="Arial" w:cs="Arial" w:eastAsia="Arial" w:hAnsi="Arial"/>
          <w:sz w:val="16"/>
          <w:szCs w:val="16"/>
          <w:color w:val="auto"/>
        </w:rPr>
        <w:t>(“ASU 2015-03”) on a retrospective basis, which provides guidance for simplifying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debt issuance costs. ASU 2015-03 requires that debt issuance costs be presented in the balance sheet as a direct deduction from the carrying amount of debt liability, consistent with debt discounts or premiums. The Company also adopted Accounting Standards Update 2015-15,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xml:space="preserve"> (“ASU 2015-15”), which added SEC paragraphs pursuant to the SEC Staff Announcement at the June 18, 2015 Emerging Issues Task Force (EITF) meeting about the presentation and subsequent measurement of debt issuance costs associated with line-of-credit arrangements.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reclassified net deferred financing costs related to the Company’s Term Loans, Senior Secured Notes and Senior Unsecured Notes in the Condensed Balance Sheets as a direct deduction from the carrying amount of those borrowings, while net deferred financing costs related to the Company’s Revolving Credit Facility remained an asset in the unaudited Condensed Balance Sheets. Upon adoption of ASU 2015-03 and ASU 2015-15, net deferred financing costs of $10.6 million in the December 31, 2015 unaudited Condensed Balance Sheet were reclassified from an asset to a reduction of the carrying value of long-term debt.</w:t>
      </w:r>
    </w:p>
    <w:p>
      <w:pPr>
        <w:spacing w:after="0" w:line="175" w:lineRule="exact"/>
        <w:rPr>
          <w:sz w:val="20"/>
          <w:szCs w:val="20"/>
          <w:color w:val="auto"/>
        </w:rPr>
      </w:pPr>
    </w:p>
    <w:p>
      <w:pPr>
        <w:ind w:right="220" w:firstLine="555"/>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2015-05, </w:t>
      </w:r>
      <w:r>
        <w:rPr>
          <w:rFonts w:ascii="Arial" w:cs="Arial" w:eastAsia="Arial" w:hAnsi="Arial"/>
          <w:sz w:val="17"/>
          <w:szCs w:val="17"/>
          <w:i w:val="1"/>
          <w:iCs w:val="1"/>
          <w:color w:val="auto"/>
        </w:rPr>
        <w:t>Intangibles-Goodwill and Other – 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(Subtopic 350-40): Customer’s Accounting for Fees Paid in a Cloud Computing Arrangement </w:t>
      </w:r>
      <w:r>
        <w:rPr>
          <w:rFonts w:ascii="Arial" w:cs="Arial" w:eastAsia="Arial" w:hAnsi="Arial"/>
          <w:sz w:val="17"/>
          <w:szCs w:val="17"/>
          <w:color w:val="auto"/>
        </w:rPr>
        <w:t>(“ASU 2015-05”) on a prospective basis,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guidance on accounting for fees paid by a 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adoption of ASU 2015-05 did not have a material impact on the unaudited Condensed Financial Statements or notes thereto.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333" w:lineRule="exact"/>
        <w:rPr>
          <w:sz w:val="20"/>
          <w:szCs w:val="20"/>
          <w:color w:val="auto"/>
        </w:rPr>
      </w:pPr>
    </w:p>
    <w:p>
      <w:pPr>
        <w:ind w:right="100" w:firstLine="555"/>
        <w:spacing w:after="0" w:line="289"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which supersedes the revenue recognition requirements in Accounting Standards Codification 605,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Accounting Standards Update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was issued in August 2015, revised the effective date for this standard to annual and interim periods beginning on or after December 15, 2017, with early adoption permitted, but not earlier than the original effective date of annual and interim periods beginning after December 15, 2016, for public entities. The standard allows for either a full retrospective or a modified retrospective transition method. The Company is currently evaluating the effect that adopting this guidance will have on the unaudited Condensed Financial Statements or notes thereto, as well as, which transition method it intends to use.</w:t>
      </w:r>
    </w:p>
    <w:p>
      <w:pPr>
        <w:spacing w:after="0" w:line="16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revises the guidance in ASC 825-10,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and provides guidance for the recognition, measurement, presentation, and disclosure of financial assets and liabilities. The guidance is effective for reporting periods (interim and annual) beginning after December 15, 2017, for public companies. The Company is currently assessing the impact of ASU 2016-01 on the unaudited Condensed Financial Statements or notes thereto.</w:t>
      </w:r>
    </w:p>
    <w:p>
      <w:pPr>
        <w:spacing w:after="0" w:line="188" w:lineRule="exact"/>
        <w:rPr>
          <w:sz w:val="20"/>
          <w:szCs w:val="20"/>
          <w:color w:val="auto"/>
        </w:rPr>
      </w:pPr>
    </w:p>
    <w:p>
      <w:pPr>
        <w:ind w:right="180" w:firstLine="555"/>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(“ASU 2016-02”).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Company is currently assessing the impact of ASU 2016-02 on the unaudited Condensed Financial Statements or notes thereto.</w:t>
      </w:r>
    </w:p>
    <w:p>
      <w:pPr>
        <w:spacing w:after="0" w:line="225"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2016-09, </w:t>
      </w:r>
      <w:r>
        <w:rPr>
          <w:rFonts w:ascii="Arial" w:cs="Arial" w:eastAsia="Arial" w:hAnsi="Arial"/>
          <w:sz w:val="18"/>
          <w:szCs w:val="18"/>
          <w:i w:val="1"/>
          <w:iCs w:val="1"/>
          <w:color w:val="auto"/>
        </w:rPr>
        <w:t>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2016-09”). The updated guidance changes how companies account for certain aspects of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including forfeitures. ASU 2016-09 is effective for fiscal years beginning after December 15, 2017, including interim periods within those fiscal years. The Company is currently evaluating the effect that adopting this guidance will have on the unaudited Condensed Financial Statements or notes thereto.</w:t>
      </w:r>
    </w:p>
    <w:p>
      <w:pPr>
        <w:spacing w:after="0" w:line="18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2016-07, </w:t>
      </w:r>
      <w:r>
        <w:rPr>
          <w:rFonts w:ascii="Arial" w:cs="Arial" w:eastAsia="Arial" w:hAnsi="Arial"/>
          <w:sz w:val="18"/>
          <w:szCs w:val="18"/>
          <w:i w:val="1"/>
          <w:iCs w:val="1"/>
          <w:color w:val="auto"/>
        </w:rPr>
        <w:t>Investments- Equity Method and Joint Ventures: Simplifying the Transition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Equity Method of Accounting </w:t>
      </w:r>
      <w:r>
        <w:rPr>
          <w:rFonts w:ascii="Arial" w:cs="Arial" w:eastAsia="Arial" w:hAnsi="Arial"/>
          <w:sz w:val="18"/>
          <w:szCs w:val="18"/>
          <w:color w:val="auto"/>
        </w:rPr>
        <w:t>(“ASU 2016-07”). ASU 2016-07 eliminates the requirement to apply the equity method of accounting retrospectively when</w:t>
      </w:r>
      <w:r>
        <w:rPr>
          <w:rFonts w:ascii="Arial" w:cs="Arial" w:eastAsia="Arial" w:hAnsi="Arial"/>
          <w:sz w:val="18"/>
          <w:szCs w:val="18"/>
          <w:i w:val="1"/>
          <w:iCs w:val="1"/>
          <w:color w:val="auto"/>
        </w:rPr>
        <w:t xml:space="preserve"> </w:t>
      </w:r>
      <w:r>
        <w:rPr>
          <w:rFonts w:ascii="Arial" w:cs="Arial" w:eastAsia="Arial" w:hAnsi="Arial"/>
          <w:sz w:val="18"/>
          <w:szCs w:val="18"/>
          <w:color w:val="auto"/>
        </w:rPr>
        <w:t>a reporting entity obtains significant influence over a previously held investment. ASU 2016-07 is effective for fiscal years beginning after December 15, 2016, including interim periods within those fiscal years. The adoption of ASU 2016-07 is not expected to have a material effect on the unaudited Condensed Financial Statements or notes thereto.</w:t>
      </w:r>
    </w:p>
    <w:p>
      <w:pPr>
        <w:spacing w:after="0" w:line="188"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In accordance with NCM LLC’s Common Unit Adjustment Agreement with our founding members, on an annual basis the Company determines the amount of common membership units to be issued to or returned by the founding members based on theatre additions or dispositions during the previous year. During the first quarter of 2016 and 2015, the Company issued 1,416,515 and 2,160,915 common membership units to our founding members, respectively, for the rights to exclusive access to the theatre screens and attendees added, net of dispositions by the founding members to NCM LLC’s network during the previous year. The Company recorded a net intangible asset of $21.1 million and $31.4 million during the three months ended March 31, 2016 and April 2, 2015, respectively, as a result of the Common Unit Adjustments.</w:t>
      </w:r>
    </w:p>
    <w:p>
      <w:pPr>
        <w:spacing w:after="0" w:line="178"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adjustment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then they are required to make payments on a quarterly basis in arrears in accordance with certain run-out provisions pursuant to the ESAs (“integration payments”). During the three months ended March 31, 2016 and April 2, 2015, the Company recorded a reduction to net intangible assets of $0.1 million and $0.3 million, respectively, related to integration payments due from AMC and Cinemark related to their acquisitions of theatres from Rave Cinemas that are encumbered by an existing on-screen advertising agreement with an alternative provider. During the three months ended March 31, 2016 and April 2, 2015, AMC and Cinemark paid a total of $0.9 million and $0.8 million, respectively, in integration payments.</w:t>
      </w:r>
    </w:p>
    <w:p>
      <w:pPr>
        <w:spacing w:after="0" w:line="178"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20" w:firstLine="555"/>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34" w:lineRule="exact"/>
        <w:rPr>
          <w:sz w:val="20"/>
          <w:szCs w:val="20"/>
          <w:color w:val="auto"/>
        </w:rPr>
      </w:pPr>
    </w:p>
    <w:p>
      <w:pPr>
        <w:ind w:left="1120" w:right="40" w:hanging="558"/>
        <w:spacing w:after="0" w:line="272" w:lineRule="auto"/>
        <w:tabs>
          <w:tab w:leader="none" w:pos="11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ESAs</w:t>
      </w:r>
      <w:r>
        <w:rPr>
          <w:rFonts w:ascii="Arial" w:cs="Arial" w:eastAsia="Arial" w:hAnsi="Arial"/>
          <w:sz w:val="17"/>
          <w:szCs w:val="17"/>
          <w:color w:val="auto"/>
        </w:rPr>
        <w:t>. 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theatres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use of the lobby entertainment network (“LEN”) and rights to sell and display certain lobby promotions. Further, 30 to 60 seconds of advertising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sold to the founding members to satisfy the founding members’ on-screen advertising commitments under their beverage concessionaire agreements. In consideration for access to the founding members’ theatres, theatre patrons, the network equipment required to display on-screen and LEN video advertising and the use of theatres for lobby promotions, the founding members receive a monthly theatre access fee.</w:t>
      </w:r>
    </w:p>
    <w:p>
      <w:pPr>
        <w:spacing w:after="0" w:line="64" w:lineRule="exact"/>
        <w:rPr>
          <w:rFonts w:ascii="Arial" w:cs="Arial" w:eastAsia="Arial" w:hAnsi="Arial"/>
          <w:sz w:val="17"/>
          <w:szCs w:val="17"/>
          <w:color w:val="auto"/>
        </w:rPr>
      </w:pPr>
    </w:p>
    <w:p>
      <w:pPr>
        <w:ind w:left="1120" w:right="140" w:hanging="558"/>
        <w:spacing w:after="0" w:line="266"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theatres or sale of theatres that are operated by each founding member and included in the Company’s network.</w:t>
      </w:r>
    </w:p>
    <w:p>
      <w:pPr>
        <w:spacing w:after="0" w:line="68" w:lineRule="exact"/>
        <w:rPr>
          <w:rFonts w:ascii="Arial" w:cs="Arial" w:eastAsia="Arial" w:hAnsi="Arial"/>
          <w:sz w:val="18"/>
          <w:szCs w:val="18"/>
          <w:color w:val="auto"/>
        </w:rPr>
      </w:pPr>
    </w:p>
    <w:p>
      <w:pPr>
        <w:ind w:left="1120" w:right="140" w:hanging="558"/>
        <w:spacing w:after="0" w:line="303" w:lineRule="auto"/>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NCM, Inc.’s IPO, NCM LLC was granted a perpetual, royalty-free license from the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Included in the Condensed Statements of Income:</w:t>
            </w:r>
          </w:p>
        </w:tc>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gridSpan w:val="5"/>
            <w:vMerge w:val="continue"/>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2, 2015</w:t>
            </w:r>
          </w:p>
        </w:tc>
        <w:tc>
          <w:tcPr>
            <w:tcW w:w="0" w:type="dxa"/>
            <w:vAlign w:val="bottom"/>
          </w:tcPr>
          <w:p>
            <w:pPr>
              <w:spacing w:after="0"/>
              <w:rPr>
                <w:sz w:val="1"/>
                <w:szCs w:val="1"/>
                <w:color w:val="auto"/>
              </w:rPr>
            </w:pPr>
          </w:p>
        </w:tc>
      </w:tr>
      <w:tr>
        <w:trPr>
          <w:trHeight w:val="183"/>
        </w:trPr>
        <w:tc>
          <w:tcPr>
            <w:tcW w:w="240" w:type="dxa"/>
            <w:vAlign w:val="bottom"/>
            <w:tcBorders>
              <w:top w:val="single" w:sz="8" w:color="CFF0FC"/>
            </w:tcBorders>
            <w:shd w:val="clear" w:color="auto" w:fill="CFF0FC"/>
          </w:tcPr>
          <w:p>
            <w:pPr>
              <w:spacing w:after="0"/>
              <w:rPr>
                <w:sz w:val="15"/>
                <w:szCs w:val="15"/>
                <w:color w:val="auto"/>
              </w:rPr>
            </w:pPr>
          </w:p>
        </w:tc>
        <w:tc>
          <w:tcPr>
            <w:tcW w:w="526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Revenue:</w:t>
            </w:r>
          </w:p>
        </w:tc>
        <w:tc>
          <w:tcPr>
            <w:tcW w:w="15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5260" w:type="dxa"/>
            <w:vAlign w:val="bottom"/>
            <w:gridSpan w:val="4"/>
          </w:tcPr>
          <w:p>
            <w:pPr>
              <w:ind w:left="260"/>
              <w:spacing w:after="0"/>
              <w:rPr>
                <w:sz w:val="20"/>
                <w:szCs w:val="20"/>
                <w:color w:val="auto"/>
              </w:rPr>
            </w:pPr>
            <w:r>
              <w:rPr>
                <w:rFonts w:ascii="Arial" w:cs="Arial" w:eastAsia="Arial" w:hAnsi="Arial"/>
                <w:sz w:val="18"/>
                <w:szCs w:val="18"/>
                <w:color w:val="auto"/>
              </w:rPr>
              <w:t>Beverage concessionaire revenue (included in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260" w:type="dxa"/>
            <w:vAlign w:val="bottom"/>
            <w:gridSpan w:val="4"/>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52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Advertising inventory revenue (included in</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526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1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0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2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5260" w:type="dxa"/>
            <w:vAlign w:val="bottom"/>
            <w:gridSpan w:val="4"/>
          </w:tcPr>
          <w:p>
            <w:pPr>
              <w:ind w:left="260"/>
              <w:spacing w:after="0"/>
              <w:rPr>
                <w:sz w:val="20"/>
                <w:szCs w:val="20"/>
                <w:color w:val="auto"/>
              </w:rPr>
            </w:pPr>
            <w:r>
              <w:rPr>
                <w:rFonts w:ascii="Arial" w:cs="Arial" w:eastAsia="Arial" w:hAnsi="Arial"/>
                <w:sz w:val="18"/>
                <w:szCs w:val="18"/>
                <w:color w:val="auto"/>
              </w:rPr>
              <w:t>Purchase of movie tickets and concession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260" w:type="dxa"/>
            <w:vAlign w:val="bottom"/>
            <w:gridSpan w:val="4"/>
          </w:tcPr>
          <w:p>
            <w:pPr>
              <w:ind w:left="380"/>
              <w:spacing w:after="0"/>
              <w:rPr>
                <w:sz w:val="20"/>
                <w:szCs w:val="20"/>
                <w:color w:val="auto"/>
              </w:rPr>
            </w:pPr>
            <w:r>
              <w:rPr>
                <w:rFonts w:ascii="Arial" w:cs="Arial" w:eastAsia="Arial" w:hAnsi="Arial"/>
                <w:sz w:val="18"/>
                <w:szCs w:val="18"/>
                <w:color w:val="auto"/>
              </w:rPr>
              <w:t>products and rental of theatre space (included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260" w:type="dxa"/>
            <w:vAlign w:val="bottom"/>
            <w:gridSpan w:val="4"/>
          </w:tcPr>
          <w:p>
            <w:pPr>
              <w:ind w:left="38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(4)</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2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50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Non-operating expenses:</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52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Interest income from notes receivable (included</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526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(6)</w:t>
            </w:r>
          </w:p>
        </w:tc>
        <w:tc>
          <w:tcPr>
            <w:tcW w:w="1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hanging="558"/>
        <w:spacing w:after="0" w:line="286" w:lineRule="auto"/>
        <w:tabs>
          <w:tab w:leader="none" w:pos="1120" w:val="left"/>
        </w:tabs>
        <w:numPr>
          <w:ilvl w:val="0"/>
          <w:numId w:val="2"/>
        </w:numPr>
        <w:rPr>
          <w:rFonts w:ascii="Arial" w:cs="Arial" w:eastAsia="Arial" w:hAnsi="Arial"/>
          <w:sz w:val="16"/>
          <w:szCs w:val="16"/>
          <w:i w:val="1"/>
          <w:iCs w:val="1"/>
          <w:color w:val="auto"/>
        </w:rPr>
      </w:pPr>
      <w:r>
        <w:rPr>
          <w:rFonts w:ascii="Arial" w:cs="Arial" w:eastAsia="Arial" w:hAnsi="Arial"/>
          <w:sz w:val="16"/>
          <w:szCs w:val="16"/>
          <w:color w:val="auto"/>
        </w:rPr>
        <w:t>For the three months ended March 31, 2016,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 For the three months ended April 2, 2015 all the founding members purchased 60 seconds of on-screen advertising time.</w:t>
      </w:r>
    </w:p>
    <w:p>
      <w:pPr>
        <w:spacing w:after="0" w:line="1" w:lineRule="exact"/>
        <w:rPr>
          <w:rFonts w:ascii="Arial" w:cs="Arial" w:eastAsia="Arial" w:hAnsi="Arial"/>
          <w:sz w:val="16"/>
          <w:szCs w:val="16"/>
          <w:i w:val="1"/>
          <w:iCs w:val="1"/>
          <w:color w:val="auto"/>
        </w:rPr>
      </w:pPr>
    </w:p>
    <w:p>
      <w:pPr>
        <w:ind w:left="1120" w:hanging="558"/>
        <w:spacing w:after="0"/>
        <w:tabs>
          <w:tab w:leader="none" w:pos="11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-688340</wp:posOffset>
            </wp:positionV>
            <wp:extent cx="17151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120" w:right="360" w:hanging="558"/>
        <w:spacing w:after="0" w:line="258" w:lineRule="auto"/>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and payments per digital screen with respect to the founding member theatres included in the Company’s network, including payments for access to higher quality digital cinema equipment.</w:t>
      </w:r>
    </w:p>
    <w:p>
      <w:pPr>
        <w:spacing w:after="0" w:line="1" w:lineRule="exact"/>
        <w:rPr>
          <w:rFonts w:ascii="Arial" w:cs="Arial" w:eastAsia="Arial" w:hAnsi="Arial"/>
          <w:sz w:val="18"/>
          <w:szCs w:val="18"/>
          <w:i w:val="1"/>
          <w:iCs w:val="1"/>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1120" w:right="80" w:hanging="558"/>
        <w:spacing w:after="0" w:line="265" w:lineRule="auto"/>
        <w:tabs>
          <w:tab w:leader="none" w:pos="1120" w:val="left"/>
        </w:tabs>
        <w:numPr>
          <w:ilvl w:val="0"/>
          <w:numId w:val="3"/>
        </w:numPr>
        <w:rPr>
          <w:rFonts w:ascii="Arial" w:cs="Arial" w:eastAsia="Arial" w:hAnsi="Arial"/>
          <w:sz w:val="17"/>
          <w:szCs w:val="17"/>
          <w:i w:val="1"/>
          <w:iCs w:val="1"/>
          <w:color w:val="auto"/>
        </w:rPr>
      </w:pPr>
      <w:r>
        <w:rPr>
          <w:rFonts w:ascii="Arial" w:cs="Arial" w:eastAsia="Arial" w:hAnsi="Arial"/>
          <w:sz w:val="17"/>
          <w:szCs w:val="17"/>
          <w:color w:val="auto"/>
        </w:rPr>
        <w:t>Pursuant to the Management Services Agreement between NCM, Inc. and NCM LLC, NCM, Inc. provides certain specific management services to NCM LLC, including the services of the President and Chief Executive Officer, President of Sales and Marketing,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1" w:lineRule="exact"/>
        <w:rPr>
          <w:rFonts w:ascii="Arial" w:cs="Arial" w:eastAsia="Arial" w:hAnsi="Arial"/>
          <w:sz w:val="17"/>
          <w:szCs w:val="17"/>
          <w:i w:val="1"/>
          <w:iCs w:val="1"/>
          <w:color w:val="auto"/>
        </w:rPr>
      </w:pPr>
    </w:p>
    <w:p>
      <w:pPr>
        <w:ind w:left="1120" w:right="140" w:hanging="558"/>
        <w:spacing w:after="0" w:line="253" w:lineRule="auto"/>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8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100" w:type="dxa"/>
            <w:vAlign w:val="bottom"/>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1800" w:type="dxa"/>
            <w:vAlign w:val="bottom"/>
            <w:gridSpan w:val="3"/>
          </w:tcPr>
          <w:p>
            <w:pPr>
              <w:ind w:left="380"/>
              <w:spacing w:after="0" w:line="133" w:lineRule="exact"/>
              <w:rPr>
                <w:sz w:val="20"/>
                <w:szCs w:val="20"/>
                <w:color w:val="auto"/>
              </w:rPr>
            </w:pPr>
            <w:r>
              <w:rPr>
                <w:rFonts w:ascii="Arial" w:cs="Arial" w:eastAsia="Arial" w:hAnsi="Arial"/>
                <w:sz w:val="14"/>
                <w:szCs w:val="14"/>
                <w:b w:val="1"/>
                <w:bCs w:val="1"/>
                <w:color w:val="auto"/>
              </w:rPr>
              <w:t>March 31,</w:t>
            </w:r>
          </w:p>
        </w:tc>
        <w:tc>
          <w:tcPr>
            <w:tcW w:w="128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00" w:type="dxa"/>
            <w:vAlign w:val="bottom"/>
            <w:tcBorders>
              <w:bottom w:val="single" w:sz="8" w:color="CFF0FC"/>
            </w:tcBorders>
            <w:vMerge w:val="continue"/>
          </w:tcPr>
          <w:p>
            <w:pPr>
              <w:spacing w:after="0"/>
              <w:rPr>
                <w:sz w:val="14"/>
                <w:szCs w:val="14"/>
                <w:color w:val="auto"/>
              </w:rPr>
            </w:pPr>
          </w:p>
        </w:tc>
        <w:tc>
          <w:tcPr>
            <w:tcW w:w="14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4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4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14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unit adjustments and integration payments, net of</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amortization (included in intangible assets) </w:t>
            </w:r>
            <w:r>
              <w:rPr>
                <w:rFonts w:ascii="Arial" w:cs="Arial" w:eastAsia="Arial" w:hAnsi="Arial"/>
                <w:sz w:val="18"/>
                <w:szCs w:val="18"/>
                <w:i w:val="1"/>
                <w:iCs w:val="1"/>
                <w:color w:val="auto"/>
              </w:rPr>
              <w:t>(3)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i w:val="1"/>
          <w:iCs w:val="1"/>
          <w:color w:val="auto"/>
        </w:rPr>
      </w:pPr>
    </w:p>
    <w:p>
      <w:pPr>
        <w:ind w:left="1120" w:right="160" w:hanging="558"/>
        <w:spacing w:after="0" w:line="250" w:lineRule="auto"/>
        <w:tabs>
          <w:tab w:leader="none" w:pos="11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1" w:lineRule="exact"/>
        <w:rPr>
          <w:rFonts w:ascii="Arial" w:cs="Arial" w:eastAsia="Arial" w:hAnsi="Arial"/>
          <w:sz w:val="18"/>
          <w:szCs w:val="18"/>
          <w:i w:val="1"/>
          <w:iCs w:val="1"/>
          <w:color w:val="auto"/>
        </w:rPr>
      </w:pPr>
    </w:p>
    <w:p>
      <w:pPr>
        <w:ind w:left="1120" w:hanging="558"/>
        <w:spacing w:after="0"/>
        <w:tabs>
          <w:tab w:leader="none" w:pos="11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-825500</wp:posOffset>
            </wp:positionV>
            <wp:extent cx="17151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16, 2015, NCM, Inc. announced the termination of the Merger Agreement with Screenvision. After the Merger Agreement was terminated,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NCM LLC reimbursed NCM, Inc. for certain expenses pursuant to an indemnification agreement among NCM LLC, NCM, Inc. and the founding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members. On March 17, 2015, the Company paid Screenvision an approximate $26.8 million termination payment on behalf of NCM, Inc. This payment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million lower than the reverse termination fee contemplated by the Merger Agreement. During the three months ended April 2, 2015, the Company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paid directly or reimbursed NCM, Inc. for the legal and other merger-related costs of approximately $14.1 million ($7.5 million incurred by NCM,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January 1, 2015 and approximately $6.6 million incurred by NCM LLC during the three months ended April 2, 2015). NCM, Inc.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founding members each bore a pro rata portion of the termination fee and the related merger expenses based on their aggregate ownership percentages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NCM LLC when the expenses were incurred.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8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months ended March 31, 2016 and April 2, 2015 were as follows (in millions):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500" w:type="dxa"/>
            <w:vAlign w:val="bottom"/>
            <w:tcBorders>
              <w:bottom w:val="single" w:sz="8" w:color="auto"/>
            </w:tcBorders>
            <w:gridSpan w:val="5"/>
          </w:tcPr>
          <w:p>
            <w:pPr>
              <w:jc w:val="right"/>
              <w:ind w:right="84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6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March 31, 2016</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April 2, 2015</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AMC</w:t>
            </w:r>
          </w:p>
        </w:tc>
        <w:tc>
          <w:tcPr>
            <w:tcW w:w="2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8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Cinemark</w:t>
            </w:r>
          </w:p>
        </w:tc>
        <w:tc>
          <w:tcPr>
            <w:tcW w:w="2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2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2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2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Pr>
          <w:p>
            <w:pPr>
              <w:ind w:left="50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12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26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Due to the merger termination fee and related merger expenses, the mandatory distributions of available cash by the Company to its founding members and NCM, Inc.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will be netted against the available cash distributions for the second quarter of 2016, which will be paid in the third quarter of 2016. Until the settlement in the third quarter of 2016, the remaining merger-related costs will be funded through borrowings on the NCM LLC revolving credit facility.</w:t>
      </w:r>
    </w:p>
    <w:p>
      <w:pPr>
        <w:spacing w:after="0" w:line="193"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mandatory distributions of available cash by the Company to its founding members for the three months ended March 31, 2016 of $1.1 million is included in amounts due to founding members on the unaudited Condensed Balance Sheets as of March 31, 2016 and will be made in the second quarter of 2016. The mandatory distributions of available cash by NCM LLC to its managing member for the three months ended March 31, 2016 of $0.9 million is included in amounts due from managing member on the unaudited Condensed Balance Sheets as of March 31, 2016 and will be made in the second quarter of 2016.</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March 31, 2016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 amounts due to founding members</w:t>
            </w: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December 31, 2015 were comprised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Cinemark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Regal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80" w:type="dxa"/>
            <w:vAlign w:val="bottom"/>
            <w:gridSpan w:val="2"/>
          </w:tcPr>
          <w:p>
            <w:pPr>
              <w:ind w:left="240"/>
              <w:spacing w:after="0"/>
              <w:rPr>
                <w:sz w:val="20"/>
                <w:szCs w:val="20"/>
                <w:color w:val="auto"/>
              </w:rPr>
            </w:pPr>
            <w:r>
              <w:rPr>
                <w:rFonts w:ascii="Arial" w:cs="Arial" w:eastAsia="Arial" w:hAnsi="Arial"/>
                <w:sz w:val="18"/>
                <w:szCs w:val="18"/>
                <w:color w:val="auto"/>
              </w:rPr>
              <w:t>Total amounts due to founding members</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gridSpan w:val="7"/>
          </w:tcPr>
          <w:p>
            <w:pPr>
              <w:ind w:left="560"/>
              <w:spacing w:after="0"/>
              <w:rPr>
                <w:sz w:val="20"/>
                <w:szCs w:val="20"/>
                <w:color w:val="auto"/>
              </w:rPr>
            </w:pPr>
            <w:r>
              <w:rPr>
                <w:rFonts w:ascii="Arial" w:cs="Arial" w:eastAsia="Arial" w:hAnsi="Arial"/>
                <w:sz w:val="18"/>
                <w:szCs w:val="18"/>
                <w:color w:val="auto"/>
                <w:w w:val="96"/>
              </w:rPr>
              <w:t>Amounts due to/from managing member were comprised of the following (in millions):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As of</w:t>
            </w: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right"/>
              <w:ind w:right="360"/>
              <w:spacing w:after="0" w:line="13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payable to managing member</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Cost and other reimbursement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5"/>
              </w:rPr>
              <w:t>Total amounts due (from) to managing member</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NCM LLC sold its Fathom Events business to a newly formed limited liability company, AC JV,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$1.2 million and $1.2 million as of March 31, 2016 and December 31, 2015, respectively. Equity in earnings from AC JV, LLC was $0.1 million and $0.1 million for the three months ended March 31, 2016 and April 2, 2015, respectively and is included in non-operating expenses in the unaudited Condensed Statements of Income.</w:t>
      </w:r>
    </w:p>
    <w:p>
      <w:pPr>
        <w:spacing w:after="0" w:line="167"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—NCM LLC enters into network affiliate agreements with network affiliates for NCM LLC to provide in-theatre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The Company has an agreement with LA Live, an affiliate of The Anschutz Corporation. The Anschutz Corporation is a wholly-owned subsidiary of the Anschutz Company, which is the controlling stockholder of Regal. During the three months ended March 31, 2016 and April 2, 2015, there was an inconsequential amount of advertising operating costs related to LA Live, and there was approximately $0.1 million and $0.1 million of accounts payable with this company as of March 31, 2016 and December 31, 2015, respectively.</w:t>
      </w:r>
    </w:p>
    <w:p>
      <w:pPr>
        <w:spacing w:after="0" w:line="18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—The Company had an agreement with an interactive media company to sell some of its online inventory. One of NCM, Inc.’s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also a director of this media company. There was approximately $0.3 million and $0.3 million of accounts receivable due from this company as of March 31, 2016 and December 31, 2015, respectively.</w:t>
      </w:r>
    </w:p>
    <w:p>
      <w:pPr>
        <w:spacing w:after="0" w:line="181" w:lineRule="exact"/>
        <w:rPr>
          <w:sz w:val="20"/>
          <w:szCs w:val="20"/>
          <w:color w:val="auto"/>
        </w:rPr>
      </w:pPr>
    </w:p>
    <w:p>
      <w:pPr>
        <w:ind w:right="280" w:firstLine="555"/>
        <w:spacing w:after="0" w:line="259"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NCM LLC’s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During the three months ended March 31, 2016 and April 2, 2015, NCM LLC recorded approximately $0.4 million and $0.4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revenue from AEG Live and as of March 31, 2016 and December 31, 2015, had $0.2 million and $0.4 million, respectively, of accounts receivable from AEG Live.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March 31, 2016 and December 31, 2015 and the significant terms of its borrowing arrangements (in millions):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Outstanding Balance as of</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Borrowings</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March 31,</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Maturity Date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November 26, 2019</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i w:val="1"/>
                <w:iCs w:val="1"/>
                <w:color w:val="auto"/>
                <w:w w:val="90"/>
              </w:rPr>
              <w:t>(1)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November 26, 2019</w:t>
            </w:r>
          </w:p>
        </w:tc>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Notes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July 15, 2021</w:t>
            </w:r>
          </w:p>
        </w:tc>
        <w:tc>
          <w:tcPr>
            <w:tcW w:w="10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7.875%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5"/>
              </w:rPr>
              <w:t>April 15, 2022</w:t>
            </w:r>
          </w:p>
        </w:tc>
        <w:tc>
          <w:tcPr>
            <w:tcW w:w="1080" w:type="dxa"/>
            <w:vAlign w:val="bottom"/>
            <w:tcBorders>
              <w:bottom w:val="single" w:sz="8" w:color="CFF0FC"/>
            </w:tcBorders>
          </w:tcPr>
          <w:p>
            <w:pPr>
              <w:jc w:val="right"/>
              <w:ind w:right="154"/>
              <w:spacing w:after="0"/>
              <w:rPr>
                <w:sz w:val="20"/>
                <w:szCs w:val="20"/>
                <w:color w:val="auto"/>
              </w:rPr>
            </w:pPr>
            <w:r>
              <w:rPr>
                <w:rFonts w:ascii="Arial" w:cs="Arial" w:eastAsia="Arial" w:hAnsi="Arial"/>
                <w:sz w:val="18"/>
                <w:szCs w:val="18"/>
                <w:color w:val="auto"/>
              </w:rPr>
              <w:t>6.000%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borrowings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Less: debt issuance costs related to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term loans and senior notes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Carrying value of long-term debt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700" w:hanging="558"/>
        <w:spacing w:after="0"/>
        <w:tabs>
          <w:tab w:leader="none" w:pos="170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13379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5"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March 31, 2016 and December 31, 2015, the Company’s senior secured credit facility consisted of a $135.0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revolving credit facility and a $270.0 million term loan.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As of March 31, 2016, the Company’s total availability under the $135.0 million revolving credit facility was $50.0 million.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The weighted-average interest rate on the outstanding balance on the revolving credit facility as of March 31, 2016 was 2.68%.</w:t>
      </w:r>
    </w:p>
    <w:p>
      <w:pPr>
        <w:spacing w:after="0" w:line="16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w:t>
      </w:r>
      <w:r>
        <w:rPr>
          <w:rFonts w:ascii="Arial" w:cs="Arial" w:eastAsia="Arial" w:hAnsi="Arial"/>
          <w:sz w:val="18"/>
          <w:szCs w:val="18"/>
          <w:i w:val="1"/>
          <w:iCs w:val="1"/>
          <w:color w:val="auto"/>
        </w:rPr>
        <w:t xml:space="preserve"> </w:t>
      </w:r>
      <w:r>
        <w:rPr>
          <w:rFonts w:ascii="Arial" w:cs="Arial" w:eastAsia="Arial" w:hAnsi="Arial"/>
          <w:sz w:val="18"/>
          <w:szCs w:val="18"/>
          <w:color w:val="auto"/>
        </w:rPr>
        <w:t>(Prime Rate or the Federal Funds Effective Rate, as defined in the senior secured credit facility) plus 1.75%. The weighted-average interest rate on the term loans as of March 31, 2016 was 3.19%. Interest on the term loans is currently paid monthly.</w:t>
      </w:r>
    </w:p>
    <w:p>
      <w:pPr>
        <w:spacing w:after="0" w:line="18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March 31, 2016,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March 31, 2016, the Company’s consolidated net senior secured leverage ratio was 3.4 times (versus the covenant of 6.5 times).</w:t>
      </w:r>
    </w:p>
    <w:p>
      <w:pPr>
        <w:spacing w:after="0" w:line="18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Senior Unsecured Notes due 2021</w:t>
      </w:r>
      <w:r>
        <w:rPr>
          <w:rFonts w:ascii="Arial" w:cs="Arial" w:eastAsia="Arial" w:hAnsi="Arial"/>
          <w:sz w:val="18"/>
          <w:szCs w:val="18"/>
          <w:color w:val="auto"/>
        </w:rPr>
        <w:t>—On July 5, 2011, the Company completed a private placement of $200.0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non-maintenance covenants with which the Company is in compliance as of March 31, 2016.</w:t>
      </w:r>
    </w:p>
    <w:p>
      <w:pPr>
        <w:spacing w:after="0" w:line="193"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July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non-maintenance covenants with which the Company was in compliance as of March 31, 2016.</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aggregate on its financial position, results of operations or cash flows.</w:t>
      </w:r>
    </w:p>
    <w:p>
      <w:pPr>
        <w:spacing w:after="0" w:line="170"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b w:val="1"/>
          <w:bCs w:val="1"/>
          <w:i w:val="1"/>
          <w:iCs w:val="1"/>
          <w:color w:val="auto"/>
        </w:rPr>
        <w:t>Minimum Revenue Guarantees</w:t>
      </w:r>
      <w:r>
        <w:rPr>
          <w:rFonts w:ascii="Arial" w:cs="Arial" w:eastAsia="Arial" w:hAnsi="Arial"/>
          <w:sz w:val="18"/>
          <w:szCs w:val="18"/>
          <w:color w:val="auto"/>
        </w:rPr>
        <w:t>―As part of the network affiliate agreements entered into in the ordinary course of business under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twenty years, prior to any renewal periods of which some are at the option of the Company. As of March 31, 2016, the maximum potential amount of future payments the Company could be required to make pursuant to the minimum revenue guarantees is $41.2 million over the remaining terms of the network affiliate agreements, which calculation does not include any potential future extensions. As of March 31, 2016 and December 31,</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2015, the Company had no liabilities recorded for these obligations, as such guarantees are less than the expected share of revenue paid to the network affiliate.</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right="12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—The Company regularly reviews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9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March 31, 2016</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3"/>
              </w:rPr>
              <w:t>December 31, 2015</w:t>
            </w:r>
          </w:p>
        </w:tc>
        <w:tc>
          <w:tcPr>
            <w:tcW w:w="8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260" w:type="dxa"/>
            <w:vAlign w:val="bottom"/>
            <w:shd w:val="clear" w:color="auto" w:fill="CFF0FC"/>
          </w:tcPr>
          <w:p>
            <w:pPr>
              <w:jc w:val="right"/>
              <w:ind w:right="11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FF0FC"/>
            </w:tcBorders>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FF0FC"/>
          </w:tcPr>
          <w:p>
            <w:pPr>
              <w:jc w:val="right"/>
              <w:ind w:right="110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20" w:hanging="553"/>
        <w:spacing w:after="0"/>
        <w:tabs>
          <w:tab w:leader="none" w:pos="20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jc w:val="both"/>
        <w:ind w:left="2020" w:right="120" w:hanging="553"/>
        <w:spacing w:after="0" w:line="255" w:lineRule="auto"/>
        <w:tabs>
          <w:tab w:leader="none" w:pos="20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-563880</wp:posOffset>
            </wp:positionV>
            <wp:extent cx="11322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70"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fair value of the investments has not been estimated as of March 31, 2016 and December 31, 2015 as there were no identified events or changes in the circumstances that had a significant adverse effect on the fair value of the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187"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As of March 31, 2016 and December 31, 2015, the Company had notes receivable totaling $16.7 million and $16.7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8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As of March 31, 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w w:val="94"/>
              </w:rPr>
              <w:t>As of December 31, 2015</w:t>
            </w:r>
          </w:p>
        </w:tc>
        <w:tc>
          <w:tcPr>
            <w:tcW w:w="60" w:type="dxa"/>
            <w:vAlign w:val="bottom"/>
          </w:tcPr>
          <w:p>
            <w:pPr>
              <w:spacing w:after="0"/>
              <w:rPr>
                <w:sz w:val="14"/>
                <w:szCs w:val="14"/>
                <w:color w:val="auto"/>
              </w:rPr>
            </w:pPr>
          </w:p>
        </w:tc>
      </w:tr>
      <w:tr>
        <w:trPr>
          <w:trHeight w:val="237"/>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Carrying Value</w:t>
            </w:r>
          </w:p>
        </w:tc>
        <w:tc>
          <w:tcPr>
            <w:tcW w:w="16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3"/>
        </w:trPr>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Senior Unsecured Notes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208.4</w:t>
            </w:r>
          </w:p>
        </w:tc>
        <w:tc>
          <w:tcPr>
            <w:tcW w:w="6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6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left="2260" w:right="140" w:hanging="550"/>
        <w:spacing w:after="0" w:line="264" w:lineRule="auto"/>
        <w:tabs>
          <w:tab w:leader="none" w:pos="2260" w:val="left"/>
        </w:tabs>
        <w:numPr>
          <w:ilvl w:val="1"/>
          <w:numId w:val="7"/>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366" w:lineRule="exact"/>
        <w:rPr>
          <w:rFonts w:ascii="Arial" w:cs="Arial" w:eastAsia="Arial" w:hAnsi="Arial"/>
          <w:sz w:val="18"/>
          <w:szCs w:val="18"/>
          <w:i w:val="1"/>
          <w:iCs w:val="1"/>
          <w:color w:val="auto"/>
        </w:rPr>
      </w:pPr>
    </w:p>
    <w:p>
      <w:pPr>
        <w:ind w:left="220" w:hanging="185"/>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-796925</wp:posOffset>
            </wp:positionV>
            <wp:extent cx="977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2012, the Company terminated interest rate swap agreements that were used to hedge its interest rate risk associated with its term</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loan. Following the termination of the swap agreements, the variable interest rate on the Company’s $270.0 million term loan is unhedged and as of March 31, 2016 and December 31, 2015, the Company did not have any outstanding derivative assets or liabilities.</w:t>
      </w:r>
    </w:p>
    <w:p>
      <w:pPr>
        <w:spacing w:after="0" w:line="184"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March 31, 2016, there were no amounts outstanding related to these discontinued cash flow hedges.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AOCI by component for the three months ended March 31, 2016 and April 2, 2015 were as follows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Statement Location</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March 31, 2016</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April 2, 2015</w:t>
            </w:r>
          </w:p>
        </w:tc>
        <w:tc>
          <w:tcPr>
            <w:tcW w:w="260" w:type="dxa"/>
            <w:vAlign w:val="bottom"/>
            <w:tcBorders>
              <w:bottom w:val="single" w:sz="8" w:color="CFF0FC"/>
            </w:tcBorders>
          </w:tcPr>
          <w:p>
            <w:pPr>
              <w:spacing w:after="0"/>
              <w:rPr>
                <w:sz w:val="13"/>
                <w:szCs w:val="13"/>
                <w:color w:val="auto"/>
              </w:rPr>
            </w:pPr>
          </w:p>
        </w:tc>
        <w:tc>
          <w:tcPr>
            <w:tcW w:w="2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w:t>
            </w:r>
          </w:p>
        </w:tc>
        <w:tc>
          <w:tcPr>
            <w:tcW w:w="2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Amounts reclassified from AOCI:</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on discontinued cash flow</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Amortization of terminated</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hedges</w:t>
            </w: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20"/>
                <w:szCs w:val="20"/>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derivatives</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amounts reclassified from AOCI</w:t>
            </w:r>
          </w:p>
        </w:tc>
        <w:tc>
          <w:tcPr>
            <w:tcW w:w="8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tcPr>
          <w:p>
            <w:pPr>
              <w:spacing w:after="0"/>
              <w:rPr>
                <w:sz w:val="19"/>
                <w:szCs w:val="19"/>
                <w:color w:val="auto"/>
              </w:rPr>
            </w:pPr>
          </w:p>
        </w:tc>
        <w:tc>
          <w:tcPr>
            <w:tcW w:w="20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other comprehensive income</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in our annual report on Form 10-K for the Company’s fiscal year ended December 31, 2015.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December 31,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 xml:space="preserve">We operate the largest digital in-theatre video advertising network in North America, through which we distributes national and local advertising that we have sold on theatre screens and video screens in theatre lobbies. We also sell theatre lobby promotions and online and mobile advertising that are displayed on our and other company websites and mobile sites and apps. Our revenue is principally derived from advertising distributed to our founding member theatres in accordance with long-term ESAs (approximately 21 years remaining as of March 31, 2016) and to network affiliates in accordance with multi-year agreements, which expire at various dates through July 22, 2031. The weighted average remaining term (based on attendance) of the ESAs and the network affiliate agreements is 18.6 years as of March 31, 2016. The ESAs with the founding members and network affiliate agreements grant us exclusive rights in their theatres to sell advertising, subject to limited exceptions. Our advertising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LEN programming are distributed predominantly via satellite through our proprietary DCN. Approximately 98% of the aggregate founding member and network affiliate theatre attendance is generated by theatres connected to our DCN (the remaining 554 screens receive advertisements on USB drives) and 100%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projected on digital projectors (90% digital cinema projectors and 10% LCD projectors).</w:t>
      </w:r>
    </w:p>
    <w:p>
      <w:pPr>
        <w:spacing w:after="0" w:line="178"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in “Notes to the Selected Historical Financial and Operating Data” above, as some of our primary measurement metrics. In addition, we monitor our monthly advertising performance measurements, including advertising inventory utilization, national and local/regional advertising pricing (CPM), local/regional advertising rate per screen per week, local/regional and total advertising revenue per attendee, as well as, our free cash flow, dividend coverage ratio, financial leverage (net debt divided by Adjusted OIBDA) and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20" w:firstLine="555"/>
        <w:spacing w:after="0" w:line="274" w:lineRule="auto"/>
        <w:rPr>
          <w:sz w:val="20"/>
          <w:szCs w:val="20"/>
          <w:color w:val="auto"/>
        </w:rPr>
      </w:pPr>
      <w:r>
        <w:rPr>
          <w:rFonts w:ascii="Arial" w:cs="Arial" w:eastAsia="Arial" w:hAnsi="Arial"/>
          <w:sz w:val="17"/>
          <w:szCs w:val="17"/>
          <w:color w:val="auto"/>
        </w:rPr>
        <w:t>On May 5, 2014, NCM, Inc. entered into the Merger Agreement to merge with Screenvision. On November 3, 2014, the Department of Justice filed a lawsuit seeking to enjoin the merger. On March 16, 2015, NCM, Inc. announced the termination of the Merger Agreement and the lawsuit was</w:t>
      </w:r>
    </w:p>
    <w:p>
      <w:pPr>
        <w:ind w:right="180"/>
        <w:spacing w:after="0" w:line="288" w:lineRule="auto"/>
        <w:rPr>
          <w:sz w:val="20"/>
          <w:szCs w:val="20"/>
          <w:color w:val="auto"/>
        </w:rPr>
      </w:pPr>
      <w:r>
        <w:rPr>
          <w:rFonts w:ascii="Arial" w:cs="Arial" w:eastAsia="Arial" w:hAnsi="Arial"/>
          <w:sz w:val="16"/>
          <w:szCs w:val="16"/>
          <w:color w:val="auto"/>
        </w:rPr>
        <w:t>dismissed.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This payment was $2 million lower than the reverse termination fee contemplated by the Merger Agreement. During the three months ended April 2, 2015, the Company also either paid directly or reimbursed NCM, Inc. for the legal and other merger-related costs of approximately $14.1 million ($7.5 million incurred by NCM, Inc. during the year ended January 1, 2015 and approximately $6.6 million incurred by NCM LLC during the three months ended April 2, 2015). NCM, Inc. and the founding members each bore a pro rata portion of the termination fee and the related merger expenses based on their aggregate ownership percentages in NCM LLC when the expenses were incurred.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right="620" w:firstLine="555"/>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2, 2016 for the Company’s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8"/>
              </w:rPr>
              <w:t>March 31, 2016</w:t>
            </w:r>
          </w:p>
        </w:tc>
        <w:tc>
          <w:tcPr>
            <w:tcW w:w="34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April 2, 2015</w:t>
            </w:r>
          </w:p>
        </w:tc>
        <w:tc>
          <w:tcPr>
            <w:tcW w:w="340" w:type="dxa"/>
            <w:vAlign w:val="bottom"/>
            <w:vMerge w:val="restart"/>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Q1 2016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2015</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Network, administrative and unallocated costs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(1)</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34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Non-operating expenses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(38.7)</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Adjusted OIBDA</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Adjusted OIBDA margin</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36.0%</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161.4</w:t>
            </w:r>
          </w:p>
        </w:tc>
        <w:tc>
          <w:tcPr>
            <w:tcW w:w="34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37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 w:lineRule="exact"/>
        <w:rPr>
          <w:sz w:val="20"/>
          <w:szCs w:val="20"/>
          <w:color w:val="auto"/>
        </w:rPr>
      </w:pPr>
    </w:p>
    <w:p>
      <w:pPr>
        <w:ind w:left="560" w:right="740" w:hanging="552"/>
        <w:spacing w:after="0" w:line="250" w:lineRule="auto"/>
        <w:tabs>
          <w:tab w:leader="none" w:pos="5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560" w:right="240" w:hanging="552"/>
        <w:spacing w:after="0" w:line="261" w:lineRule="auto"/>
        <w:tabs>
          <w:tab w:leader="none" w:pos="5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Rave and Cinemark Rave theatres that are currently part of another cinema advertising network for all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555"/>
        <w:spacing w:after="0" w:line="267" w:lineRule="auto"/>
        <w:rPr>
          <w:sz w:val="20"/>
          <w:szCs w:val="20"/>
          <w:color w:val="auto"/>
        </w:rPr>
      </w:pPr>
      <w:r>
        <w:rPr>
          <w:rFonts w:ascii="Arial" w:cs="Arial" w:eastAsia="Arial" w:hAnsi="Arial"/>
          <w:sz w:val="17"/>
          <w:szCs w:val="17"/>
          <w:color w:val="auto"/>
        </w:rPr>
        <w:t>Operating Income Before Depreciation and Amortization (“OIBDA”), Adjusted OIBDA and Adjusted OIBDA margin are not financial measures calculated in accordance with GAAP in the United States. OIBDA represents net income (loss) plus income tax expense, interest and other costs and depreciation and amortization expense. Adjusted OIBDA excludes from OIBDA non-cash share based compensation costs, the merger termination fee and related merger costs and Chief Executive Officer transition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terminated merger with Screenvision, or costs associated with the resignation of the company’s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(loss)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left="560"/>
        <w:spacing w:after="0"/>
        <w:rPr>
          <w:sz w:val="20"/>
          <w:szCs w:val="20"/>
          <w:color w:val="auto"/>
        </w:rPr>
      </w:pPr>
      <w:r>
        <w:rPr>
          <w:rFonts w:ascii="Arial" w:cs="Arial" w:eastAsia="Arial" w:hAnsi="Arial"/>
          <w:sz w:val="18"/>
          <w:szCs w:val="18"/>
          <w:color w:val="auto"/>
        </w:rPr>
        <w:t>The following table reconciles net loss to OIBDA and Adjusted OIBDA for the periods presented (dollars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March 31, 2016</w:t>
            </w:r>
          </w:p>
        </w:tc>
        <w:tc>
          <w:tcPr>
            <w:tcW w:w="2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April 2, 2015</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non-operating costs</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OIBDA</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(2)</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Adjusted OIBDA</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Adjusted OIBDA margin</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120" w:right="240" w:hanging="558"/>
        <w:spacing w:after="0" w:line="286" w:lineRule="auto"/>
        <w:tabs>
          <w:tab w:leader="none" w:pos="1120"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$2.9 million and $1.7 million for the three months ended March 31, 2016 and April 2, 2015, respectively.</w:t>
      </w:r>
    </w:p>
    <w:p>
      <w:pPr>
        <w:spacing w:after="0" w:line="1" w:lineRule="exact"/>
        <w:rPr>
          <w:rFonts w:ascii="Arial" w:cs="Arial" w:eastAsia="Arial" w:hAnsi="Arial"/>
          <w:sz w:val="16"/>
          <w:szCs w:val="16"/>
          <w:i w:val="1"/>
          <w:iCs w:val="1"/>
          <w:color w:val="auto"/>
        </w:rPr>
      </w:pPr>
    </w:p>
    <w:p>
      <w:pPr>
        <w:ind w:left="1120" w:right="160" w:hanging="558"/>
        <w:spacing w:after="0" w:line="250" w:lineRule="auto"/>
        <w:tabs>
          <w:tab w:leader="none" w:pos="112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1120" w:right="400" w:hanging="558"/>
        <w:spacing w:after="0" w:line="261" w:lineRule="auto"/>
        <w:tabs>
          <w:tab w:leader="none" w:pos="112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other costs and are primarily included in administrative fee – managing member in the accompanying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-1116965</wp:posOffset>
            </wp:positionV>
            <wp:extent cx="17151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64"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Company has also presented total operating expenses before the merger termination fee and related merger costs within its results of operations section below which is not a financial measure calculated in accordance with GAAP in the United States. Operating expenses before the merger termination fee and related merger costs represent operating costs less costs associated with the terminated Screenvision merger. This non-GAAP financial measure is used to provide readers a comparison of our 2016 results to our 2015 results without including the impact of the nonrecurring merger termination fee and related merger costs. The Company believes this is an important supplemental measure because it eliminates these nonrecurring costs to highlight trends in its ongoing business that may not otherwise be apparent when relying solely on GAAP financial measures. Operating expenses 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results of operations data for the three months ended March 31, 2016 and April 2, 2015 was derived from the unaudited Condensed Financial Statements and accounting records of NCM LLC and should be read in conjunction with the notes thereto.</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and April 2, 2015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decreased 0.9%, from $76.9 million for the three months ended April 2, 2015 to $76.2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The following is a summary of revenue by category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8"/>
              <w:spacing w:after="0" w:line="133"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8"/>
              <w:spacing w:after="0" w:line="133" w:lineRule="exact"/>
              <w:rPr>
                <w:sz w:val="20"/>
                <w:szCs w:val="20"/>
                <w:color w:val="auto"/>
              </w:rPr>
            </w:pPr>
            <w:r>
              <w:rPr>
                <w:rFonts w:ascii="Arial" w:cs="Arial" w:eastAsia="Arial" w:hAnsi="Arial"/>
                <w:sz w:val="14"/>
                <w:szCs w:val="14"/>
                <w:b w:val="1"/>
                <w:bCs w:val="1"/>
                <w:color w:val="auto"/>
                <w:w w:val="93"/>
              </w:rPr>
              <w:t>Q1 2016 to</w:t>
            </w:r>
          </w:p>
        </w:tc>
        <w:tc>
          <w:tcPr>
            <w:tcW w:w="22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Q1 2015</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concessionaire agreements</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data on theatre attendance and revenue per attendee for the three months ended March 31, 2016 and April 2, 2015:</w:t>
      </w:r>
    </w:p>
    <w:p>
      <w:pPr>
        <w:spacing w:after="0" w:line="30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37"/>
              <w:spacing w:after="0" w:line="133"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55"/>
              <w:spacing w:after="0" w:line="133"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Q1 2016 to</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4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2015</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0.314</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0.109</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0.116</w:t>
            </w:r>
          </w:p>
        </w:tc>
        <w:tc>
          <w:tcPr>
            <w:tcW w:w="2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5"/>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0.400</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0.429</w:t>
            </w: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0.442</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0.476</w:t>
            </w:r>
          </w:p>
        </w:tc>
        <w:tc>
          <w:tcPr>
            <w:tcW w:w="2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w:t>
            </w:r>
          </w:p>
        </w:tc>
      </w:tr>
    </w:tbl>
    <w:p>
      <w:pPr>
        <w:spacing w:after="0" w:line="134" w:lineRule="exact"/>
        <w:rPr>
          <w:sz w:val="20"/>
          <w:szCs w:val="20"/>
          <w:color w:val="auto"/>
        </w:rPr>
      </w:pPr>
    </w:p>
    <w:p>
      <w:pPr>
        <w:ind w:left="1380" w:right="160" w:hanging="562"/>
        <w:spacing w:after="0" w:line="308" w:lineRule="auto"/>
        <w:tabs>
          <w:tab w:leader="none" w:pos="1380" w:val="left"/>
        </w:tabs>
        <w:numPr>
          <w:ilvl w:val="0"/>
          <w:numId w:val="11"/>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Rave and Cinemark Rave theatres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-317500</wp:posOffset>
            </wp:positionV>
            <wp:extent cx="15519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8"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$0.4 million, or 0.8%, decrease in national advertising revenue (excluding beverage revenue from NCM LLC’s founding members) was due primarily to a 13.4% decrease in impressions sold in the first quarter of 2016, compared to the first quarter of 2015, partially offset by an 7.7% increase in national advertising CPMs (excluding beverage) in the first quarter of 2016, compared to the first quarter of 2015 and a $2.5 million increase in branded content revenue that is not included in the inventory measured by impression sold or CPMs, in the first quarter of 2016, compared to the first quarter of 2015. The decrease in impressions sold was driven by a decrease in national inventory utilization, which declined from 99.9% for the first quarter of 2015 to 81.3% for the first quarter of 2016 on a 6.8% increase in network attendance. Utilization decreased due primarily to lower content partner spending during the first quarter of 2016, compared to the first quarter of 2015. Inventory utilization is calculated as utilized impressions divided by total advertising impressions, which is based on eleven 30-second salable national advertising units in our pre-show, which can be expanded, should market demand dictate. The increase in national advertising CPMs was due primarily to a change in the mix of advertising clients and more revenue from the scatter market during the first quarter of 2016, which has a higher CPM compared to revenue from upfront commitments.</w:t>
      </w:r>
    </w:p>
    <w:p>
      <w:pPr>
        <w:spacing w:after="0" w:line="75" w:lineRule="exact"/>
        <w:rPr>
          <w:sz w:val="20"/>
          <w:szCs w:val="20"/>
          <w:color w:val="auto"/>
        </w:rPr>
      </w:pPr>
    </w:p>
    <w:p>
      <w:pPr>
        <w:jc w:val="both"/>
        <w:ind w:left="560" w:right="6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$0.1 million, or 0.5%, increase in local advertising revenue was primarily driven by an 8.6% increase in total contract volume, nearly offset by an 8.5% decrease in average contract value compared to the first quarter of 2015. The increase in total contract volume was due to expansion of our sales force and diversification of our client base and the decrease in average contract value was driven by lower average contract value for contracts above $10,000.</w:t>
      </w:r>
    </w:p>
    <w:p>
      <w:pPr>
        <w:spacing w:after="0" w:line="79" w:lineRule="exact"/>
        <w:rPr>
          <w:sz w:val="20"/>
          <w:szCs w:val="20"/>
          <w:color w:val="auto"/>
        </w:rPr>
      </w:pPr>
    </w:p>
    <w:p>
      <w:pPr>
        <w:ind w:left="560" w:right="320"/>
        <w:spacing w:after="0" w:line="255"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$0.4 million, or 5.3%, decrease in national advertising revenue from NCM LLC’s founding members’ beverage concessionaire agreements was due to one of NCM LLC’s founding members reducing the length of its beverage advertising unit by 30 seconds beginning July 1, 2015. The decrease in beverage revenue attributable to this time reduction was approximately $1.5 million and was partially offset by an 8.9% increase in founding member attendance and a 5.7% increase in beverage revenue CPMs in the first quarter of 2016, compared to the first quarter of 2015. The 2016 beverage revenue CPM is based on the change in CPM during segment one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from 2014 to 2015, which increased 5.7%.</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2" w:name="page23"/>
    <w:bookmarkEnd w:id="22"/>
    <w:p>
      <w:pPr>
        <w:ind w:right="2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30.4%, from $101.1 million for the three months ended April 2, 2015 to $70.4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2016. The following table shows the changes in operating expense for the three months ended March 31, 2016 and April 2,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4"/>
              <w:spacing w:after="0" w:line="133"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13"/>
              <w:spacing w:after="0" w:line="133"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4"/>
              <w:spacing w:after="0" w:line="133" w:lineRule="exact"/>
              <w:rPr>
                <w:sz w:val="20"/>
                <w:szCs w:val="20"/>
                <w:color w:val="auto"/>
              </w:rPr>
            </w:pPr>
            <w:r>
              <w:rPr>
                <w:rFonts w:ascii="Arial" w:cs="Arial" w:eastAsia="Arial" w:hAnsi="Arial"/>
                <w:sz w:val="14"/>
                <w:szCs w:val="14"/>
                <w:b w:val="1"/>
                <w:bCs w:val="1"/>
                <w:color w:val="auto"/>
                <w:w w:val="93"/>
              </w:rPr>
              <w:t>Q1 2016 to</w:t>
            </w:r>
          </w:p>
        </w:tc>
        <w:tc>
          <w:tcPr>
            <w:tcW w:w="22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Q1 2015</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Network costs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4360" w:type="dxa"/>
            <w:vAlign w:val="bottom"/>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(40.9)</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8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$0.8 million, or 13.8%, from $5.8 million for the first quarter of 2015 to $5.0 million for the first quarter of 2016. This decrease was primarily the result of a $0.4 million decrease in affiliate advertising payments and a $0.3 million decrease in onscreen production costs related to lower onscreen production revenue. The decrease in affiliate advertising payments was primarily driven by a 5.3%, or 192 screen decrease in the number of average affiliate screens for the first quarter of 2016, compared to the first quarter of 2015 due primarily to an acquisition of a network affiliate by a founding member whereby we are now receiving theatre access fees as discussed further below.</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remained at $4.5 million for the first quarter of 2015 and the first quarter of 2016.</w:t>
      </w:r>
    </w:p>
    <w:p>
      <w:pPr>
        <w:spacing w:after="0" w:line="117"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u w:val="single" w:color="auto"/>
          <w:color w:val="auto"/>
        </w:rPr>
        <w:t>Theatre access fees—founding members.</w:t>
      </w:r>
      <w:r>
        <w:rPr>
          <w:rFonts w:ascii="Arial" w:cs="Arial" w:eastAsia="Arial" w:hAnsi="Arial"/>
          <w:sz w:val="17"/>
          <w:szCs w:val="17"/>
          <w:color w:val="auto"/>
        </w:rPr>
        <w:t xml:space="preserve"> Theatre access fees increased $1.5 million, or 8.7%, from $17.2 million for the first quarter of 2015 to $18.7 million for the first quarter of 2016. The increase was due to a $0.8 million increase in the fee associated with the number of founding member digital screens that are connected to the DCN, including higher quality digital cinema projectors and related equipment and a $0.7 million increase in the fee associated with founding member attendance. The $0.8 million increase in digital screen fees rose $0.4 million related to an annual 5% rate increase specified in the ESAs and $0.4 million from an increase in the number of founding member screens equipped with the higher quality digital cinema equipment. The theatre access fees based upon attendance increased $0.7 million due to an 8.9% increase in founding member attendance during the first quarter of 2016, compared to the first quarter of 2015. This increase in founding member attendance included attendance related to a network affiliate that was acquired by a founding member in December 2015.</w:t>
      </w:r>
    </w:p>
    <w:p>
      <w:pPr>
        <w:spacing w:after="0" w:line="71" w:lineRule="exact"/>
        <w:rPr>
          <w:sz w:val="20"/>
          <w:szCs w:val="20"/>
          <w:color w:val="auto"/>
        </w:rPr>
      </w:pPr>
    </w:p>
    <w:p>
      <w:pPr>
        <w:ind w:left="560" w:right="20"/>
        <w:spacing w:after="0" w:line="297"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$2.6 million, or 16.3%, from $16.0 million for the first quarter of 2015 to $18.6 million for the first quarter of 2016. This increase was primarily due to an increase of $1.0 million in personnel related expenses due primarily to higher salaries, payroll taxes and non-cash share-based compensation expense related to better performance against targets compared to 2015. Selling and marketing costs also increased due to an increase of $0.3 million in non-cash barter expense, $0.3 million in certain marketing expenses and $0.2 million in online publisher expense related to higher online and mobile revenue during the first quarter of 2016, compared to the first quarter of 2015.</w:t>
      </w:r>
    </w:p>
    <w:p>
      <w:pPr>
        <w:spacing w:after="0" w:line="50" w:lineRule="exact"/>
        <w:rPr>
          <w:sz w:val="20"/>
          <w:szCs w:val="20"/>
          <w:color w:val="auto"/>
        </w:rPr>
      </w:pPr>
    </w:p>
    <w:p>
      <w:pPr>
        <w:ind w:left="560" w:right="10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$0.4 million, or 7.3%, from $5.5 million for the first quarter of 2015 to $5.9 million for the first quarter of 2016 due primarily to a $0.2 million increase personnel related expenses primarily from higher non-cash share-based compensation expense related to better performance against targets compared to 2015.</w:t>
      </w:r>
    </w:p>
    <w:p>
      <w:pPr>
        <w:spacing w:after="0" w:line="73" w:lineRule="exact"/>
        <w:rPr>
          <w:sz w:val="20"/>
          <w:szCs w:val="20"/>
          <w:color w:val="auto"/>
        </w:rPr>
      </w:pPr>
    </w:p>
    <w:p>
      <w:pPr>
        <w:ind w:left="560" w:right="140"/>
        <w:spacing w:after="0" w:line="297" w:lineRule="auto"/>
        <w:rPr>
          <w:sz w:val="20"/>
          <w:szCs w:val="20"/>
          <w:color w:val="auto"/>
        </w:rPr>
      </w:pPr>
      <w:r>
        <w:rPr>
          <w:rFonts w:ascii="Arial" w:cs="Arial" w:eastAsia="Arial" w:hAnsi="Arial"/>
          <w:sz w:val="16"/>
          <w:szCs w:val="16"/>
          <w:u w:val="single" w:color="auto"/>
          <w:color w:val="auto"/>
        </w:rPr>
        <w:t>Administrative fee – managing member.</w:t>
      </w:r>
      <w:r>
        <w:rPr>
          <w:rFonts w:ascii="Arial" w:cs="Arial" w:eastAsia="Arial" w:hAnsi="Arial"/>
          <w:sz w:val="16"/>
          <w:szCs w:val="16"/>
          <w:color w:val="auto"/>
        </w:rPr>
        <w:t xml:space="preserve"> Administrative fee-managing member increased $5.8 million or 181.3% from $3.2 million for the first quarter of 2015 to $9.0 million for the first quarter of 2016 primarily to $2.9 million of CEO transition costs, which consisted primarily of severance and consulting costs to our former CEO and $2.3 million non-cash share-based compensation expense associated with modifying equity awards pursuant to agreements with our former CEO. Amounts recorded are based on the terms of the management services agreement which states NCM LLC pays NCM, Inc. service fees which are equal to the cost of NCM, Inc. employees and any reimbursable costs incurred by NCM, Inc.</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jc w:val="both"/>
        <w:ind w:left="560" w:right="20"/>
        <w:spacing w:after="0" w:line="31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$0.7 million, or 8.7%, from $8.0 million for the first quarter of 2015 to $8.7 million for the first quarter of 2016. The increase was due to an increase in amortization expense of intangible assets related primarily to NCM LLC founding member common unit adjustments, partially offset by lower depreciation expense as assets became fully depreciated.</w:t>
      </w:r>
    </w:p>
    <w:p>
      <w:pPr>
        <w:spacing w:after="0" w:line="39" w:lineRule="exact"/>
        <w:rPr>
          <w:sz w:val="20"/>
          <w:szCs w:val="20"/>
          <w:color w:val="auto"/>
        </w:rPr>
      </w:pPr>
    </w:p>
    <w:p>
      <w:pPr>
        <w:ind w:left="560" w:right="120"/>
        <w:spacing w:after="0" w:line="264"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decreased $40.9 million, or 100%, from $40.9 million for the first quarter of 2015, compared to $0 for the first quarter of 2016, as the merger with Screenvision was terminated during the first quarter of 2015.</w:t>
      </w:r>
    </w:p>
    <w:p>
      <w:pPr>
        <w:spacing w:after="0" w:line="200" w:lineRule="exact"/>
        <w:rPr>
          <w:sz w:val="20"/>
          <w:szCs w:val="20"/>
          <w:color w:val="auto"/>
        </w:rPr>
      </w:pPr>
    </w:p>
    <w:p>
      <w:pPr>
        <w:spacing w:after="0" w:line="305"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$1.3 million, or 9.0%, from $14.5 million for the three months ended April 2, 2016</w:t>
      </w:r>
      <w:r>
        <w:rPr>
          <w:rFonts w:ascii="Arial" w:cs="Arial" w:eastAsia="Arial" w:hAnsi="Arial"/>
          <w:sz w:val="18"/>
          <w:szCs w:val="18"/>
          <w:i w:val="1"/>
          <w:iCs w:val="1"/>
          <w:color w:val="auto"/>
        </w:rPr>
        <w:t xml:space="preserve"> </w:t>
      </w:r>
      <w:r>
        <w:rPr>
          <w:rFonts w:ascii="Arial" w:cs="Arial" w:eastAsia="Arial" w:hAnsi="Arial"/>
          <w:sz w:val="18"/>
          <w:szCs w:val="18"/>
          <w:color w:val="auto"/>
        </w:rPr>
        <w:t>to $13.2 million for the three months ended March 31, 2016. The following table shows the changes in non-operating expense for the three months ended March 31, 2016 and April 2,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March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15"/>
              <w:spacing w:after="0" w:line="133" w:lineRule="exact"/>
              <w:rPr>
                <w:sz w:val="20"/>
                <w:szCs w:val="20"/>
                <w:color w:val="auto"/>
              </w:rPr>
            </w:pPr>
            <w:r>
              <w:rPr>
                <w:rFonts w:ascii="Arial" w:cs="Arial" w:eastAsia="Arial" w:hAnsi="Arial"/>
                <w:sz w:val="14"/>
                <w:szCs w:val="14"/>
                <w:b w:val="1"/>
                <w:bCs w:val="1"/>
                <w:color w:val="auto"/>
              </w:rPr>
              <w:t>April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Q1 2016 to</w:t>
            </w:r>
          </w:p>
        </w:tc>
        <w:tc>
          <w:tcPr>
            <w:tcW w:w="22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Q1 2015</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terminated derivatives</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2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decrease in non-operating expense was due primarily to a $1.6 million decrease in the amortization of terminated derivatives as the amortization period ended in February 2015.</w:t>
      </w:r>
    </w:p>
    <w:p>
      <w:pPr>
        <w:spacing w:after="0" w:line="170"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decreased $31.2 million from $38.7 million for the three months ended April 2, 2015 to $7.5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2016. The decrease in net loss was primarily due to a decrease in operating loss of $30.0 million and a decrease in non-operating expense of $1.3 million, as described further above, partially offset by a $0.1 increase in income tax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Changes in the current macro-economic environment and changes in the national, regional and local advertising markets, including increased competition related to the expansion of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increase in salable advertising impressions and better geographic coverage related to the expansion of our network, diversification and growth of our advertising client base and improvements in the technical quality of our network and upgrades to our inventory management and data management systems that allow us to better target theatre audiences and provide more robust analytics to our clients. We could also benefit if the effectiveness of cinema advertising improves relative to other advertising mediums if consumer viewing habits shift to smaller less effective mobile devices and television ratings decline and it becomes less effective as a marketing platform due to the time-shifting of programming and related ad-skipping associated with the increasing use of DVRs by consumers and as programming shifts to online video platforms. The impact of these consumer and media market trends appear to have had a favorable impact on our level of national upfront bookings. In the upfront market, advertisers buy advertising time for the upcoming year, and by committing to purchase in advance, lock in inventory placement and the advertising rates they will pay for the upcoming year. In the scatter market, advertisers buy advertising closer to the scheduled run time. We believe that over time, this shift toward more upfront commitments, allows us to bundle several client flights throughout the year in an effort to stabilize month-to-month and quarter-to-quarter CPM volatility by increasing overall inventory utilization and balancing that utilization throughout the year. We believe this greater pricing and placement flexibility has helped to increase our share of video advertising spending by increasing the number of clients and client industries that buy our network.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and we would need to rely on the scatter market to replace those commitments.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ind w:left="560"/>
        <w:spacing w:after="0"/>
        <w:rPr>
          <w:sz w:val="20"/>
          <w:szCs w:val="20"/>
          <w:color w:val="auto"/>
        </w:rPr>
      </w:pPr>
      <w:r>
        <w:rPr>
          <w:rFonts w:ascii="Arial" w:cs="Arial" w:eastAsia="Arial" w:hAnsi="Arial"/>
          <w:sz w:val="18"/>
          <w:szCs w:val="18"/>
          <w:color w:val="auto"/>
        </w:rPr>
        <w:t>The change in the number of screens in our network during the three months ended March 31, 2016 were as follows.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 of screens</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100" w:type="dxa"/>
            <w:vAlign w:val="bottom"/>
          </w:tcPr>
          <w:p>
            <w:pPr>
              <w:spacing w:after="0"/>
              <w:rPr>
                <w:sz w:val="11"/>
                <w:szCs w:val="11"/>
                <w:color w:val="auto"/>
              </w:rPr>
            </w:pPr>
          </w:p>
        </w:tc>
        <w:tc>
          <w:tcPr>
            <w:tcW w:w="144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Founding</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Network Affiliates</w:t>
            </w: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Members</w:t>
            </w:r>
          </w:p>
        </w:tc>
        <w:tc>
          <w:tcPr>
            <w:tcW w:w="14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16,981</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New affiliates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openings/closures</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Balance as of March 31, 2016</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16,892</w:t>
            </w:r>
          </w:p>
        </w:tc>
        <w:tc>
          <w:tcPr>
            <w:tcW w:w="2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We expect the expansion of our network and additional attendees to provide our advertising clients with a better marketing product with increased reach (more advertising impressions) and improved geographic coverage. During 2016, we also plan to offer our advertising clients better audience targeting capabilities and more robust campaign data analytics that are expected to assist with our strategy to provide a better product offering to advertisers and thus expand our overall national client base. We also believe that the continued growth of our market coverage and overall number of impressions will strengthen our selling proposition and competitive positioning against other national, regional and local video advertising platforms, including television, online and mobile video platforms and other out of home video advertising platforms.</w:t>
      </w:r>
    </w:p>
    <w:p>
      <w:pPr>
        <w:spacing w:after="0" w:line="178"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In 2014, we experienced a decline of 16.4%, in national advertising CPMs (excluding beverage revenue) compared to the prior period due primarily to the increased competition from other national video networks, including online and mobile advertising platforms, television networks and other out-of-home video networks and the implementation of more aggressive seasonal and volume pricing strategies that contributed to the expansion of our inventory utilization related to the addition of new client categories that traditionally buy their television advertising at lower CPMs. After adjusting our pricing through 2014 to be more attractive to a broader number of potential clients, compete more effectively with various forms of premium video advertising and reflect seasonal marketplace supply and demand characteristics, during 2015 and the first quarter of 2016, we experienced an increase year over year of 6.7% and</w:t>
      </w:r>
    </w:p>
    <w:p>
      <w:pPr>
        <w:spacing w:after="0" w:line="5"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7.7%, respectively, in national advertising CPMs (excluding beverage revenue). Volatility in quarterly national CPMs combined with an increase in national inventory utilization reflects the success of our upfront inventory packaging strategy that created multi-flight campaigns for clients that were priced based on lower market demand in select weeks throughout the year that generally coincided with fewer large films and lower overall theatre attendance. As a result of this new packaging strategy and more dynamic upfront and scatter pricing that is responsive to week-to-week market demand and inventory availability, we expect our national advertising CPMs (excluding beverage) to continue to be higher during higher market demand periods and lower during periods of lower market demand where we have greater amounts of unsold inventory.</w:t>
      </w:r>
    </w:p>
    <w:p>
      <w:pPr>
        <w:spacing w:after="0" w:line="179" w:lineRule="exact"/>
        <w:rPr>
          <w:sz w:val="20"/>
          <w:szCs w:val="20"/>
          <w:color w:val="auto"/>
        </w:rPr>
      </w:pPr>
    </w:p>
    <w:p>
      <w:pPr>
        <w:ind w:right="60" w:firstLine="555"/>
        <w:spacing w:after="0" w:line="289"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our founding members to satisfy their on-screen advertising commitments under their beverage concessionaire agreements. During the first six months of 2015, we sold 60 seconds to our founding members. Beginning July 1, 2015, one of our founding members reduced their beverage advertising from 60 seconds to 30 seconds. We have the right to sell the remaining 30 second unit to other clients. The other founding members’ current long-term contracts with their beverage suppliers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limited to the highest advertising CPM being then-charged by us. Due to a 5.7% increase in segment one CPMs in 2015, the CPM on</w:t>
      </w:r>
      <w:r>
        <w:rPr>
          <w:rFonts w:ascii="Arial" w:cs="Arial" w:eastAsia="Arial" w:hAnsi="Arial"/>
          <w:sz w:val="16"/>
          <w:szCs w:val="16"/>
          <w:i w:val="1"/>
          <w:iCs w:val="1"/>
          <w:color w:val="auto"/>
        </w:rPr>
        <w:t xml:space="preserve"> </w:t>
      </w:r>
      <w:r>
        <w:rPr>
          <w:rFonts w:ascii="Arial" w:cs="Arial" w:eastAsia="Arial" w:hAnsi="Arial"/>
          <w:sz w:val="16"/>
          <w:szCs w:val="16"/>
          <w:color w:val="auto"/>
        </w:rPr>
        <w:t>our beverage concessionaire revenue increased during the first quarter of 2016 by 5.7% and the remainder of 2016 will decline by an equivalent percentage.</w:t>
      </w:r>
    </w:p>
    <w:p>
      <w:pPr>
        <w:spacing w:after="0" w:line="167" w:lineRule="exact"/>
        <w:rPr>
          <w:sz w:val="20"/>
          <w:szCs w:val="20"/>
          <w:color w:val="auto"/>
        </w:rPr>
      </w:pPr>
    </w:p>
    <w:p>
      <w:pPr>
        <w:ind w:right="140" w:firstLine="555"/>
        <w:spacing w:after="0" w:line="270" w:lineRule="auto"/>
        <w:rPr>
          <w:sz w:val="20"/>
          <w:szCs w:val="20"/>
          <w:color w:val="auto"/>
        </w:rPr>
      </w:pPr>
      <w:r>
        <w:rPr>
          <w:rFonts w:ascii="Arial" w:cs="Arial" w:eastAsia="Arial" w:hAnsi="Arial"/>
          <w:sz w:val="17"/>
          <w:szCs w:val="17"/>
          <w:color w:val="auto"/>
        </w:rPr>
        <w:t>In consideration for our access to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(connected to the DCN). The payment per theatre patron increases by 8% every five years, with the next increase taking effect for fiscal year 2017, and the payment per digital screen increases annually by 5%. The theatre access fee paid in the aggregate to all founding members cannot be less than 12% of our aggregate advertising revenue (as defined in the ESA), or it will be adjusted upward to reach this minimum payment. Pursuant to ESAs,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March 31, 2016, 98% of our founding member network screens were showing advertising on digital cinema projectors, and thus the future impact on the theatre access fee related to additional digital cinema installations within existing founding member theatres is expected to be minimal.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firstLine="555"/>
        <w:spacing w:after="0" w:line="254" w:lineRule="auto"/>
        <w:rPr>
          <w:sz w:val="20"/>
          <w:szCs w:val="20"/>
          <w:color w:val="auto"/>
        </w:rPr>
      </w:pPr>
      <w:r>
        <w:rPr>
          <w:rFonts w:ascii="Arial" w:cs="Arial" w:eastAsia="Arial" w:hAnsi="Arial"/>
          <w:sz w:val="18"/>
          <w:szCs w:val="18"/>
          <w:color w:val="auto"/>
        </w:rPr>
        <w:t xml:space="preserve">During 2015, we reduced the length of our content partner entertainment programming segments from two and one-half minutes to two minutes in content partner agreements representing about 50%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impressions. During 2016, we are reducing the remaining segments such that all of our content partner agreements will provide for two minute entertainment content segments. The reduction in the length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content partner entertainment segments from two and one-half minutes to two minutes provided two additional 30-second national units and one additional local or regional advertising unit for us to sell across approximately 50% of our network impressions in 2015 and will provide for these additional segments across 100% of our network impressions in 2016. Because there is no reduction in our revenue from reducing these content segments, this will provide additional salable national, local and regional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inventory that could allow us to increase our future advertising revenue provided that there is adequate market demand.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During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financing transactions, we extended the average maturities of our debt and as of March 31, 2016 the weighted average remaining maturity is</w:t>
      </w:r>
    </w:p>
    <w:p>
      <w:pPr>
        <w:ind w:right="100"/>
        <w:spacing w:after="0" w:line="254" w:lineRule="auto"/>
        <w:rPr>
          <w:sz w:val="20"/>
          <w:szCs w:val="20"/>
          <w:color w:val="auto"/>
        </w:rPr>
      </w:pPr>
      <w:r>
        <w:rPr>
          <w:rFonts w:ascii="Arial" w:cs="Arial" w:eastAsia="Arial" w:hAnsi="Arial"/>
          <w:sz w:val="18"/>
          <w:szCs w:val="18"/>
          <w:color w:val="auto"/>
        </w:rPr>
        <w:t>5.0 years. As of March 31, 2016, approximately 63% of our total borrowings bear interest at fixed rates. The remaining 37% of our borrowings bear interest at variable rates and as such, our net income could fluctuate with market interest rate fluctuations that could increase the interest paid on our borrowings. Refer to Note 4—</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the unaudited Condensed Financial Statements in Item 1 of this Form 10-Q for more information regarding the Company’s borrowings.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Related to Ownership</w:t>
      </w:r>
    </w:p>
    <w:p>
      <w:pPr>
        <w:spacing w:after="0" w:line="229" w:lineRule="exact"/>
        <w:rPr>
          <w:sz w:val="20"/>
          <w:szCs w:val="20"/>
          <w:color w:val="auto"/>
        </w:rPr>
      </w:pPr>
    </w:p>
    <w:p>
      <w:pPr>
        <w:jc w:val="both"/>
        <w:ind w:right="180" w:firstLine="555"/>
        <w:spacing w:after="0" w:line="297" w:lineRule="auto"/>
        <w:rPr>
          <w:sz w:val="20"/>
          <w:szCs w:val="20"/>
          <w:color w:val="auto"/>
        </w:rPr>
      </w:pPr>
      <w:r>
        <w:rPr>
          <w:rFonts w:ascii="Arial" w:cs="Arial" w:eastAsia="Arial" w:hAnsi="Arial"/>
          <w:sz w:val="16"/>
          <w:szCs w:val="16"/>
          <w:color w:val="auto"/>
        </w:rPr>
        <w:t>In accordance with our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2016 and 2015, we issued 1,416,515 and 2,160,915 common membership units to our founding members, respectively, for the rights to exclusive access to the theatre screens and attendees added, net of dispositions by the founding members to our network during the previous year. We recorded a net intangible asset of $21.1 million and $31.4 million during the first quarter of 2016 and 2015, respectively, as a result of the Common Unit Adjustments.</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555"/>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5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17"/>
              <w:spacing w:after="0" w:line="133" w:lineRule="exact"/>
              <w:rPr>
                <w:sz w:val="20"/>
                <w:szCs w:val="20"/>
                <w:color w:val="auto"/>
              </w:rPr>
            </w:pPr>
            <w:r>
              <w:rPr>
                <w:rFonts w:ascii="Arial" w:cs="Arial" w:eastAsia="Arial" w:hAnsi="Arial"/>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97"/>
              <w:spacing w:after="0" w:line="133"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Q1 2016 to</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Q1 2016 to</w:t>
            </w:r>
          </w:p>
        </w:tc>
        <w:tc>
          <w:tcPr>
            <w:tcW w:w="100" w:type="dxa"/>
            <w:vAlign w:val="bottom"/>
          </w:tcPr>
          <w:p>
            <w:pPr>
              <w:spacing w:after="0"/>
              <w:rPr>
                <w:sz w:val="11"/>
                <w:szCs w:val="11"/>
                <w:color w:val="auto"/>
              </w:rPr>
            </w:pPr>
          </w:p>
        </w:tc>
      </w:tr>
      <w:tr>
        <w:trPr>
          <w:trHeight w:val="17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YE 2015</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Q1 2015</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23"/>
        </w:trPr>
        <w:tc>
          <w:tcPr>
            <w:tcW w:w="5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34" w:lineRule="exact"/>
        <w:rPr>
          <w:sz w:val="20"/>
          <w:szCs w:val="20"/>
          <w:color w:val="auto"/>
        </w:rPr>
      </w:pPr>
    </w:p>
    <w:p>
      <w:pPr>
        <w:ind w:left="560" w:right="80" w:hanging="552"/>
        <w:spacing w:after="0" w:line="264" w:lineRule="auto"/>
        <w:tabs>
          <w:tab w:leader="none" w:pos="5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is $135.0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037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left="5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5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11"/>
                <w:szCs w:val="11"/>
                <w:color w:val="auto"/>
              </w:rPr>
            </w:pPr>
          </w:p>
        </w:tc>
      </w:tr>
      <w:tr>
        <w:trPr>
          <w:trHeight w:val="171"/>
        </w:trPr>
        <w:tc>
          <w:tcPr>
            <w:tcW w:w="5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Investing cash flow</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r>
    </w:tbl>
    <w:p>
      <w:pPr>
        <w:spacing w:after="0" w:line="198" w:lineRule="exact"/>
        <w:rPr>
          <w:sz w:val="20"/>
          <w:szCs w:val="20"/>
          <w:color w:val="auto"/>
        </w:rPr>
      </w:pPr>
    </w:p>
    <w:p>
      <w:pPr>
        <w:ind w:left="1660" w:right="100" w:hanging="545"/>
        <w:spacing w:after="0" w:line="281"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The $34.6 million increase in cash provided by operating activities for the three months ended March 31, 2016</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three months ended April 2, 2015 was due primarily to an increase in collections of accounts receivable of $14.5 million related to higher revenue in our fourth quarter of 2015, compared to the fourth quarter of 2014 and a lower net loss during the first quarter of 2016, partially offset by an increase in the change in accounts payable and accrued liabilities.</w:t>
      </w:r>
    </w:p>
    <w:p>
      <w:pPr>
        <w:spacing w:after="0" w:line="56" w:lineRule="exact"/>
        <w:rPr>
          <w:rFonts w:ascii="Arial" w:cs="Arial" w:eastAsia="Arial" w:hAnsi="Arial"/>
          <w:sz w:val="17"/>
          <w:szCs w:val="17"/>
          <w:color w:val="auto"/>
        </w:rPr>
      </w:pPr>
    </w:p>
    <w:p>
      <w:pPr>
        <w:ind w:left="1660" w:right="640" w:hanging="545"/>
        <w:spacing w:after="0" w:line="289"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The $1.0 million increase in cash used in investing activities for the three months ended March 31, 2016</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three months ended April 2, 2015 was due to an increase of $1.9 million of purchases of property, plant and equipment partially offset by less purchases of intangible assets from network affiliates.</w:t>
      </w:r>
    </w:p>
    <w:p>
      <w:pPr>
        <w:spacing w:after="0" w:line="50" w:lineRule="exact"/>
        <w:rPr>
          <w:rFonts w:ascii="Arial" w:cs="Arial" w:eastAsia="Arial" w:hAnsi="Arial"/>
          <w:sz w:val="17"/>
          <w:szCs w:val="17"/>
          <w:color w:val="auto"/>
        </w:rPr>
      </w:pPr>
    </w:p>
    <w:p>
      <w:pPr>
        <w:ind w:left="1660" w:right="120" w:hanging="545"/>
        <w:spacing w:after="0" w:line="266"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$24.0 million increase in cash used in financing activities during the three months ended March 31, 2016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April 2, 2015 was due primarily to a $27.0 million decrease in proceeds from borrowings, net of repayments, due to lower net borrowings on the revolving credit facility.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April 2, 2015 was calculated as negative $25.5 million due to the merger termination fee and related merger costs. Pursuant to the NCM LLC Operating Agreement, there was no distribution made in the second quarter of 2015 and the negative amount will be netted against available cash distributions for the second quarter of 2016, which will be paid in the third quarter of 2016. The available cash distribution to the members of NCM LLC for the three months ended March 31, 2016 (which will be made during the second quarter of 2016) was approximately $2.0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31, 2015 and incorporated by reference herein. As of March 31, 2016,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170"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31, 2015 and incorporated by reference herein. We do not believe these arrangements are material to our current or future financial condition, results of operations, liquidity, capital resources or capital expenditures.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three months ended March 31,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2012, 2013, 2014 and 2015.</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First</w:t>
            </w:r>
          </w:p>
        </w:tc>
        <w:tc>
          <w:tcPr>
            <w:tcW w:w="10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Third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27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FY 2012</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32.1%</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FY 2013</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17.8%</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26.5%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25.6%</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FY 2015</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17.2%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27.2%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2012, 2013, 2014 and 2015.</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First</w:t>
            </w:r>
          </w:p>
        </w:tc>
        <w:tc>
          <w:tcPr>
            <w:tcW w:w="10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Third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27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FY 2012</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33.7%</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FY 2013</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17.3%</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27.4%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25.6%</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FY 2015</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17.2%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27.2%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primary market risk to which we are exposed is interest rate risk. The Senior Unsecured Notes and the Senior Secured Notes are at fixed rates, and therefore are not subject to market risk. As of March 31, 2016, the only interest rate risk that we are exposed to is related to our $135.0 million revolving credit facility and our $270.0 million term loan. A 100 basis point fluctuation in market interest rates underlying our term loan and revolving credit facility would have the effect of increasing or decreasing our cash interest expense by approximately $3.6 million for an annual period on the $85.0 million revolving credit balance and $270.0 million term loan outstanding as of March 31, 2016. For a discussion of market risks,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8" w:name="page29"/>
    <w:bookmarkEnd w:id="28"/>
    <w:p>
      <w:pPr>
        <w:ind w:right="100"/>
        <w:spacing w:after="0" w:line="277" w:lineRule="auto"/>
        <w:rPr>
          <w:sz w:val="20"/>
          <w:szCs w:val="20"/>
          <w:color w:val="auto"/>
        </w:rPr>
      </w:pPr>
      <w:r>
        <w:rPr>
          <w:rFonts w:ascii="Arial" w:cs="Arial" w:eastAsia="Arial" w:hAnsi="Arial"/>
          <w:sz w:val="18"/>
          <w:szCs w:val="18"/>
          <w:color w:val="auto"/>
        </w:rPr>
        <w:t>see Item 7A. “Quantitative and Qualitative Disclosures About Market Risk” contained in our annual report on Form 10-K for the fiscal year ended December 31, 2015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of NCM, Inc., our manager, as appropriate to allow timely decisions regarding required disclosure. As of March 31, 2016,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March 31, 2016 were effective.</w:t>
      </w:r>
    </w:p>
    <w:p>
      <w:pPr>
        <w:spacing w:after="0" w:line="179" w:lineRule="exact"/>
        <w:rPr>
          <w:sz w:val="20"/>
          <w:szCs w:val="20"/>
          <w:color w:val="auto"/>
        </w:rPr>
      </w:pPr>
    </w:p>
    <w:p>
      <w:pPr>
        <w:ind w:right="260" w:firstLine="555"/>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March 31, 2016 that have materially affected, or are reasonably likely to materially affect, the Company’s internal controls over financial reporting.</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2, 2016 for the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ind w:left="56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920" w:type="dxa"/>
            <w:vAlign w:val="bottom"/>
          </w:tcPr>
          <w:p>
            <w:pPr>
              <w:spacing w:after="0"/>
              <w:rPr>
                <w:sz w:val="20"/>
                <w:szCs w:val="20"/>
                <w:color w:val="auto"/>
              </w:rPr>
            </w:pPr>
          </w:p>
        </w:tc>
      </w:tr>
      <w:tr>
        <w:trPr>
          <w:trHeight w:val="500"/>
        </w:trPr>
        <w:tc>
          <w:tcPr>
            <w:tcW w:w="2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412"/>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Reference</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7920" w:type="dxa"/>
            <w:vAlign w:val="bottom"/>
          </w:tcPr>
          <w:p>
            <w:pPr>
              <w:spacing w:after="0"/>
              <w:rPr>
                <w:sz w:val="24"/>
                <w:szCs w:val="24"/>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344"/>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rPr>
              <w:t>National CineMedia, Inc. 2016 Equity Incentive Plan.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3"/>
              </w:rPr>
              <w:t>Form of 2016</w:t>
            </w:r>
          </w:p>
        </w:tc>
        <w:tc>
          <w:tcPr>
            <w:tcW w:w="7920" w:type="dxa"/>
            <w:vAlign w:val="bottom"/>
          </w:tcPr>
          <w:p>
            <w:pPr>
              <w:ind w:left="20"/>
              <w:spacing w:after="0"/>
              <w:rPr>
                <w:sz w:val="20"/>
                <w:szCs w:val="20"/>
                <w:color w:val="auto"/>
              </w:rPr>
            </w:pPr>
            <w:r>
              <w:rPr>
                <w:rFonts w:ascii="Arial" w:cs="Arial" w:eastAsia="Arial" w:hAnsi="Arial"/>
                <w:sz w:val="18"/>
                <w:szCs w:val="18"/>
                <w:color w:val="auto"/>
                <w:w w:val="93"/>
              </w:rPr>
              <w:t>Restricted Stock Agreement under the National CineMedia, Inc. 2016 Equity Incentive Plan (Time Based).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3"/>
              </w:rPr>
              <w:t>Form of 2016</w:t>
            </w:r>
          </w:p>
        </w:tc>
        <w:tc>
          <w:tcPr>
            <w:tcW w:w="7920" w:type="dxa"/>
            <w:vAlign w:val="bottom"/>
          </w:tcPr>
          <w:p>
            <w:pPr>
              <w:ind w:left="20"/>
              <w:spacing w:after="0"/>
              <w:rPr>
                <w:sz w:val="20"/>
                <w:szCs w:val="20"/>
                <w:color w:val="auto"/>
              </w:rPr>
            </w:pPr>
            <w:r>
              <w:rPr>
                <w:rFonts w:ascii="Arial" w:cs="Arial" w:eastAsia="Arial" w:hAnsi="Arial"/>
                <w:sz w:val="18"/>
                <w:szCs w:val="18"/>
                <w:color w:val="auto"/>
                <w:w w:val="93"/>
              </w:rPr>
              <w:t>Restricted Stock Agreement under the National CineMedia, Inc. 2016 Equity Incentive Plan (Performance</w:t>
            </w:r>
          </w:p>
        </w:tc>
      </w:tr>
      <w:tr>
        <w:trPr>
          <w:trHeight w:val="230"/>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Based).</w:t>
            </w:r>
          </w:p>
        </w:tc>
        <w:tc>
          <w:tcPr>
            <w:tcW w:w="7920" w:type="dxa"/>
            <w:vAlign w:val="bottom"/>
          </w:tcPr>
          <w:p>
            <w:pPr>
              <w:spacing w:after="0"/>
              <w:rPr>
                <w:sz w:val="20"/>
                <w:szCs w:val="20"/>
                <w:color w:val="auto"/>
              </w:rPr>
            </w:pPr>
          </w:p>
        </w:tc>
      </w:tr>
      <w:tr>
        <w:trPr>
          <w:trHeight w:val="67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Pr>
          <w:p>
            <w:pPr>
              <w:jc w:val="right"/>
              <w:ind w:right="5550"/>
              <w:spacing w:after="0"/>
              <w:rPr>
                <w:sz w:val="20"/>
                <w:szCs w:val="20"/>
                <w:color w:val="auto"/>
              </w:rPr>
            </w:pPr>
            <w:r>
              <w:rPr>
                <w:rFonts w:ascii="Arial" w:cs="Arial" w:eastAsia="Arial" w:hAnsi="Arial"/>
                <w:sz w:val="18"/>
                <w:szCs w:val="18"/>
                <w:color w:val="auto"/>
              </w:rPr>
              <w:t>27</w:t>
            </w:r>
          </w:p>
        </w:tc>
      </w:tr>
      <w:tr>
        <w:trPr>
          <w:trHeight w:val="115"/>
        </w:trPr>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20" w:type="dxa"/>
            <w:vAlign w:val="bottom"/>
          </w:tcPr>
          <w:p>
            <w:pPr>
              <w:ind w:left="260"/>
              <w:spacing w:after="0"/>
              <w:rPr>
                <w:sz w:val="20"/>
                <w:szCs w:val="20"/>
                <w:color w:val="auto"/>
              </w:rPr>
            </w:pPr>
            <w:r>
              <w:rPr>
                <w:rFonts w:ascii="Arial" w:cs="Arial" w:eastAsia="Arial" w:hAnsi="Arial"/>
                <w:sz w:val="18"/>
                <w:szCs w:val="18"/>
                <w:color w:val="auto"/>
              </w:rPr>
              <w:t>(4)</w:t>
            </w:r>
          </w:p>
        </w:tc>
        <w:tc>
          <w:tcPr>
            <w:tcW w:w="8220" w:type="dxa"/>
            <w:vAlign w:val="bottom"/>
          </w:tcPr>
          <w:p>
            <w:pPr>
              <w:ind w:left="540"/>
              <w:spacing w:after="0"/>
              <w:rPr>
                <w:sz w:val="20"/>
                <w:szCs w:val="20"/>
                <w:color w:val="auto"/>
              </w:rPr>
            </w:pPr>
            <w:r>
              <w:rPr>
                <w:rFonts w:ascii="Arial" w:cs="Arial" w:eastAsia="Arial" w:hAnsi="Arial"/>
                <w:sz w:val="18"/>
                <w:szCs w:val="18"/>
                <w:color w:val="auto"/>
                <w:w w:val="91"/>
              </w:rPr>
              <w:t>Form of Restricted Stock Unit Agreement under the National CineMedia, Inc. 2016 Equity Incentive Plan.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Certification of Principal Financial Officer Pursuant to 18 U.S.C. Section 1350.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XBRL Instance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20" w:type="dxa"/>
            <w:vAlign w:val="bottom"/>
          </w:tcPr>
          <w:p>
            <w:pPr>
              <w:ind w:left="260"/>
              <w:spacing w:after="0"/>
              <w:rPr>
                <w:sz w:val="20"/>
                <w:szCs w:val="20"/>
                <w:color w:val="auto"/>
              </w:rPr>
            </w:pPr>
            <w:r>
              <w:rPr>
                <w:rFonts w:ascii="Arial" w:cs="Arial" w:eastAsia="Arial" w:hAnsi="Arial"/>
                <w:sz w:val="18"/>
                <w:szCs w:val="18"/>
                <w:color w:val="auto"/>
              </w:rPr>
              <w:t>*</w:t>
            </w:r>
          </w:p>
        </w:tc>
        <w:tc>
          <w:tcPr>
            <w:tcW w:w="8220" w:type="dxa"/>
            <w:vAlign w:val="bottom"/>
          </w:tcPr>
          <w:p>
            <w:pPr>
              <w:ind w:left="5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4.1 to the NCM Inc.’s Registration Statement on Form S-8 (File No. 333-210996) filed on April 29, 2016.</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4.2 to the NCM Inc.’s Registration Statement on Form S-8 (File No. 333-210996) filed on April 29, 2016.</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4.3 to the NCM Inc.’s Registration Statement on Form S-8 (File No. 333-210996) filed on April 29, 2016.</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4.4 to the NCM Inc.’s Registration Statement on Form S-8 (File No. 333-210996) filed on April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00"/>
          </w:cols>
          <w:pgMar w:left="240" w:top="341" w:right="9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May 9, 2016</w:t>
            </w:r>
          </w:p>
        </w:tc>
        <w:tc>
          <w:tcPr>
            <w:tcW w:w="6100" w:type="dxa"/>
            <w:vAlign w:val="bottom"/>
          </w:tcPr>
          <w:p>
            <w:pPr>
              <w:spacing w:after="0"/>
              <w:rPr>
                <w:sz w:val="20"/>
                <w:szCs w:val="20"/>
                <w:color w:val="auto"/>
              </w:rPr>
            </w:pPr>
            <w:r>
              <w:rPr>
                <w:rFonts w:ascii="Arial" w:cs="Arial" w:eastAsia="Arial" w:hAnsi="Arial"/>
                <w:sz w:val="18"/>
                <w:szCs w:val="18"/>
                <w:color w:val="auto"/>
              </w:rPr>
              <w:t>/s/ Andrew J. England</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J. England</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May 9, 2016</w:t>
            </w:r>
          </w:p>
        </w:tc>
        <w:tc>
          <w:tcPr>
            <w:tcW w:w="6100" w:type="dxa"/>
            <w:vAlign w:val="bottom"/>
          </w:tcPr>
          <w:p>
            <w:pPr>
              <w:spacing w:after="0"/>
              <w:rPr>
                <w:sz w:val="20"/>
                <w:szCs w:val="20"/>
                <w:color w:val="auto"/>
              </w:rPr>
            </w:pPr>
            <w:r>
              <w:rPr>
                <w:rFonts w:ascii="Arial" w:cs="Arial" w:eastAsia="Arial" w:hAnsi="Arial"/>
                <w:sz w:val="18"/>
                <w:szCs w:val="18"/>
                <w:color w:val="auto"/>
              </w:rPr>
              <w:t>/s/ David J. Oddo</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J. Oddo</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Senior Vice President, Finance and Interim Co-Chief Financial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May 9, 2016</w:t>
            </w:r>
          </w:p>
        </w:tc>
        <w:tc>
          <w:tcPr>
            <w:tcW w:w="6100" w:type="dxa"/>
            <w:vAlign w:val="bottom"/>
          </w:tcPr>
          <w:p>
            <w:pPr>
              <w:spacing w:after="0"/>
              <w:rPr>
                <w:sz w:val="20"/>
                <w:szCs w:val="20"/>
                <w:color w:val="auto"/>
              </w:rPr>
            </w:pPr>
            <w:r>
              <w:rPr>
                <w:rFonts w:ascii="Arial" w:cs="Arial" w:eastAsia="Arial" w:hAnsi="Arial"/>
                <w:sz w:val="18"/>
                <w:szCs w:val="18"/>
                <w:color w:val="auto"/>
              </w:rPr>
              <w:t>/s/ Jeffrey T. Cabot</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T. Cabot</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Senior Vice President, Controller and Interim Co-Chief Financial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225" w:lineRule="exact"/>
        <w:rPr>
          <w:sz w:val="20"/>
          <w:szCs w:val="20"/>
          <w:color w:val="auto"/>
        </w:rPr>
      </w:pPr>
    </w:p>
    <w:p>
      <w:pPr>
        <w:ind w:left="700" w:hanging="174"/>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225" w:lineRule="exact"/>
        <w:rPr>
          <w:sz w:val="20"/>
          <w:szCs w:val="20"/>
          <w:color w:val="auto"/>
        </w:rPr>
      </w:pPr>
    </w:p>
    <w:p>
      <w:pPr>
        <w:ind w:left="700" w:hanging="17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March 31, 2016 (the “Report”) of National CineMedia, LLC (the “Registrant”) as filed with the Securities and Exchange Commission on the date hereof, I, Andrew J. England, the Chief Executive Officer and Director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9, 2016</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March 31, 2016 (the “Report”) of National CineMedia, LLC (the “Registrant”) as filed with the Securities and Exchange Commission on the date hereof, I, David J. Oddo, the Senior Vice President, Finance and Interim Co-Chief Financial Officer of the Registrant, certify, pursuant to 18 U.S.C. § 1350, as adopted pursuant to § 906 of the Sarbanes-Oxley Act of 2002, that to the best of my knowledge:</w:t>
      </w:r>
    </w:p>
    <w:p>
      <w:pPr>
        <w:spacing w:after="0" w:line="187" w:lineRule="exact"/>
        <w:rPr>
          <w:sz w:val="20"/>
          <w:szCs w:val="20"/>
          <w:color w:val="auto"/>
        </w:rPr>
      </w:pPr>
    </w:p>
    <w:p>
      <w:pPr>
        <w:ind w:left="700" w:hanging="17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9, 2016</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lvl w:ilvl="1">
      <w:lvlJc w:val="left"/>
      <w:lvlText w:val="(%2)"/>
      <w:numFmt w:val="decimal"/>
      <w:start w:val="1"/>
    </w:lvl>
  </w:abstractNum>
  <w:abstractNum w:abstractNumId="7">
    <w:nsid w:val="25E45D32"/>
    <w:multiLevelType w:val="hybridMultilevel"/>
    <w:lvl w:ilvl="0">
      <w:lvlJc w:val="left"/>
      <w:lvlText w:val="%1."/>
      <w:numFmt w:val="decimal"/>
      <w:start w:val="7"/>
    </w:lvl>
    <w:lvl w:ilvl="1">
      <w:lvlJc w:val="left"/>
      <w:lvlText w:val="%2"/>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2019-12-29T11:28:33Z</dcterms:created>
  <dcterms:modified xsi:type="dcterms:W3CDTF">2019-12-29T11:28:33Z</dcterms:modified>
</cp:coreProperties>
</file>