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 xml:space="preserve">Date of Report (Date of Earliest Event Reported): </w:t>
      </w:r>
      <w:r>
        <w:rPr>
          <w:rFonts w:ascii="Arial" w:cs="Arial" w:eastAsia="Arial" w:hAnsi="Arial"/>
          <w:sz w:val="20"/>
          <w:szCs w:val="20"/>
          <w:b w:val="1"/>
          <w:bCs w:val="1"/>
          <w:color w:val="auto"/>
        </w:rPr>
        <w:t>August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National CineMedia, Inc.</w:t>
      </w:r>
    </w:p>
    <w:p>
      <w:pPr>
        <w:spacing w:after="0" w:line="8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jc w:val="center"/>
              <w:ind w:left="161"/>
              <w:spacing w:after="0"/>
              <w:rPr>
                <w:sz w:val="20"/>
                <w:szCs w:val="20"/>
                <w:color w:val="auto"/>
              </w:rPr>
            </w:pPr>
            <w:r>
              <w:rPr>
                <w:rFonts w:ascii="Arial" w:cs="Arial" w:eastAsia="Arial" w:hAnsi="Arial"/>
                <w:sz w:val="18"/>
                <w:szCs w:val="18"/>
                <w:b w:val="1"/>
                <w:bCs w:val="1"/>
                <w:color w:val="auto"/>
                <w:w w:val="91"/>
              </w:rPr>
              <w:t>Delaware</w:t>
            </w:r>
          </w:p>
        </w:tc>
        <w:tc>
          <w:tcPr>
            <w:tcW w:w="1300" w:type="dxa"/>
            <w:vAlign w:val="bottom"/>
          </w:tcPr>
          <w:p>
            <w:pPr>
              <w:spacing w:after="0"/>
              <w:rPr>
                <w:sz w:val="19"/>
                <w:szCs w:val="19"/>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001-33296</w:t>
            </w:r>
          </w:p>
        </w:tc>
        <w:tc>
          <w:tcPr>
            <w:tcW w:w="1600" w:type="dxa"/>
            <w:vAlign w:val="bottom"/>
          </w:tcPr>
          <w:p>
            <w:pPr>
              <w:spacing w:after="0"/>
              <w:rPr>
                <w:sz w:val="19"/>
                <w:szCs w:val="19"/>
                <w:color w:val="auto"/>
              </w:rPr>
            </w:pPr>
          </w:p>
        </w:tc>
        <w:tc>
          <w:tcPr>
            <w:tcW w:w="3400" w:type="dxa"/>
            <w:vAlign w:val="bottom"/>
          </w:tcPr>
          <w:p>
            <w:pPr>
              <w:jc w:val="right"/>
              <w:ind w:right="1621"/>
              <w:spacing w:after="0"/>
              <w:rPr>
                <w:sz w:val="20"/>
                <w:szCs w:val="20"/>
                <w:color w:val="auto"/>
              </w:rPr>
            </w:pPr>
            <w:r>
              <w:rPr>
                <w:rFonts w:ascii="Arial" w:cs="Arial" w:eastAsia="Arial" w:hAnsi="Arial"/>
                <w:sz w:val="18"/>
                <w:szCs w:val="18"/>
                <w:b w:val="1"/>
                <w:bCs w:val="1"/>
                <w:color w:val="auto"/>
              </w:rPr>
              <w:t>20-5665602</w:t>
            </w:r>
          </w:p>
        </w:tc>
        <w:tc>
          <w:tcPr>
            <w:tcW w:w="0" w:type="dxa"/>
            <w:vAlign w:val="bottom"/>
          </w:tcPr>
          <w:p>
            <w:pPr>
              <w:spacing w:after="0"/>
              <w:rPr>
                <w:sz w:val="1"/>
                <w:szCs w:val="1"/>
                <w:color w:val="auto"/>
              </w:rPr>
            </w:pPr>
          </w:p>
        </w:tc>
      </w:tr>
      <w:tr>
        <w:trPr>
          <w:trHeight w:val="148"/>
        </w:trPr>
        <w:tc>
          <w:tcPr>
            <w:tcW w:w="3600" w:type="dxa"/>
            <w:vAlign w:val="bottom"/>
          </w:tcPr>
          <w:p>
            <w:pPr>
              <w:jc w:val="center"/>
              <w:ind w:left="16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4240" w:type="dxa"/>
            <w:vAlign w:val="bottom"/>
            <w:gridSpan w:val="3"/>
            <w:vMerge w:val="restart"/>
          </w:tcPr>
          <w:p>
            <w:pPr>
              <w:jc w:val="center"/>
              <w:ind w:right="370"/>
              <w:spacing w:after="0"/>
              <w:rPr>
                <w:sz w:val="20"/>
                <w:szCs w:val="20"/>
                <w:color w:val="auto"/>
              </w:rPr>
            </w:pPr>
            <w:r>
              <w:rPr>
                <w:rFonts w:ascii="Arial" w:cs="Arial" w:eastAsia="Arial" w:hAnsi="Arial"/>
                <w:sz w:val="14"/>
                <w:szCs w:val="14"/>
                <w:b w:val="1"/>
                <w:bCs w:val="1"/>
                <w:color w:val="auto"/>
                <w:w w:val="93"/>
              </w:rPr>
              <w:t>(Commission File Number)</w:t>
            </w:r>
          </w:p>
        </w:tc>
        <w:tc>
          <w:tcPr>
            <w:tcW w:w="3400" w:type="dxa"/>
            <w:vAlign w:val="bottom"/>
          </w:tcPr>
          <w:p>
            <w:pPr>
              <w:jc w:val="center"/>
              <w:ind w:right="80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600" w:type="dxa"/>
            <w:vAlign w:val="bottom"/>
          </w:tcPr>
          <w:p>
            <w:pPr>
              <w:jc w:val="center"/>
              <w:ind w:left="161"/>
              <w:spacing w:after="0"/>
              <w:rPr>
                <w:sz w:val="20"/>
                <w:szCs w:val="20"/>
                <w:color w:val="auto"/>
              </w:rPr>
            </w:pPr>
            <w:r>
              <w:rPr>
                <w:rFonts w:ascii="Arial" w:cs="Arial" w:eastAsia="Arial" w:hAnsi="Arial"/>
                <w:sz w:val="14"/>
                <w:szCs w:val="14"/>
                <w:b w:val="1"/>
                <w:bCs w:val="1"/>
                <w:color w:val="auto"/>
                <w:w w:val="94"/>
              </w:rPr>
              <w:t>Incorporation or Organization)</w:t>
            </w:r>
          </w:p>
        </w:tc>
        <w:tc>
          <w:tcPr>
            <w:tcW w:w="4240" w:type="dxa"/>
            <w:vAlign w:val="bottom"/>
            <w:gridSpan w:val="3"/>
            <w:vMerge w:val="continue"/>
          </w:tcPr>
          <w:p>
            <w:pPr>
              <w:spacing w:after="0"/>
              <w:rPr>
                <w:sz w:val="16"/>
                <w:szCs w:val="16"/>
                <w:color w:val="auto"/>
              </w:rPr>
            </w:pPr>
          </w:p>
        </w:tc>
        <w:tc>
          <w:tcPr>
            <w:tcW w:w="3400" w:type="dxa"/>
            <w:vAlign w:val="bottom"/>
          </w:tcPr>
          <w:p>
            <w:pPr>
              <w:jc w:val="center"/>
              <w:ind w:right="78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54"/>
        </w:trPr>
        <w:tc>
          <w:tcPr>
            <w:tcW w:w="3600" w:type="dxa"/>
            <w:vAlign w:val="bottom"/>
          </w:tcPr>
          <w:p>
            <w:pPr>
              <w:jc w:val="center"/>
              <w:ind w:left="161"/>
              <w:spacing w:after="0"/>
              <w:rPr>
                <w:sz w:val="20"/>
                <w:szCs w:val="20"/>
                <w:color w:val="auto"/>
              </w:rPr>
            </w:pPr>
            <w:r>
              <w:rPr>
                <w:rFonts w:ascii="Arial" w:cs="Arial" w:eastAsia="Arial" w:hAnsi="Arial"/>
                <w:sz w:val="18"/>
                <w:szCs w:val="18"/>
                <w:b w:val="1"/>
                <w:bCs w:val="1"/>
                <w:color w:val="auto"/>
                <w:w w:val="88"/>
              </w:rPr>
              <w:t>6300 S. Syracuse Way</w:t>
            </w:r>
          </w:p>
        </w:tc>
        <w:tc>
          <w:tcPr>
            <w:tcW w:w="1300" w:type="dxa"/>
            <w:vAlign w:val="bottom"/>
          </w:tcPr>
          <w:p>
            <w:pPr>
              <w:ind w:left="440"/>
              <w:spacing w:after="0"/>
              <w:rPr>
                <w:sz w:val="20"/>
                <w:szCs w:val="20"/>
                <w:color w:val="auto"/>
              </w:rPr>
            </w:pPr>
            <w:r>
              <w:rPr>
                <w:rFonts w:ascii="Arial" w:cs="Arial" w:eastAsia="Arial" w:hAnsi="Arial"/>
                <w:sz w:val="18"/>
                <w:szCs w:val="18"/>
                <w:b w:val="1"/>
                <w:bCs w:val="1"/>
                <w:color w:val="auto"/>
              </w:rPr>
              <w:t>Suite 300</w:t>
            </w:r>
          </w:p>
        </w:tc>
        <w:tc>
          <w:tcPr>
            <w:tcW w:w="1340" w:type="dxa"/>
            <w:vAlign w:val="bottom"/>
          </w:tcPr>
          <w:p>
            <w:pPr>
              <w:ind w:left="220"/>
              <w:spacing w:after="0"/>
              <w:rPr>
                <w:sz w:val="20"/>
                <w:szCs w:val="20"/>
                <w:color w:val="auto"/>
              </w:rPr>
            </w:pPr>
            <w:r>
              <w:rPr>
                <w:rFonts w:ascii="Arial" w:cs="Arial" w:eastAsia="Arial" w:hAnsi="Arial"/>
                <w:sz w:val="18"/>
                <w:szCs w:val="18"/>
                <w:b w:val="1"/>
                <w:bCs w:val="1"/>
                <w:color w:val="auto"/>
              </w:rPr>
              <w:t>Centennial</w:t>
            </w:r>
          </w:p>
        </w:tc>
        <w:tc>
          <w:tcPr>
            <w:tcW w:w="1600" w:type="dxa"/>
            <w:vAlign w:val="bottom"/>
          </w:tcPr>
          <w:p>
            <w:pPr>
              <w:ind w:left="40"/>
              <w:spacing w:after="0"/>
              <w:rPr>
                <w:sz w:val="20"/>
                <w:szCs w:val="20"/>
                <w:color w:val="auto"/>
              </w:rPr>
            </w:pPr>
            <w:r>
              <w:rPr>
                <w:rFonts w:ascii="Arial" w:cs="Arial" w:eastAsia="Arial" w:hAnsi="Arial"/>
                <w:sz w:val="18"/>
                <w:szCs w:val="18"/>
                <w:b w:val="1"/>
                <w:bCs w:val="1"/>
                <w:color w:val="auto"/>
              </w:rPr>
              <w:t>Colorado</w:t>
            </w:r>
          </w:p>
        </w:tc>
        <w:tc>
          <w:tcPr>
            <w:tcW w:w="3400" w:type="dxa"/>
            <w:vAlign w:val="bottom"/>
          </w:tcPr>
          <w:p>
            <w:pPr>
              <w:jc w:val="right"/>
              <w:ind w:right="1841"/>
              <w:spacing w:after="0"/>
              <w:rPr>
                <w:sz w:val="20"/>
                <w:szCs w:val="20"/>
                <w:color w:val="auto"/>
              </w:rPr>
            </w:pPr>
            <w:r>
              <w:rPr>
                <w:rFonts w:ascii="Arial" w:cs="Arial" w:eastAsia="Arial" w:hAnsi="Arial"/>
                <w:sz w:val="18"/>
                <w:szCs w:val="18"/>
                <w:b w:val="1"/>
                <w:bCs w:val="1"/>
                <w:color w:val="auto"/>
              </w:rPr>
              <w:t>80111</w:t>
            </w:r>
          </w:p>
        </w:tc>
        <w:tc>
          <w:tcPr>
            <w:tcW w:w="0" w:type="dxa"/>
            <w:vAlign w:val="bottom"/>
          </w:tcPr>
          <w:p>
            <w:pPr>
              <w:spacing w:after="0"/>
              <w:rPr>
                <w:sz w:val="1"/>
                <w:szCs w:val="1"/>
                <w:color w:val="auto"/>
              </w:rPr>
            </w:pPr>
          </w:p>
        </w:tc>
      </w:tr>
      <w:tr>
        <w:trPr>
          <w:trHeight w:val="186"/>
        </w:trPr>
        <w:tc>
          <w:tcPr>
            <w:tcW w:w="3600" w:type="dxa"/>
            <w:vAlign w:val="bottom"/>
          </w:tcPr>
          <w:p>
            <w:pPr>
              <w:jc w:val="center"/>
              <w:ind w:left="1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0" w:type="dxa"/>
            <w:vAlign w:val="bottom"/>
          </w:tcPr>
          <w:p>
            <w:pPr>
              <w:jc w:val="center"/>
              <w:ind w:right="78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72"/>
        </w:trPr>
        <w:tc>
          <w:tcPr>
            <w:tcW w:w="3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(303) 792-3600</w:t>
            </w:r>
          </w:p>
        </w:tc>
        <w:tc>
          <w:tcPr>
            <w:tcW w:w="16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4240" w:type="dxa"/>
            <w:vAlign w:val="bottom"/>
            <w:gridSpan w:val="3"/>
          </w:tcPr>
          <w:p>
            <w:pPr>
              <w:jc w:val="center"/>
              <w:ind w:right="110"/>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36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4"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64" w:lineRule="exact"/>
        <w:rPr>
          <w:rFonts w:ascii="MS PGothic" w:cs="MS PGothic" w:eastAsia="MS PGothic" w:hAnsi="MS PGothic"/>
          <w:sz w:val="22"/>
          <w:szCs w:val="22"/>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210.14d-2(b))</w:t>
      </w:r>
    </w:p>
    <w:p>
      <w:pPr>
        <w:spacing w:after="0" w:line="164" w:lineRule="exact"/>
        <w:rPr>
          <w:rFonts w:ascii="MS PGothic" w:cs="MS PGothic" w:eastAsia="MS PGothic" w:hAnsi="MS PGothic"/>
          <w:sz w:val="22"/>
          <w:szCs w:val="22"/>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985" w:right="339" w:bottom="1440" w:gutter="0" w:footer="0" w:header="0"/>
        </w:sectPr>
      </w:pPr>
    </w:p>
    <w:p>
      <w:pPr>
        <w:spacing w:after="0" w:line="225" w:lineRule="exact"/>
        <w:rPr>
          <w:sz w:val="24"/>
          <w:szCs w:val="24"/>
          <w:color w:val="auto"/>
        </w:rPr>
      </w:pPr>
    </w:p>
    <w:p>
      <w:pPr>
        <w:ind w:left="520"/>
        <w:spacing w:after="0"/>
        <w:rPr>
          <w:sz w:val="20"/>
          <w:szCs w:val="20"/>
          <w:color w:val="auto"/>
        </w:rPr>
      </w:pPr>
      <w:r>
        <w:rPr>
          <w:rFonts w:ascii="Arial" w:cs="Arial" w:eastAsia="Arial" w:hAnsi="Arial"/>
          <w:sz w:val="16"/>
          <w:szCs w:val="16"/>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NCMI</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49" w:lineRule="exact"/>
        <w:rPr>
          <w:sz w:val="24"/>
          <w:szCs w:val="24"/>
          <w:color w:val="auto"/>
        </w:rPr>
      </w:pPr>
    </w:p>
    <w:p>
      <w:pPr>
        <w:sectPr>
          <w:pgSz w:w="11900" w:h="16838" w:orient="portrait"/>
          <w:cols w:equalWidth="0" w:num="3">
            <w:col w:w="4660" w:space="720"/>
            <w:col w:w="1820" w:space="720"/>
            <w:col w:w="3320"/>
          </w:cols>
          <w:pgMar w:left="320" w:top="985" w:right="339" w:bottom="1440" w:gutter="0" w:footer="0" w:header="0"/>
          <w:type w:val="continuous"/>
        </w:sectPr>
      </w:pPr>
    </w:p>
    <w:p>
      <w:pPr>
        <w:ind w:left="15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(Trading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11" w:lineRule="exact"/>
        <w:rPr>
          <w:sz w:val="24"/>
          <w:szCs w:val="24"/>
          <w:color w:val="auto"/>
        </w:rPr>
      </w:pPr>
    </w:p>
    <w:p>
      <w:pPr>
        <w:sectPr>
          <w:pgSz w:w="11900" w:h="16838" w:orient="portrait"/>
          <w:cols w:equalWidth="0" w:num="3">
            <w:col w:w="4380" w:space="720"/>
            <w:col w:w="1920" w:space="720"/>
            <w:col w:w="3500"/>
          </w:cols>
          <w:pgMar w:left="320" w:top="985" w:right="339" w:bottom="1440" w:gutter="0" w:footer="0" w:header="0"/>
          <w:type w:val="continuous"/>
        </w:sectPr>
      </w:pPr>
    </w:p>
    <w:p>
      <w:pPr>
        <w:spacing w:after="0" w:line="14"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 w:name="page2"/>
    <w:bookmarkEnd w:id="1"/>
    <w:p>
      <w:pPr>
        <w:ind w:right="16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3.03</w:t>
      </w:r>
      <w:r>
        <w:rPr>
          <w:sz w:val="20"/>
          <w:szCs w:val="20"/>
          <w:color w:val="auto"/>
        </w:rPr>
        <w:tab/>
      </w:r>
      <w:r>
        <w:rPr>
          <w:rFonts w:ascii="Arial" w:cs="Arial" w:eastAsia="Arial" w:hAnsi="Arial"/>
          <w:sz w:val="18"/>
          <w:szCs w:val="18"/>
          <w:b w:val="1"/>
          <w:bCs w:val="1"/>
          <w:color w:val="auto"/>
        </w:rPr>
        <w:t>Material Modification to Rights of Security Holders</w:t>
      </w:r>
      <w:r>
        <w:rPr>
          <w:rFonts w:ascii="Arial" w:cs="Arial" w:eastAsia="Arial" w:hAnsi="Arial"/>
          <w:sz w:val="18"/>
          <w:szCs w:val="18"/>
          <w:b w:val="1"/>
          <w:bCs w:val="1"/>
          <w:i w:val="1"/>
          <w:iCs w:val="1"/>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Reverse Stock Split</w:t>
      </w:r>
    </w:p>
    <w:p>
      <w:pPr>
        <w:spacing w:after="0" w:line="121"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To the extent required by Item 3.03 of Form 8-K, the information regarding the Reverse Stock Split (as defined below) contained in Item 5.03 of this Current Report on Form 8-K is incorporated by reference herein.</w:t>
      </w:r>
    </w:p>
    <w:p>
      <w:pPr>
        <w:spacing w:after="0" w:line="7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Approval of Company's Certificate of Incorporation to effect a reverse stock split</w:t>
      </w:r>
    </w:p>
    <w:p>
      <w:pPr>
        <w:spacing w:after="0" w:line="108"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On August 3, 2023 (the “Effective Date”), National CineMedia, Inc., (the “Company” or “NCM, Inc.”) filed a Certificate of Amendment to its Second Amended and Restated Certificate of Incorporation (the “Certificate of Amendment”) with the Secretary of State of the State of Delaware to effect a 1-for-10 reverse stock split of the Company’s issued and outstanding common stock, par value $0.01 per share (the “Common Stock”), effective upon the filing of the Certificate of Amendment (the “Reverse Stock Split”). The Common Stock will be quoted on the Nasdaq Stock Market on a post-split basis at the open of business on August 4, 2023.</w:t>
      </w:r>
    </w:p>
    <w:p>
      <w:pPr>
        <w:spacing w:after="0" w:line="62" w:lineRule="exact"/>
        <w:rPr>
          <w:sz w:val="20"/>
          <w:szCs w:val="20"/>
          <w:color w:val="auto"/>
        </w:rPr>
      </w:pPr>
    </w:p>
    <w:p>
      <w:pPr>
        <w:ind w:right="100" w:firstLine="648"/>
        <w:spacing w:after="0" w:line="257" w:lineRule="auto"/>
        <w:rPr>
          <w:sz w:val="20"/>
          <w:szCs w:val="20"/>
          <w:color w:val="auto"/>
        </w:rPr>
      </w:pPr>
      <w:r>
        <w:rPr>
          <w:rFonts w:ascii="Arial" w:cs="Arial" w:eastAsia="Arial" w:hAnsi="Arial"/>
          <w:sz w:val="20"/>
          <w:szCs w:val="20"/>
          <w:color w:val="auto"/>
        </w:rPr>
        <w:t>The Company's stockholders approved the Certificate of Amendment at a Special Meeting held on August 2, 2023, with a stock split ratio range between 1-for-10 and 1-for-100, with the ultimate ratio, implementation and timing to be determined by the Board of Directors (the "Board") in its sole discretion. The Board approved the final ratio on August 2, 2023.</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Effects of the Reverse Stock Split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Reverse Stock Split reduces the total number of issued and outstanding shares of Common Stock by a ratio of 1-for-10.</w:t>
      </w:r>
    </w:p>
    <w:p>
      <w:pPr>
        <w:spacing w:after="0" w:line="27" w:lineRule="exact"/>
        <w:rPr>
          <w:sz w:val="20"/>
          <w:szCs w:val="20"/>
          <w:color w:val="auto"/>
        </w:rPr>
      </w:pPr>
    </w:p>
    <w:p>
      <w:pPr>
        <w:jc w:val="both"/>
        <w:ind w:right="120"/>
        <w:spacing w:after="0" w:line="267" w:lineRule="auto"/>
        <w:rPr>
          <w:sz w:val="20"/>
          <w:szCs w:val="20"/>
          <w:color w:val="auto"/>
        </w:rPr>
      </w:pPr>
      <w:r>
        <w:rPr>
          <w:rFonts w:ascii="Arial" w:cs="Arial" w:eastAsia="Arial" w:hAnsi="Arial"/>
          <w:sz w:val="19"/>
          <w:szCs w:val="19"/>
          <w:color w:val="auto"/>
        </w:rPr>
        <w:t>Accordingly, each of our stockholders will own fewer shares of Common Stock as a result of the Reverse Stock Split. However, the Reverse Stock Split affects all stockholders uniformly and does not affect any stockholder’s percentage ownership interest in the Company, except to the extent that the Reverse Stock Split would result in an adjustment to a stockholder’s ownership of Common Stock due to the treatment of fractional shares in the Reverse Stock Split as outlined below.</w:t>
      </w:r>
    </w:p>
    <w:p>
      <w:pPr>
        <w:spacing w:after="0" w:line="78" w:lineRule="exact"/>
        <w:rPr>
          <w:sz w:val="20"/>
          <w:szCs w:val="20"/>
          <w:color w:val="auto"/>
        </w:rPr>
      </w:pPr>
    </w:p>
    <w:p>
      <w:pPr>
        <w:ind w:right="220" w:firstLine="648"/>
        <w:spacing w:after="0" w:line="249" w:lineRule="auto"/>
        <w:rPr>
          <w:sz w:val="20"/>
          <w:szCs w:val="20"/>
          <w:color w:val="auto"/>
        </w:rPr>
      </w:pPr>
      <w:r>
        <w:rPr>
          <w:rFonts w:ascii="Arial" w:cs="Arial" w:eastAsia="Arial" w:hAnsi="Arial"/>
          <w:sz w:val="20"/>
          <w:szCs w:val="20"/>
          <w:color w:val="auto"/>
        </w:rPr>
        <w:t>The Company is currently authorized to issue a maximum of 260,000,000 shares of our Common Stock. As of the effective date of the Reverse Stock Split, there were 174,191,498 shares of the Company's Common Stock issued and outstanding. Although the number of authorized shares of Common Stock does not change as a result of the Reverse Stock Split, the number of shares of Common Stock issued and outstanding is reduced in proportion to the ratio approved by the Board. Thus, the Reverse Stock Split effectively increases the number of authorized and unissued shares of Common Stock available for future issuance by the amount of the reduction effected by the Reverse Stock Split.</w:t>
      </w:r>
    </w:p>
    <w:p>
      <w:pPr>
        <w:spacing w:after="0" w:line="94" w:lineRule="exact"/>
        <w:rPr>
          <w:sz w:val="20"/>
          <w:szCs w:val="20"/>
          <w:color w:val="auto"/>
        </w:rPr>
      </w:pPr>
    </w:p>
    <w:p>
      <w:pPr>
        <w:ind w:right="80" w:firstLine="648"/>
        <w:spacing w:after="0" w:line="285" w:lineRule="auto"/>
        <w:rPr>
          <w:sz w:val="20"/>
          <w:szCs w:val="20"/>
          <w:color w:val="auto"/>
        </w:rPr>
      </w:pPr>
      <w:r>
        <w:rPr>
          <w:rFonts w:ascii="Arial" w:cs="Arial" w:eastAsia="Arial" w:hAnsi="Arial"/>
          <w:sz w:val="18"/>
          <w:szCs w:val="18"/>
          <w:color w:val="auto"/>
        </w:rPr>
        <w:t>Following the Reverse Stock Split, the Board will have the authority, subject to applicable securities laws, to issue all authorized and unissued shares without further stockholder approval, upon such terms and conditions as the Board deems appropriate. The Company does not currently have any plans, proposals or understandings to issue the additional shares that would be available if the Reverse Stock Split is approved and effected, other than in connection with the Modified First Amended Plan of Reorganization of National CineMedia, LLC Pursuant to Chapter 11 of the Bankruptcy Code [Docket No. 428] (as may be amended, supplemented, or otherwise modified from time to time, and including all exhibits and supplements thereto, the “Plan”) and the Restructuring Support Agreement.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Symbol; CUSIP Number</w:t>
      </w:r>
    </w:p>
    <w:p>
      <w:pPr>
        <w:spacing w:after="0" w:line="108" w:lineRule="exact"/>
        <w:rPr>
          <w:sz w:val="20"/>
          <w:szCs w:val="20"/>
          <w:color w:val="auto"/>
        </w:rPr>
      </w:pPr>
    </w:p>
    <w:p>
      <w:pPr>
        <w:ind w:right="620" w:firstLine="648"/>
        <w:spacing w:after="0" w:line="274" w:lineRule="auto"/>
        <w:rPr>
          <w:sz w:val="20"/>
          <w:szCs w:val="20"/>
          <w:color w:val="auto"/>
        </w:rPr>
      </w:pPr>
      <w:r>
        <w:rPr>
          <w:rFonts w:ascii="Arial" w:cs="Arial" w:eastAsia="Arial" w:hAnsi="Arial"/>
          <w:sz w:val="20"/>
          <w:szCs w:val="20"/>
          <w:color w:val="auto"/>
        </w:rPr>
        <w:t>In connection with the Reverse Stock Split, the CUSIP number for the Common Stock will change to 635309206. The trading symbol for the Company, NCMI, will remain unchanged.</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Split Adjustment; Treatment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ind w:right="160" w:firstLine="648"/>
        <w:spacing w:after="0" w:line="257" w:lineRule="auto"/>
        <w:rPr>
          <w:sz w:val="20"/>
          <w:szCs w:val="20"/>
          <w:color w:val="auto"/>
        </w:rPr>
      </w:pPr>
      <w:r>
        <w:rPr>
          <w:rFonts w:ascii="Arial" w:cs="Arial" w:eastAsia="Arial" w:hAnsi="Arial"/>
          <w:sz w:val="20"/>
          <w:szCs w:val="20"/>
          <w:color w:val="auto"/>
        </w:rPr>
        <w:t>On the Effective Date, the total number of shares of Common Stock held by each stockholder of the Company will be converted automatically into the number of shares of Common Stock equal to: (i) the number of issued and outstanding shares of Common Stock held by each such stockholder immediately prior to the Reverse Stock Split divided by (ii) 10.</w:t>
      </w:r>
    </w:p>
    <w:p>
      <w:pPr>
        <w:spacing w:after="0" w:line="85"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The Company does not intend to issue fractional shares in the event that a stockholder owns a number of shares of Common Stock that is not evenly divisible by the Reverse Stock Split ratio. When the Reverse Stock Split is effected, each fractional share of Common Stock will be:</w:t>
      </w:r>
    </w:p>
    <w:p>
      <w:pPr>
        <w:spacing w:after="0" w:line="112" w:lineRule="exact"/>
        <w:rPr>
          <w:sz w:val="20"/>
          <w:szCs w:val="20"/>
          <w:color w:val="auto"/>
        </w:rPr>
      </w:pPr>
    </w:p>
    <w:p>
      <w:pPr>
        <w:ind w:left="660" w:right="80" w:hanging="328"/>
        <w:spacing w:after="0" w:line="238"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rounded up to the nearest whole share of Common Stock after all of the fractional interests of a holder have been aggregated, if such shares of Common Stock are held directly; or</w:t>
      </w:r>
    </w:p>
    <w:p>
      <w:pPr>
        <w:spacing w:after="0" w:line="20" w:lineRule="exact"/>
        <w:rPr>
          <w:rFonts w:ascii="Arial" w:cs="Arial" w:eastAsia="Arial" w:hAnsi="Arial"/>
          <w:sz w:val="22"/>
          <w:szCs w:val="22"/>
          <w:color w:val="auto"/>
        </w:rPr>
      </w:pPr>
    </w:p>
    <w:p>
      <w:pPr>
        <w:ind w:left="660" w:right="100" w:hanging="328"/>
        <w:spacing w:after="0" w:line="244"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rounded down to the nearest whole share of Common Stock, if such shares are subject to an award granted under the Incentive Plan, in order to comply with the requirements of Sections 409A and 424 of the Internal Revenue Code of 1986, as amended, and the regulations issued thereunder.</w:t>
      </w:r>
    </w:p>
    <w:p>
      <w:pPr>
        <w:spacing w:after="0" w:line="9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As a result, no fractional shares will be issued in connection with the Reverse Stock Split and no cash or other consideration will be paid in connection with any fractional shares that would otherwise have resulted from the Reverse Stock Split.</w:t>
      </w:r>
    </w:p>
    <w:p>
      <w:pPr>
        <w:spacing w:after="0" w:line="58" w:lineRule="exact"/>
        <w:rPr>
          <w:sz w:val="20"/>
          <w:szCs w:val="20"/>
          <w:color w:val="auto"/>
        </w:rPr>
      </w:pPr>
    </w:p>
    <w:p>
      <w:pPr>
        <w:ind w:right="220" w:firstLine="648"/>
        <w:spacing w:after="0" w:line="293" w:lineRule="auto"/>
        <w:rPr>
          <w:sz w:val="20"/>
          <w:szCs w:val="20"/>
          <w:color w:val="auto"/>
        </w:rPr>
      </w:pPr>
      <w:r>
        <w:rPr>
          <w:rFonts w:ascii="Arial" w:cs="Arial" w:eastAsia="Arial" w:hAnsi="Arial"/>
          <w:sz w:val="18"/>
          <w:szCs w:val="18"/>
          <w:color w:val="auto"/>
        </w:rPr>
        <w:t>Also on the Effective Date, all options, warrants and other convertible securities of the Company outstanding immediately prior to the Reverse Stock Split will be adjusted by dividing the number of shares of Common Stock into which the options, warrants and other convertible securities are exercisable or convertible by 10 and multiplying the exercise or conversion price thereof by 10, all in accordance with the terms of the plans, agreements or arrangements governing such options, warrants and other convertible securities.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Exchange of Share Certificates</w:t>
      </w:r>
    </w:p>
    <w:p>
      <w:pPr>
        <w:spacing w:after="0" w:line="121" w:lineRule="exact"/>
        <w:rPr>
          <w:sz w:val="20"/>
          <w:szCs w:val="20"/>
          <w:color w:val="auto"/>
        </w:rPr>
      </w:pPr>
    </w:p>
    <w:p>
      <w:pPr>
        <w:ind w:right="40" w:firstLine="648"/>
        <w:spacing w:after="0" w:line="264" w:lineRule="auto"/>
        <w:rPr>
          <w:sz w:val="20"/>
          <w:szCs w:val="20"/>
          <w:color w:val="auto"/>
        </w:rPr>
      </w:pPr>
      <w:r>
        <w:rPr>
          <w:rFonts w:ascii="Arial" w:cs="Arial" w:eastAsia="Arial" w:hAnsi="Arial"/>
          <w:sz w:val="19"/>
          <w:szCs w:val="19"/>
          <w:color w:val="auto"/>
        </w:rPr>
        <w:t>Each certificate representing pre-Reverse Stock Split shares of Common Stock will be deemed for all corporate purposes to evidence ownership of post-Reverse Stock Split Common Stock at the effective time of the Reverse Stock Split. As soon as practicable after the Effective Date, Computershare (the “Transfer Agent”) will mail a letter of transmittal to the Company’s stockholders containing instructions on how a stockholder should surrender its, his or her certificate(s) representing pre-Reverse Stock Split shares of Common Stock to the Transfer Agent in exchange for certificate(s) representing post-Reverse Stock Split shares of Common Stock. No certificate(s) representing post-Reverse Stock Split shares of Common Stock will be issued to a stockholder until such stockholder has surrendered all certificate(s) representing pre-Reverse Stock Split shares of Common Stock, together with a properly completed and executed letter of transmittal, to the Transfer Agent. No stockholder will be required to pay a transfer or other fee to exchange its, his or her certificate(s) representing pre-Reverse Stock Split shares of Common Stock for certificate(s) representing post-Reverse Stock Split shares of Common Stock registered in the same name.</w:t>
      </w:r>
    </w:p>
    <w:p>
      <w:pPr>
        <w:spacing w:after="0" w:line="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8"/>
          <w:szCs w:val="18"/>
          <w:color w:val="auto"/>
        </w:rPr>
        <w:t>Stockholders who hold uncertificated shares of Common Stock electronically in “book-entry” form will have their holdings electronically adjusted by the Transfer Agent (and, for beneficial owners, by their brokers or banks that hold in “street name” for their benefit, as the case may be) to give effect to the Reverse Stock Split. If any certificate(s) or book-entry statement(s) representing pre-Reverse Stock Split shares of Common Stock to be exchanged contain a restrictive legend or notation, as applicable, the certificate(s) or book-entry statement(s) representing post-Reverse Stock Split shares of Common Stock will contain the same restrictive legend or notation.</w:t>
      </w:r>
    </w:p>
    <w:p>
      <w:pPr>
        <w:spacing w:after="0" w:line="6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9"/>
          <w:szCs w:val="19"/>
          <w:color w:val="auto"/>
        </w:rPr>
        <w:t>Any stockholder whose share certificate(s) representing pre-Reverse Stock Split shares of Common Stock has been lost, stolen or destroyed will only be issued post-Reverse Stock Split Common Stock after complying with the requirements that the Company and the Transfer Agent customarily apply in connection with lost, stolen or destroyed certificates.</w:t>
      </w:r>
    </w:p>
    <w:p>
      <w:pPr>
        <w:spacing w:after="0" w:line="53" w:lineRule="exact"/>
        <w:rPr>
          <w:sz w:val="20"/>
          <w:szCs w:val="20"/>
          <w:color w:val="auto"/>
        </w:rPr>
      </w:pPr>
    </w:p>
    <w:p>
      <w:pPr>
        <w:ind w:right="180" w:firstLine="648"/>
        <w:spacing w:after="0" w:line="301" w:lineRule="auto"/>
        <w:rPr>
          <w:sz w:val="20"/>
          <w:szCs w:val="20"/>
          <w:color w:val="auto"/>
        </w:rPr>
      </w:pPr>
      <w:r>
        <w:rPr>
          <w:rFonts w:ascii="Arial" w:cs="Arial" w:eastAsia="Arial" w:hAnsi="Arial"/>
          <w:sz w:val="19"/>
          <w:szCs w:val="19"/>
          <w:color w:val="auto"/>
        </w:rPr>
        <w:t>The foregoing summary of the Certificate of Amendment is qualified in its entirety by reference to the Certificate of Amendment, a copy of which is filed as Exhibit 3.1 to this Current Report on Form 8-K and is incorporated by reference herein.</w:t>
      </w:r>
    </w:p>
    <w:p>
      <w:pPr>
        <w:spacing w:after="0" w:line="40"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3" w:name="page4"/>
    <w:bookmarkEnd w:id="3"/>
    <w:p>
      <w:pPr>
        <w:ind w:right="120" w:firstLine="648"/>
        <w:spacing w:after="0" w:line="274" w:lineRule="auto"/>
        <w:rPr>
          <w:sz w:val="20"/>
          <w:szCs w:val="20"/>
          <w:color w:val="auto"/>
        </w:rPr>
      </w:pPr>
      <w:r>
        <w:rPr>
          <w:rFonts w:ascii="Arial" w:cs="Arial" w:eastAsia="Arial" w:hAnsi="Arial"/>
          <w:sz w:val="20"/>
          <w:szCs w:val="20"/>
          <w:color w:val="auto"/>
        </w:rPr>
        <w:t>The matter that was voted upon at the Special Meeting on August 2, 2023, and the number of votes cast for or against, as well as the number of abstentions and broker non-votes as to such matter are set forth below.</w:t>
      </w:r>
    </w:p>
    <w:p>
      <w:pPr>
        <w:spacing w:after="0" w:line="298" w:lineRule="exact"/>
        <w:rPr>
          <w:sz w:val="20"/>
          <w:szCs w:val="20"/>
          <w:color w:val="auto"/>
        </w:rPr>
      </w:pPr>
    </w:p>
    <w:p>
      <w:pPr>
        <w:jc w:val="both"/>
        <w:ind w:left="980" w:right="420" w:hanging="971"/>
        <w:spacing w:after="0" w:line="267" w:lineRule="auto"/>
        <w:rPr>
          <w:sz w:val="20"/>
          <w:szCs w:val="20"/>
          <w:color w:val="auto"/>
        </w:rPr>
      </w:pPr>
      <w:r>
        <w:rPr>
          <w:rFonts w:ascii="Arial" w:cs="Arial" w:eastAsia="Arial" w:hAnsi="Arial"/>
          <w:sz w:val="20"/>
          <w:szCs w:val="20"/>
          <w:b w:val="1"/>
          <w:bCs w:val="1"/>
          <w:i w:val="1"/>
          <w:iCs w:val="1"/>
          <w:color w:val="auto"/>
        </w:rPr>
        <w:t>Proposal No. 1 — Adopt the Certificate of Amendment to the Second Amended and Restated Certificate of Incorporation to effect the Reverse Stock Split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Type of Security</w:t>
            </w:r>
          </w:p>
        </w:tc>
        <w:tc>
          <w:tcPr>
            <w:tcW w:w="100" w:type="dxa"/>
            <w:vAlign w:val="bottom"/>
          </w:tcPr>
          <w:p>
            <w:pPr>
              <w:spacing w:after="0"/>
              <w:rPr>
                <w:sz w:val="22"/>
                <w:szCs w:val="22"/>
                <w:color w:val="auto"/>
              </w:rPr>
            </w:pPr>
          </w:p>
        </w:tc>
        <w:tc>
          <w:tcPr>
            <w:tcW w:w="2180" w:type="dxa"/>
            <w:vAlign w:val="bottom"/>
            <w:tcBorders>
              <w:bottom w:val="single" w:sz="8" w:color="auto"/>
            </w:tcBorders>
          </w:tcPr>
          <w:p>
            <w:pPr>
              <w:ind w:left="940"/>
              <w:spacing w:after="0"/>
              <w:rPr>
                <w:sz w:val="20"/>
                <w:szCs w:val="20"/>
                <w:color w:val="auto"/>
              </w:rPr>
            </w:pPr>
            <w:r>
              <w:rPr>
                <w:rFonts w:ascii="Arial" w:cs="Arial" w:eastAsia="Arial" w:hAnsi="Arial"/>
                <w:sz w:val="20"/>
                <w:szCs w:val="20"/>
                <w:color w:val="auto"/>
              </w:rPr>
              <w:t>For</w:t>
            </w:r>
          </w:p>
        </w:tc>
        <w:tc>
          <w:tcPr>
            <w:tcW w:w="100" w:type="dxa"/>
            <w:vAlign w:val="bottom"/>
          </w:tcPr>
          <w:p>
            <w:pPr>
              <w:spacing w:after="0"/>
              <w:rPr>
                <w:sz w:val="22"/>
                <w:szCs w:val="22"/>
                <w:color w:val="auto"/>
              </w:rPr>
            </w:pPr>
          </w:p>
        </w:tc>
        <w:tc>
          <w:tcPr>
            <w:tcW w:w="2160" w:type="dxa"/>
            <w:vAlign w:val="bottom"/>
            <w:tcBorders>
              <w:bottom w:val="single" w:sz="8" w:color="auto"/>
            </w:tcBorders>
          </w:tcPr>
          <w:p>
            <w:pPr>
              <w:ind w:left="760"/>
              <w:spacing w:after="0"/>
              <w:rPr>
                <w:sz w:val="20"/>
                <w:szCs w:val="20"/>
                <w:color w:val="auto"/>
              </w:rPr>
            </w:pPr>
            <w:r>
              <w:rPr>
                <w:rFonts w:ascii="Arial" w:cs="Arial" w:eastAsia="Arial" w:hAnsi="Arial"/>
                <w:sz w:val="20"/>
                <w:szCs w:val="20"/>
                <w:color w:val="auto"/>
              </w:rPr>
              <w:t>Against</w:t>
            </w:r>
          </w:p>
        </w:tc>
        <w:tc>
          <w:tcPr>
            <w:tcW w:w="80" w:type="dxa"/>
            <w:vAlign w:val="bottom"/>
          </w:tcPr>
          <w:p>
            <w:pPr>
              <w:spacing w:after="0"/>
              <w:rPr>
                <w:sz w:val="22"/>
                <w:szCs w:val="22"/>
                <w:color w:val="auto"/>
              </w:rPr>
            </w:pPr>
          </w:p>
        </w:tc>
        <w:tc>
          <w:tcPr>
            <w:tcW w:w="2160" w:type="dxa"/>
            <w:vAlign w:val="bottom"/>
            <w:tcBorders>
              <w:bottom w:val="single" w:sz="8" w:color="auto"/>
            </w:tcBorders>
          </w:tcPr>
          <w:p>
            <w:pPr>
              <w:ind w:left="620"/>
              <w:spacing w:after="0"/>
              <w:rPr>
                <w:sz w:val="20"/>
                <w:szCs w:val="20"/>
                <w:color w:val="auto"/>
              </w:rPr>
            </w:pPr>
            <w:r>
              <w:rPr>
                <w:rFonts w:ascii="Arial" w:cs="Arial" w:eastAsia="Arial" w:hAnsi="Arial"/>
                <w:sz w:val="20"/>
                <w:szCs w:val="20"/>
                <w:color w:val="auto"/>
              </w:rPr>
              <w:t>Abstentions</w:t>
            </w:r>
          </w:p>
        </w:tc>
        <w:tc>
          <w:tcPr>
            <w:tcW w:w="100" w:type="dxa"/>
            <w:vAlign w:val="bottom"/>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Broker Non-Votes</w:t>
            </w:r>
          </w:p>
        </w:tc>
      </w:tr>
      <w:tr>
        <w:trPr>
          <w:trHeight w:val="255"/>
        </w:trPr>
        <w:tc>
          <w:tcPr>
            <w:tcW w:w="21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0"/>
              </w:rPr>
              <w:t>Common Stock</w:t>
            </w:r>
          </w:p>
        </w:tc>
        <w:tc>
          <w:tcPr>
            <w:tcW w:w="2280" w:type="dxa"/>
            <w:vAlign w:val="bottom"/>
            <w:gridSpan w:val="2"/>
            <w:shd w:val="clear" w:color="auto" w:fill="CCEEFF"/>
          </w:tcPr>
          <w:p>
            <w:pPr>
              <w:jc w:val="center"/>
              <w:ind w:left="1"/>
              <w:spacing w:after="0"/>
              <w:rPr>
                <w:sz w:val="20"/>
                <w:szCs w:val="20"/>
                <w:color w:val="auto"/>
              </w:rPr>
            </w:pPr>
            <w:r>
              <w:rPr>
                <w:rFonts w:ascii="Arial" w:cs="Arial" w:eastAsia="Arial" w:hAnsi="Arial"/>
                <w:sz w:val="20"/>
                <w:szCs w:val="20"/>
                <w:color w:val="auto"/>
                <w:w w:val="89"/>
              </w:rPr>
              <w:t>75,279,465</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7"/>
              </w:rPr>
              <w:t>2,515,152</w:t>
            </w:r>
          </w:p>
        </w:tc>
        <w:tc>
          <w:tcPr>
            <w:tcW w:w="2240" w:type="dxa"/>
            <w:vAlign w:val="bottom"/>
            <w:gridSpan w:val="2"/>
            <w:shd w:val="clear" w:color="auto" w:fill="CCEEFF"/>
          </w:tcPr>
          <w:p>
            <w:pPr>
              <w:jc w:val="center"/>
              <w:ind w:left="1"/>
              <w:spacing w:after="0"/>
              <w:rPr>
                <w:sz w:val="20"/>
                <w:szCs w:val="20"/>
                <w:color w:val="auto"/>
              </w:rPr>
            </w:pPr>
            <w:r>
              <w:rPr>
                <w:rFonts w:ascii="Arial" w:cs="Arial" w:eastAsia="Arial" w:hAnsi="Arial"/>
                <w:sz w:val="20"/>
                <w:szCs w:val="20"/>
                <w:color w:val="auto"/>
                <w:w w:val="88"/>
              </w:rPr>
              <w:t>66,010</w:t>
            </w: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w:t>
            </w:r>
          </w:p>
        </w:tc>
      </w:tr>
      <w:tr>
        <w:trPr>
          <w:trHeight w:val="243"/>
        </w:trPr>
        <w:tc>
          <w:tcPr>
            <w:tcW w:w="2160" w:type="dxa"/>
            <w:vAlign w:val="bottom"/>
          </w:tcPr>
          <w:p>
            <w:pPr>
              <w:jc w:val="center"/>
              <w:spacing w:after="0"/>
              <w:rPr>
                <w:sz w:val="20"/>
                <w:szCs w:val="20"/>
                <w:color w:val="auto"/>
              </w:rPr>
            </w:pPr>
            <w:r>
              <w:rPr>
                <w:rFonts w:ascii="Arial" w:cs="Arial" w:eastAsia="Arial" w:hAnsi="Arial"/>
                <w:sz w:val="20"/>
                <w:szCs w:val="20"/>
                <w:color w:val="auto"/>
                <w:w w:val="87"/>
              </w:rPr>
              <w:t>Series A Preferred</w:t>
            </w:r>
          </w:p>
        </w:tc>
        <w:tc>
          <w:tcPr>
            <w:tcW w:w="100" w:type="dxa"/>
            <w:vAlign w:val="bottom"/>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1,087,350,000</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7"/>
        </w:trPr>
        <w:tc>
          <w:tcPr>
            <w:tcW w:w="21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Total</w:t>
            </w:r>
          </w:p>
        </w:tc>
        <w:tc>
          <w:tcPr>
            <w:tcW w:w="2280" w:type="dxa"/>
            <w:vAlign w:val="bottom"/>
            <w:gridSpan w:val="2"/>
            <w:shd w:val="clear" w:color="auto" w:fill="CCEEFF"/>
          </w:tcPr>
          <w:p>
            <w:pPr>
              <w:jc w:val="center"/>
              <w:ind w:left="1"/>
              <w:spacing w:after="0"/>
              <w:rPr>
                <w:sz w:val="20"/>
                <w:szCs w:val="20"/>
                <w:color w:val="auto"/>
              </w:rPr>
            </w:pPr>
            <w:r>
              <w:rPr>
                <w:rFonts w:ascii="Arial" w:cs="Arial" w:eastAsia="Arial" w:hAnsi="Arial"/>
                <w:sz w:val="20"/>
                <w:szCs w:val="20"/>
                <w:color w:val="auto"/>
                <w:w w:val="89"/>
              </w:rPr>
              <w:t>1,162,629,465</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7"/>
              </w:rPr>
              <w:t>2,515,152</w:t>
            </w:r>
          </w:p>
        </w:tc>
        <w:tc>
          <w:tcPr>
            <w:tcW w:w="2240" w:type="dxa"/>
            <w:vAlign w:val="bottom"/>
            <w:gridSpan w:val="2"/>
            <w:shd w:val="clear" w:color="auto" w:fill="CCEEFF"/>
          </w:tcPr>
          <w:p>
            <w:pPr>
              <w:jc w:val="center"/>
              <w:ind w:left="1"/>
              <w:spacing w:after="0"/>
              <w:rPr>
                <w:sz w:val="20"/>
                <w:szCs w:val="20"/>
                <w:color w:val="auto"/>
              </w:rPr>
            </w:pPr>
            <w:r>
              <w:rPr>
                <w:rFonts w:ascii="Arial" w:cs="Arial" w:eastAsia="Arial" w:hAnsi="Arial"/>
                <w:sz w:val="20"/>
                <w:szCs w:val="20"/>
                <w:color w:val="auto"/>
                <w:w w:val="88"/>
              </w:rPr>
              <w:t>66,010</w:t>
            </w:r>
          </w:p>
        </w:tc>
        <w:tc>
          <w:tcPr>
            <w:tcW w:w="100" w:type="dxa"/>
            <w:vAlign w:val="bottom"/>
            <w:shd w:val="clear" w:color="auto" w:fill="CCEEFF"/>
          </w:tcPr>
          <w:p>
            <w:pPr>
              <w:spacing w:after="0"/>
              <w:rPr>
                <w:sz w:val="23"/>
                <w:szCs w:val="23"/>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right="400" w:firstLine="648"/>
        <w:spacing w:after="0" w:line="349" w:lineRule="auto"/>
        <w:rPr>
          <w:sz w:val="20"/>
          <w:szCs w:val="20"/>
          <w:color w:val="auto"/>
        </w:rPr>
      </w:pPr>
      <w:r>
        <w:rPr>
          <w:rFonts w:ascii="Arial" w:cs="Arial" w:eastAsia="Arial" w:hAnsi="Arial"/>
          <w:sz w:val="16"/>
          <w:szCs w:val="16"/>
          <w:color w:val="auto"/>
        </w:rPr>
        <w:t>This proposal required the approval of both (i) the affirmative vote of a majority of the votes cast by the holders of shares of the Common Stock and Series A Preferred stock, voting together as a class, and (ii) the affirmative vote of a majority of the votes cast by the holders of shares of the Common Stock. Both voting standards were satisfied at the Special Meeting and the proposal was approved.</w:t>
      </w:r>
    </w:p>
    <w:p>
      <w:pPr>
        <w:spacing w:after="0" w:line="1"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7"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On August 3, 2023, the Company issued a press release announcing the Reverse Stock Split. A copy of the press release is attached as Exhibit 99.1 to this Current Report on Form 8-K and is incorporated herein by reference.</w:t>
      </w:r>
    </w:p>
    <w:p>
      <w:pPr>
        <w:spacing w:after="0" w:line="55" w:lineRule="exact"/>
        <w:rPr>
          <w:sz w:val="20"/>
          <w:szCs w:val="20"/>
          <w:color w:val="auto"/>
        </w:rPr>
      </w:pPr>
    </w:p>
    <w:p>
      <w:pPr>
        <w:jc w:val="both"/>
        <w:ind w:right="100" w:firstLine="648"/>
        <w:spacing w:after="0" w:line="255" w:lineRule="auto"/>
        <w:rPr>
          <w:sz w:val="20"/>
          <w:szCs w:val="20"/>
          <w:color w:val="auto"/>
        </w:rPr>
      </w:pPr>
      <w:r>
        <w:rPr>
          <w:rFonts w:ascii="Arial" w:cs="Arial" w:eastAsia="Arial" w:hAnsi="Arial"/>
          <w:sz w:val="20"/>
          <w:szCs w:val="20"/>
          <w:color w:val="auto"/>
        </w:rPr>
        <w:t>The information furnished pursuant to this Item 7.01,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Cautionary Statement Regarding Forward Looking Statements</w:t>
      </w:r>
    </w:p>
    <w:p>
      <w:pPr>
        <w:spacing w:after="0" w:line="10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9"/>
          <w:szCs w:val="19"/>
          <w:i w:val="1"/>
          <w:iCs w:val="1"/>
          <w:color w:val="auto"/>
        </w:rPr>
        <w:t>This Current Report on Form 8-K contains various forward-looking statements within the meaning of Section 27A of the Securities Act and Section 21E of the Exchange Act. Forward-looking statements reflect management’s current expectations or beliefs regarding future events, including with respect to the Reverse Stock Split and the Plan, and are subject to a number of important factors, risks, uncertainties and assumptions that could cause actual results to differ materially from those described in any forward-looking statements. These factors and risks include, but are not limited to, unanticipated developments in the Chapter 11 case that prevent, delay or negatively impact a resolution of discussions with lenders and other financial, operational and legal risks and uncertainties detailed from time to time in cautionary statements contained in the filings of the Company with the Securities and Exchange Commission. These forward-looking statements represent the Company’s judgment as of the date of this Current Report. Investors are cautioned that reliance on these forward-looking statements involve risks and uncertainties. Although the Company believes that the assumptions used in the forward-looking statements are reasonable, any of these assumptions could prove to be inaccurate and, as a result, actual results could differ materially from those expressed or implied in the forward-looking statements.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380" w:type="dxa"/>
            <w:vAlign w:val="bottom"/>
          </w:tcPr>
          <w:p>
            <w:pPr>
              <w:spacing w:after="0"/>
              <w:rPr>
                <w:sz w:val="20"/>
                <w:szCs w:val="20"/>
                <w:color w:val="auto"/>
              </w:rPr>
            </w:pPr>
          </w:p>
        </w:tc>
        <w:tc>
          <w:tcPr>
            <w:tcW w:w="9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99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9"/>
        </w:trPr>
        <w:tc>
          <w:tcPr>
            <w:tcW w:w="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3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9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00" w:type="dxa"/>
            <w:vAlign w:val="bottom"/>
            <w:gridSpan w:val="2"/>
          </w:tcPr>
          <w:p>
            <w:pPr>
              <w:ind w:left="6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9960" w:type="dxa"/>
            <w:vAlign w:val="bottom"/>
            <w:gridSpan w:val="4"/>
          </w:tcPr>
          <w:p>
            <w:pPr>
              <w:spacing w:after="0"/>
              <w:rPr>
                <w:sz w:val="20"/>
                <w:szCs w:val="20"/>
                <w:color w:val="auto"/>
              </w:rPr>
            </w:pPr>
            <w:r>
              <w:rPr>
                <w:rFonts w:ascii="Arial" w:cs="Arial" w:eastAsia="Arial" w:hAnsi="Arial"/>
                <w:sz w:val="18"/>
                <w:szCs w:val="18"/>
                <w:color w:val="0000FF"/>
              </w:rPr>
              <w:t>Certificate of Amendment to the Second Amended and Restated Certificate of Incorporation, dated August 3, 2023.</w:t>
            </w:r>
          </w:p>
        </w:tc>
        <w:tc>
          <w:tcPr>
            <w:tcW w:w="0" w:type="dxa"/>
            <w:vAlign w:val="bottom"/>
          </w:tcPr>
          <w:p>
            <w:pPr>
              <w:spacing w:after="0"/>
              <w:rPr>
                <w:sz w:val="1"/>
                <w:szCs w:val="1"/>
                <w:color w:val="auto"/>
              </w:rPr>
            </w:pPr>
          </w:p>
        </w:tc>
      </w:tr>
      <w:tr>
        <w:trPr>
          <w:trHeight w:val="209"/>
        </w:trPr>
        <w:tc>
          <w:tcPr>
            <w:tcW w:w="900" w:type="dxa"/>
            <w:vAlign w:val="bottom"/>
            <w:gridSpan w:val="2"/>
          </w:tcPr>
          <w:p>
            <w:pPr>
              <w:ind w:left="60"/>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18"/>
                <w:szCs w:val="18"/>
                <w:color w:val="auto"/>
              </w:rPr>
            </w:pPr>
          </w:p>
        </w:tc>
        <w:tc>
          <w:tcPr>
            <w:tcW w:w="82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Press Release of National CineMedia, Inc. dated August 3, 2023.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2"/>
          </w:tcPr>
          <w:p>
            <w:pPr>
              <w:ind w:left="6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1"/>
                <w:szCs w:val="21"/>
                <w:color w:val="auto"/>
              </w:rPr>
            </w:pPr>
          </w:p>
        </w:tc>
        <w:tc>
          <w:tcPr>
            <w:tcW w:w="99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79"/>
        </w:trPr>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 w:name="page5"/>
    <w:bookmarkEnd w:id="4"/>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NATIONAL CINEMEDIA, INC.</w:t>
      </w:r>
    </w:p>
    <w:p>
      <w:pPr>
        <w:spacing w:after="0" w:line="293" w:lineRule="exact"/>
        <w:rPr>
          <w:sz w:val="20"/>
          <w:szCs w:val="20"/>
          <w:color w:val="auto"/>
        </w:rPr>
      </w:pPr>
    </w:p>
    <w:p>
      <w:pPr>
        <w:ind w:left="20"/>
        <w:spacing w:after="0"/>
        <w:tabs>
          <w:tab w:leader="none" w:pos="6440" w:val="left"/>
          <w:tab w:leader="none" w:pos="7220" w:val="left"/>
        </w:tabs>
        <w:rPr>
          <w:sz w:val="20"/>
          <w:szCs w:val="20"/>
          <w:color w:val="auto"/>
        </w:rPr>
      </w:pPr>
      <w:r>
        <w:rPr>
          <w:rFonts w:ascii="Arial" w:cs="Arial" w:eastAsia="Arial" w:hAnsi="Arial"/>
          <w:sz w:val="18"/>
          <w:szCs w:val="18"/>
          <w:color w:val="auto"/>
        </w:rPr>
        <w:t>Dated: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374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Ronnie Y. Ng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460"/>
          </w:cols>
          <w:pgMar w:left="320" w:top="891" w:right="11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43"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National CineMedia, Inc., a corporation organized and existing under and by virtue of the General Corporation Law of the State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does hereby certify as follows:</w:t>
      </w:r>
    </w:p>
    <w:p>
      <w:pPr>
        <w:spacing w:after="0" w:line="238" w:lineRule="exact"/>
        <w:rPr>
          <w:sz w:val="20"/>
          <w:szCs w:val="20"/>
          <w:color w:val="auto"/>
        </w:rPr>
      </w:pPr>
    </w:p>
    <w:p>
      <w:pPr>
        <w:jc w:val="both"/>
        <w:ind w:left="1520" w:right="20" w:hanging="1499"/>
        <w:spacing w:after="0" w:line="279" w:lineRule="auto"/>
        <w:tabs>
          <w:tab w:leader="none" w:pos="1500" w:val="left"/>
        </w:tabs>
        <w:rPr>
          <w:sz w:val="20"/>
          <w:szCs w:val="20"/>
          <w:color w:val="auto"/>
        </w:rPr>
      </w:pPr>
      <w:r>
        <w:rPr>
          <w:rFonts w:ascii="Arial" w:cs="Arial" w:eastAsia="Arial" w:hAnsi="Arial"/>
          <w:sz w:val="17"/>
          <w:szCs w:val="17"/>
          <w:color w:val="auto"/>
        </w:rPr>
        <w:t>FIRST:</w:t>
      </w:r>
      <w:r>
        <w:rPr>
          <w:sz w:val="20"/>
          <w:szCs w:val="20"/>
          <w:color w:val="auto"/>
        </w:rPr>
        <w:tab/>
      </w:r>
      <w:r>
        <w:rPr>
          <w:rFonts w:ascii="Arial" w:cs="Arial" w:eastAsia="Arial" w:hAnsi="Arial"/>
          <w:sz w:val="17"/>
          <w:szCs w:val="17"/>
          <w:color w:val="auto"/>
        </w:rPr>
        <w:t>That, the Board of Directors of the Company duly adopted resolutions in accordance with Sections 141 and 242 of the General Corporation Law of the State of Delaware, recommending and declaring advisable that the Second Amended and Restated Certificate of Incorporation of the Company (as amended, the “</w:t>
      </w:r>
      <w:r>
        <w:rPr>
          <w:rFonts w:ascii="Arial" w:cs="Arial" w:eastAsia="Arial" w:hAnsi="Arial"/>
          <w:sz w:val="17"/>
          <w:szCs w:val="17"/>
          <w:u w:val="single" w:color="auto"/>
          <w:color w:val="auto"/>
        </w:rPr>
        <w:t>Second A&amp;R Certificate of Incorporation</w:t>
      </w:r>
      <w:r>
        <w:rPr>
          <w:rFonts w:ascii="Arial" w:cs="Arial" w:eastAsia="Arial" w:hAnsi="Arial"/>
          <w:sz w:val="17"/>
          <w:szCs w:val="17"/>
          <w:color w:val="auto"/>
        </w:rPr>
        <w:t>”) be further amended and that such amendment be submitted to the stockholders of the Company for their consideration, as follows:</w:t>
      </w:r>
    </w:p>
    <w:p>
      <w:pPr>
        <w:spacing w:after="0" w:line="113" w:lineRule="exact"/>
        <w:rPr>
          <w:sz w:val="20"/>
          <w:szCs w:val="20"/>
          <w:color w:val="auto"/>
        </w:rPr>
      </w:pPr>
    </w:p>
    <w:p>
      <w:pPr>
        <w:ind w:left="660" w:hanging="328"/>
        <w:spacing w:after="0" w:line="22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IV of the Second A&amp;R Certificate of Incorporation be amended to add the following new Section 4.2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existing Section 4.1 thereof:</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One-for-Ten Reverse Stock Split</w:t>
      </w:r>
      <w:r>
        <w:rPr>
          <w:rFonts w:ascii="Arial" w:cs="Arial" w:eastAsia="Arial" w:hAnsi="Arial"/>
          <w:sz w:val="18"/>
          <w:szCs w:val="18"/>
          <w:color w:val="auto"/>
        </w:rPr>
        <w:t>.</w:t>
      </w:r>
    </w:p>
    <w:p>
      <w:pPr>
        <w:spacing w:after="0" w:line="12" w:lineRule="exact"/>
        <w:rPr>
          <w:sz w:val="20"/>
          <w:szCs w:val="20"/>
          <w:color w:val="auto"/>
        </w:rPr>
      </w:pPr>
    </w:p>
    <w:p>
      <w:pPr>
        <w:jc w:val="both"/>
        <w:ind w:left="1960" w:hanging="332"/>
        <w:spacing w:after="0" w:line="238"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upon the filing of the Certificate of Amendment with the Secretary of State of the State of Delaware (the “Effective Time”), each ten (10) shares of Common Stock issued and outstanding immediately prior to the Effective Time, shall, automatically and without any further action on the part of any stockholders of the Corporation, be reclassified as one (1) share of Common Stock (the “Reverse Stock Split”).</w:t>
      </w:r>
    </w:p>
    <w:p>
      <w:pPr>
        <w:spacing w:after="0" w:line="215" w:lineRule="exact"/>
        <w:rPr>
          <w:rFonts w:ascii="Arial" w:cs="Arial" w:eastAsia="Arial" w:hAnsi="Arial"/>
          <w:sz w:val="18"/>
          <w:szCs w:val="18"/>
          <w:color w:val="auto"/>
        </w:rPr>
      </w:pPr>
    </w:p>
    <w:p>
      <w:pPr>
        <w:jc w:val="both"/>
        <w:ind w:left="1960" w:hanging="332"/>
        <w:spacing w:after="0" w:line="253" w:lineRule="auto"/>
        <w:tabs>
          <w:tab w:leader="none" w:pos="2031"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stock certificate (or book entry shares) representing shares of Common Stock immediately prior to the Effective Time shall, from and after the Effective Time, represent that number of shares which shall have been reclassified pursuant to the Reverse Stock Split; provided, however, that each holder of any stock certificate(s) that represented shares of Common Stock immediately prior to the Effective Time shall be entitled to receive, upon surrender of such certificate(s), one or more certificates (or book entry shares) evidencing and representing the number of shares of Common Stock into which the shares represented by such certificate(s) (or book entries) shall have been reclassified pursuant to the Reverse Stock Split.</w:t>
      </w:r>
    </w:p>
    <w:p>
      <w:pPr>
        <w:spacing w:after="0" w:line="208" w:lineRule="exact"/>
        <w:rPr>
          <w:rFonts w:ascii="Arial" w:cs="Arial" w:eastAsia="Arial" w:hAnsi="Arial"/>
          <w:sz w:val="17"/>
          <w:szCs w:val="17"/>
          <w:color w:val="auto"/>
        </w:rPr>
      </w:pPr>
    </w:p>
    <w:p>
      <w:pPr>
        <w:jc w:val="both"/>
        <w:ind w:left="1960" w:hanging="332"/>
        <w:spacing w:after="0" w:line="257" w:lineRule="auto"/>
        <w:tabs>
          <w:tab w:leader="none" w:pos="1962" w:val="left"/>
        </w:tabs>
        <w:numPr>
          <w:ilvl w:val="0"/>
          <w:numId w:val="4"/>
        </w:numPr>
        <w:rPr>
          <w:rFonts w:ascii="Arial" w:cs="Arial" w:eastAsia="Arial" w:hAnsi="Arial"/>
          <w:sz w:val="17"/>
          <w:szCs w:val="17"/>
          <w:color w:val="auto"/>
        </w:rPr>
      </w:pPr>
      <w:r>
        <w:rPr>
          <w:rFonts w:ascii="Arial" w:cs="Arial" w:eastAsia="Arial" w:hAnsi="Arial"/>
          <w:sz w:val="17"/>
          <w:szCs w:val="17"/>
          <w:color w:val="auto"/>
        </w:rPr>
        <w:t>No fractional shares shall be issued for shares of Common Stock pursuant to the Reverse Stock Split. If the Reverse Stock Split would result in the issuance of any fractional share of Common Stock, each fractional share of Common Stock will be (i) rounded up to the nearest whole share of Common Stock after all of the fractional interests of a holder have been aggregated, if such shares of Common Stock are held directly or (ii) rounded down to the nearest whole share of Common Stock, if such shares are subject to an award granted under an incentive plan, in order to comply with the requirements of Sections 409A and 424 of the Internal Revenue Code of 1986, as amended, and the regulations issued thereunder.”</w:t>
      </w:r>
    </w:p>
    <w:p>
      <w:pPr>
        <w:sectPr>
          <w:pgSz w:w="11900" w:h="16838" w:orient="portrait"/>
          <w:cols w:equalWidth="0" w:num="1">
            <w:col w:w="11240"/>
          </w:cols>
          <w:pgMar w:left="320" w:top="121"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That, at a special meeting of stockholders of the Company, the aforesaid amendment was duly adopted by the stockholders of the Company.</w:t>
      </w:r>
    </w:p>
    <w:p>
      <w:pPr>
        <w:spacing w:after="0" w:line="117" w:lineRule="exact"/>
        <w:rPr>
          <w:sz w:val="20"/>
          <w:szCs w:val="20"/>
          <w:color w:val="auto"/>
        </w:rPr>
      </w:pPr>
    </w:p>
    <w:p>
      <w:pPr>
        <w:sectPr>
          <w:pgSz w:w="11900" w:h="16838" w:orient="portrait"/>
          <w:cols w:equalWidth="0" w:num="2">
            <w:col w:w="800" w:space="720"/>
            <w:col w:w="972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THIRD:</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Arial" w:cs="Arial" w:eastAsia="Arial" w:hAnsi="Arial"/>
          <w:sz w:val="18"/>
          <w:szCs w:val="18"/>
          <w:color w:val="auto"/>
        </w:rPr>
        <w:t>That, the aforesaid amendment was duly adopted in accordance with the applicable provisions of Section 242 of the General Corporation Law of the State of Delaware.</w:t>
      </w:r>
    </w:p>
    <w:p>
      <w:pPr>
        <w:sectPr>
          <w:pgSz w:w="11900" w:h="16838" w:orient="portrait"/>
          <w:cols w:equalWidth="0" w:num="2">
            <w:col w:w="800" w:space="720"/>
            <w:col w:w="9720"/>
          </w:cols>
          <w:pgMar w:left="320" w:top="121" w:right="3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441"/>
        <w:spacing w:after="0" w:line="222" w:lineRule="auto"/>
        <w:rPr>
          <w:sz w:val="20"/>
          <w:szCs w:val="20"/>
          <w:color w:val="auto"/>
        </w:rPr>
      </w:pPr>
      <w:r>
        <w:rPr>
          <w:rFonts w:ascii="Arial" w:cs="Arial" w:eastAsia="Arial" w:hAnsi="Arial"/>
          <w:sz w:val="18"/>
          <w:szCs w:val="18"/>
          <w:color w:val="auto"/>
        </w:rPr>
        <w:t>IN WITNESS WHEREOF, the Company has caused this Certificate of Amendment to be signed by its Chief Financial Officer on this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August, 2023.</w:t>
      </w:r>
    </w:p>
    <w:p>
      <w:pPr>
        <w:spacing w:after="0" w:line="294"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NATIONAL CINEMEDIA, INC.</w:t>
      </w:r>
    </w:p>
    <w:p>
      <w:pPr>
        <w:spacing w:after="0" w:line="121" w:lineRule="exact"/>
        <w:rPr>
          <w:sz w:val="20"/>
          <w:szCs w:val="20"/>
          <w:color w:val="auto"/>
        </w:rPr>
      </w:pPr>
    </w:p>
    <w:p>
      <w:pPr>
        <w:ind w:left="646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Ronnie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320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Ronnie Ng</w:t>
      </w:r>
    </w:p>
    <w:p>
      <w:pPr>
        <w:spacing w:after="0" w:line="1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44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702945</wp:posOffset>
            </wp:positionV>
            <wp:extent cx="2134235"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Announces Reverse Stock Split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Effective Open of Business on August 4, 2023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Reverse Stock Split Fulfills Obligations Under Restructuring Support Agreement and NCMI 9019 Settlement</w:t>
      </w:r>
    </w:p>
    <w:p>
      <w:pPr>
        <w:spacing w:after="0" w:line="22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CENTENNIAL, Colo.- August 3, 2023 – National CineMedia, Inc. (Nasdaq: NCMI) (“the Company”), the managing member and owner of National CineMedia, LLC (“NCM LLC”), the operator of the largest cinema advertising platform in the U.S., today announced it has effectuated a 1-for-10 Reverse Stock Split of its Common Stock. The Company’s Common Stock will automatically begin trading on a split-adjusted basis at the opening of the market on August 4, 2023, under the existing trading symbol “NCMI.”</w:t>
      </w:r>
    </w:p>
    <w:p>
      <w:pPr>
        <w:spacing w:after="0" w:line="21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At the Special Meeting of Stockholders held on August 2, 2023, the Company’s stockholders approved a Reverse Stock Split at a ratio range between 1-for-10 and 1-for-100. Following the Special Meeting of Stockholders, on August 2, 2023, the Company’s Board of Directors voted to approve the Reverse Stock Split and established a 1-for-10 ratio. The Reverse Stock Split will impact all shares of Common Stock and reduce the number of public shares from 174,191,498 to approximately 17,419,150.</w:t>
      </w:r>
    </w:p>
    <w:p>
      <w:pPr>
        <w:spacing w:after="0" w:line="215" w:lineRule="exact"/>
        <w:rPr>
          <w:sz w:val="20"/>
          <w:szCs w:val="20"/>
          <w:color w:val="auto"/>
        </w:rPr>
      </w:pPr>
    </w:p>
    <w:p>
      <w:pPr>
        <w:jc w:val="both"/>
        <w:ind w:right="180"/>
        <w:spacing w:after="0" w:line="271" w:lineRule="auto"/>
        <w:rPr>
          <w:sz w:val="20"/>
          <w:szCs w:val="20"/>
          <w:color w:val="auto"/>
        </w:rPr>
      </w:pPr>
      <w:r>
        <w:rPr>
          <w:rFonts w:ascii="Arial" w:cs="Arial" w:eastAsia="Arial" w:hAnsi="Arial"/>
          <w:sz w:val="16"/>
          <w:szCs w:val="16"/>
          <w:color w:val="auto"/>
        </w:rPr>
        <w:t>The Reverse Stock Split will enable the Company to fulfill its obligations under the Restructuring Support Agreement between the Company, NCM LLC and certain of NCM LLC’s secured lenders, and moves NCM LLC one step closer to achieving its Chapter 11 Plan of Reorganization. The Reverse Stock Split is also expected to allow the Company to regain compliance with the $1.00 minimum average closing price requirement of Nasdaq.</w:t>
      </w:r>
    </w:p>
    <w:p>
      <w:pPr>
        <w:ind w:right="160"/>
        <w:spacing w:after="0" w:line="234" w:lineRule="auto"/>
        <w:rPr>
          <w:sz w:val="20"/>
          <w:szCs w:val="20"/>
          <w:color w:val="auto"/>
        </w:rPr>
      </w:pPr>
      <w:r>
        <w:rPr>
          <w:rFonts w:ascii="Arial" w:cs="Arial" w:eastAsia="Arial" w:hAnsi="Arial"/>
          <w:sz w:val="18"/>
          <w:szCs w:val="18"/>
          <w:color w:val="auto"/>
        </w:rPr>
        <w:t>The Company did not issue fractional shares in connection with the Reverse Stock Split. Instead, any stockholders’ Common Stock who would have been entitled to receive fractional shares as a result of the Reverse Stock Split will have their shares rounded in accordance with the approved Reverse Stock Split. On August 2, 2023, the Company filed a Certificate of Amendment with the Securities and Exchange Commission (the "SEC") to effectuate the approved 1-for-10 Reverse Stock Split.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for National CineMedia, Inc. Stockholders</w:t>
      </w:r>
    </w:p>
    <w:p>
      <w:pPr>
        <w:spacing w:after="0" w:line="1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Additional information about the Reverse Stock Split can be found in the Company's Special Proxy Statement filed with the SEC on July 5, 2023, which is available free of charge at the SEC's website here, and on the Company's website here.</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b w:val="1"/>
          <w:bCs w:val="1"/>
          <w:color w:val="auto"/>
        </w:rPr>
        <w:t xml:space="preserve">About the Company </w:t>
      </w:r>
      <w:r>
        <w:rPr>
          <w:rFonts w:ascii="Arial" w:cs="Arial" w:eastAsia="Arial" w:hAnsi="Arial"/>
          <w:sz w:val="18"/>
          <w:szCs w:val="18"/>
          <w:color w:val="auto"/>
        </w:rPr>
        <w:t>National CineMedia (NCM) is America’s Movie Network. As the largest cinema advertising platform in the U.S., we unite brands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young, diverse audiences through the power of movies and popular culture. NCM’s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is presented exclusively in 47 leading national and regional theater circuits including AMC Entertainment Inc. (NYSE:AMC), Cinemark Holdings, Inc. (NYSE:CNK) and Regal Entertainment Group (a subsidiary of Cineworld Group PLC, LON: CINE). NCM’s cinema advertising platform offers broad reach and unparalleled audience engagement with more than 19,400 screens in over 1,550 theaters in 195 Designated Market Areas® (all of the top 50). NCM Digital and Digital-Out-Of-Home (DOOH) go beyond the big screen, extending in-theater campaigns into online, mobile, and place-based marketing programs to reach entertainment audiences. National CineMedia, Inc. (NASDAQ:NCMI) indirectly owns a 100% interest in, and is the managing member of, National CineMedia, LLC. For more information, visit www.ncm.com and www.noovie.com.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i w:val="1"/>
          <w:iCs w:val="1"/>
          <w:color w:val="auto"/>
        </w:rPr>
        <w:t>This press release contains various forward-looking statements that reflect management’s current expectations or beliefs regarding future events and results of operations, including the Company’s emergence from Chapter 11, statements concerning the ultimate impact of the restructuring on the Company and NCM Inc.’s business, the Company’s listing with Nasdaq, and ongoing business prospects, among others. Investors are cautioned that reliance on these forward-looking statements involves risks and uncertainties. Although the Company believes that</w:t>
      </w:r>
    </w:p>
    <w:p>
      <w:pPr>
        <w:sectPr>
          <w:pgSz w:w="11900" w:h="16838" w:orient="portrait"/>
          <w:cols w:equalWidth="0" w:num="1">
            <w:col w:w="11240"/>
          </w:cols>
          <w:pgMar w:left="320" w:top="121" w:right="339" w:bottom="1440" w:gutter="0" w:footer="0" w:header="0"/>
        </w:sectPr>
      </w:pPr>
    </w:p>
    <w:bookmarkStart w:id="8" w:name="page9"/>
    <w:bookmarkEnd w:id="8"/>
    <w:p>
      <w:pPr>
        <w:spacing w:after="0" w:line="236" w:lineRule="auto"/>
        <w:rPr>
          <w:sz w:val="20"/>
          <w:szCs w:val="20"/>
          <w:color w:val="auto"/>
        </w:rPr>
      </w:pPr>
      <w:r>
        <w:rPr>
          <w:rFonts w:ascii="Arial" w:cs="Arial" w:eastAsia="Arial" w:hAnsi="Arial"/>
          <w:sz w:val="18"/>
          <w:szCs w:val="18"/>
          <w:i w:val="1"/>
          <w:iCs w:val="1"/>
          <w:color w:val="auto"/>
        </w:rPr>
        <w:t>the assumptions used in the forward-looking statements are reasonable, any of these assumptions could prove to be inaccurate and, as a result, actual results could differ materially from those expressed or implied in the forward-looking statements. These factors and risks include, but are not limited to, unanticipated developments that prevent, delay or negatively impact a resolution of discussions with lenders and other financial, operational and legal risks and uncertainties detailed from time to time in cautionary statements contained in the filings of the Company with the Securities and Exchange Commission. Please refer to the Company’s Securities and Exchange Commission filings, including the “Risk Factor” section of the Company’s Annual Report on Form 10-K for the year ended December 29, 2022, and subsequent Quarterly Reports on Form 10-Q, for further information about these and other risks. Investors are cautioned not to place undue reliance on any such forward-looking statements, which are presented only as of the date they are made. The Company undertakes no obligation to update any forward-looking statement, whether as a result, of new information, future events or otherwise, except as required by law.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4FF"/>
        </w:rPr>
        <w:t>investors@ncm.com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Pam Workman</w:t>
      </w:r>
    </w:p>
    <w:p>
      <w:pPr>
        <w:spacing w:after="0" w:line="234" w:lineRule="auto"/>
        <w:rPr>
          <w:sz w:val="20"/>
          <w:szCs w:val="20"/>
          <w:color w:val="auto"/>
        </w:rPr>
      </w:pPr>
      <w:r>
        <w:rPr>
          <w:rFonts w:ascii="Arial" w:cs="Arial" w:eastAsia="Arial" w:hAnsi="Arial"/>
          <w:sz w:val="18"/>
          <w:szCs w:val="18"/>
          <w:u w:val="single" w:color="auto"/>
          <w:color w:val="0094FF"/>
        </w:rPr>
        <w:t>pam.workman@ncm.com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4FF"/>
        </w:rPr>
        <w:t>press@ncm.com</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2023-08-03T11:36:39Z</dcterms:created>
  <dcterms:modified xsi:type="dcterms:W3CDTF">2023-08-03T11:36:39Z</dcterms:modified>
</cp:coreProperties>
</file>