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National CineMedia,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Hotchkis and Wiley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8,113,552.00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9,451,093.00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9,451,093.00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National CineMedia,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6300 S. SYRACUSE WAY, SUITE 300, CENTENNIAL, CO, 80111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Hotchkis and Wiley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601 S. Figueroa Street, 39th Fl, Los Angeles, CA 90017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9,451,093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8,113,552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9,451,093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Note that certain of HWCM's clients have retained voting power over the Common Shares that they beneficially own. Accordingly, HWCM has the power to dispose of more Common Shares than it can vote.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as to which this Schedule is filed by HWCM, in its capacity as investment adviser, are owned of record by clients of HWCM. Those clients have the right to receive, or the power to direct the receipt of, dividends from, or the proceeds from the sale of, such securities. No such client is known to have such right or power with respect to more than five percent of this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Hotchkis and Wiley Capital Management, LLC</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Tina H. Kodama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Tina H. Kodama | Chief Compliance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944</Words>
  <Characters>4768</Characters>
  <CharactersWithSpaces>5702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