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line="238"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color w:val="auto"/>
        </w:rPr>
        <w:t>___________________________________________</w:t>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ind w:left="4040"/>
        <w:spacing w:after="0"/>
        <w:rPr>
          <w:sz w:val="20"/>
          <w:szCs w:val="20"/>
          <w:color w:val="auto"/>
        </w:rPr>
      </w:pPr>
      <w:r>
        <w:rPr>
          <w:rFonts w:ascii="Times New Roman" w:cs="Times New Roman" w:eastAsia="Times New Roman" w:hAnsi="Times New Roman"/>
          <w:sz w:val="14"/>
          <w:szCs w:val="14"/>
          <w:color w:val="auto"/>
        </w:rPr>
        <w:t>____________________________________________</w:t>
      </w:r>
    </w:p>
    <w:p>
      <w:pPr>
        <w:spacing w:after="0" w:line="228" w:lineRule="exact"/>
        <w:rPr>
          <w:sz w:val="24"/>
          <w:szCs w:val="24"/>
          <w:color w:val="auto"/>
        </w:rPr>
      </w:pPr>
    </w:p>
    <w:p>
      <w:pPr>
        <w:ind w:left="3660" w:right="780" w:hanging="3436"/>
        <w:spacing w:after="0" w:line="383" w:lineRule="auto"/>
        <w:tabs>
          <w:tab w:leader="none" w:pos="131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24, 2020</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52" w:lineRule="exact"/>
        <w:rPr>
          <w:sz w:val="24"/>
          <w:szCs w:val="24"/>
          <w:color w:val="auto"/>
        </w:rPr>
      </w:pPr>
    </w:p>
    <w:p>
      <w:pPr>
        <w:ind w:left="4320" w:right="800" w:hanging="4130"/>
        <w:spacing w:after="0" w:line="649" w:lineRule="auto"/>
        <w:tabs>
          <w:tab w:leader="none" w:pos="1275"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 .</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001-33296</w:t>
      </w:r>
    </w:p>
    <w:p>
      <w:pPr>
        <w:spacing w:after="0" w:line="63"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4"/>
          <w:szCs w:val="14"/>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83820</wp:posOffset>
            </wp:positionV>
            <wp:extent cx="1405890" cy="274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5890" cy="27432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NATIONAL CINEMEDIA,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4"/>
          <w:szCs w:val="14"/>
          <w:color w:val="auto"/>
        </w:rPr>
        <w:t>______________________________________________</w:t>
      </w:r>
    </w:p>
    <w:p>
      <w:pPr>
        <w:sectPr>
          <w:pgSz w:w="11900" w:h="16838" w:orient="portrait"/>
          <w:cols w:equalWidth="0" w:num="1">
            <w:col w:w="11240"/>
          </w:cols>
          <w:pgMar w:left="320" w:top="767" w:right="339" w:bottom="1440" w:gutter="0" w:footer="0" w:header="0"/>
        </w:sectPr>
      </w:pPr>
    </w:p>
    <w:p>
      <w:pPr>
        <w:spacing w:after="0" w:line="120"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20-5665602</w:t>
      </w:r>
    </w:p>
    <w:p>
      <w:pPr>
        <w:spacing w:after="0" w:line="12" w:lineRule="exact"/>
        <w:rPr>
          <w:sz w:val="24"/>
          <w:szCs w:val="24"/>
          <w:color w:val="auto"/>
        </w:rPr>
      </w:pPr>
    </w:p>
    <w:p>
      <w:pPr>
        <w:sectPr>
          <w:pgSz w:w="11900" w:h="16838" w:orient="portrait"/>
          <w:cols w:equalWidth="0" w:num="2">
            <w:col w:w="7420" w:space="720"/>
            <w:col w:w="3100"/>
          </w:cols>
          <w:pgMar w:left="320" w:top="767" w:right="339" w:bottom="1440" w:gutter="0" w:footer="0" w:header="0"/>
          <w:type w:val="continuous"/>
        </w:sectPr>
      </w:pPr>
    </w:p>
    <w:p>
      <w:pPr>
        <w:ind w:left="15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4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20" w:lineRule="exact"/>
        <w:rPr>
          <w:sz w:val="24"/>
          <w:szCs w:val="24"/>
          <w:color w:val="auto"/>
        </w:rPr>
      </w:pPr>
    </w:p>
    <w:p>
      <w:pPr>
        <w:sectPr>
          <w:pgSz w:w="11900" w:h="16838" w:orient="portrait"/>
          <w:cols w:equalWidth="0" w:num="2">
            <w:col w:w="7300" w:space="720"/>
            <w:col w:w="3220"/>
          </w:cols>
          <w:pgMar w:left="320" w:top="767" w:right="33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7"/>
          <w:szCs w:val="17"/>
          <w:b w:val="1"/>
          <w:bCs w:val="1"/>
          <w:color w:val="auto"/>
        </w:rPr>
        <w:t>6300 S. Syracuse Way,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Centennial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Colorado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80111</w:t>
      </w:r>
    </w:p>
    <w:p>
      <w:pPr>
        <w:spacing w:after="0" w:line="42" w:lineRule="exact"/>
        <w:rPr>
          <w:sz w:val="24"/>
          <w:szCs w:val="24"/>
          <w:color w:val="auto"/>
        </w:rPr>
      </w:pPr>
    </w:p>
    <w:p>
      <w:pPr>
        <w:sectPr>
          <w:pgSz w:w="11900" w:h="16838" w:orient="portrait"/>
          <w:cols w:equalWidth="0" w:num="4">
            <w:col w:w="3840" w:space="720"/>
            <w:col w:w="840" w:space="320"/>
            <w:col w:w="1920" w:space="720"/>
            <w:col w:w="2880"/>
          </w:cols>
          <w:pgMar w:left="320" w:top="767" w:right="33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520" w:space="720"/>
            <w:col w:w="3000"/>
          </w:cols>
          <w:pgMar w:left="320" w:top="767" w:right="3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(303) 792-3600</w:t>
      </w:r>
    </w:p>
    <w:p>
      <w:pPr>
        <w:spacing w:after="0" w:line="1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240"/>
          </w:cols>
          <w:pgMar w:left="320" w:top="767" w:right="339" w:bottom="1440" w:gutter="0" w:footer="0" w:header="0"/>
          <w:type w:val="continuous"/>
        </w:sectPr>
      </w:pPr>
    </w:p>
    <w:p>
      <w:pPr>
        <w:spacing w:after="0" w:line="148" w:lineRule="exact"/>
        <w:rPr>
          <w:sz w:val="24"/>
          <w:szCs w:val="24"/>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Common Stock, par value $0.01 per share</w:t>
      </w:r>
    </w:p>
    <w:p>
      <w:pPr>
        <w:spacing w:after="0" w:line="27" w:lineRule="exact"/>
        <w:rPr>
          <w:sz w:val="24"/>
          <w:szCs w:val="24"/>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NCMI</w:t>
      </w:r>
    </w:p>
    <w:p>
      <w:pPr>
        <w:spacing w:after="0" w:line="27"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(Trading symbol)</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The Nasdaq Stock Market LLC</w:t>
      </w:r>
    </w:p>
    <w:p>
      <w:pPr>
        <w:spacing w:after="0" w:line="27"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92" w:lineRule="exact"/>
        <w:rPr>
          <w:sz w:val="24"/>
          <w:szCs w:val="24"/>
          <w:color w:val="auto"/>
        </w:rPr>
      </w:pPr>
    </w:p>
    <w:p>
      <w:pPr>
        <w:sectPr>
          <w:pgSz w:w="11900" w:h="16838" w:orient="portrait"/>
          <w:cols w:equalWidth="0" w:num="3">
            <w:col w:w="4160" w:space="720"/>
            <w:col w:w="1720" w:space="720"/>
            <w:col w:w="3920"/>
          </w:cols>
          <w:pgMar w:left="320" w:top="767" w:right="339" w:bottom="1440" w:gutter="0" w:footer="0" w:header="0"/>
          <w:type w:val="continuous"/>
        </w:sectPr>
      </w:pPr>
    </w:p>
    <w:p>
      <w:pPr>
        <w:ind w:left="3960"/>
        <w:spacing w:after="0"/>
        <w:rPr>
          <w:sz w:val="20"/>
          <w:szCs w:val="20"/>
          <w:color w:val="auto"/>
        </w:rPr>
      </w:pPr>
      <w:r>
        <w:rPr>
          <w:rFonts w:ascii="Times New Roman" w:cs="Times New Roman" w:eastAsia="Times New Roman" w:hAnsi="Times New Roman"/>
          <w:sz w:val="14"/>
          <w:szCs w:val="14"/>
          <w:color w:val="auto"/>
        </w:rPr>
        <w:t>______________________________________________</w:t>
      </w:r>
    </w:p>
    <w:p>
      <w:pPr>
        <w:spacing w:after="0" w:line="25" w:lineRule="exact"/>
        <w:rPr>
          <w:sz w:val="24"/>
          <w:szCs w:val="24"/>
          <w:color w:val="auto"/>
        </w:rPr>
      </w:pPr>
    </w:p>
    <w:p>
      <w:pPr>
        <w:ind w:right="300"/>
        <w:spacing w:after="0" w:line="22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ind w:right="360"/>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6"/>
          <w:szCs w:val="16"/>
          <w:color w:val="auto"/>
        </w:rPr>
        <w:t>☐</w:t>
      </w:r>
    </w:p>
    <w:p>
      <w:pPr>
        <w:spacing w:after="0" w:line="80"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Large accelerated filer</w:t>
            </w:r>
          </w:p>
        </w:tc>
        <w:tc>
          <w:tcPr>
            <w:tcW w:w="310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Accelerated filer</w:t>
            </w:r>
          </w:p>
        </w:tc>
        <w:tc>
          <w:tcPr>
            <w:tcW w:w="1000" w:type="dxa"/>
            <w:vAlign w:val="bottom"/>
          </w:tcPr>
          <w:p>
            <w:pPr>
              <w:ind w:left="560"/>
              <w:spacing w:after="0"/>
              <w:rPr>
                <w:sz w:val="20"/>
                <w:szCs w:val="20"/>
                <w:color w:val="auto"/>
              </w:rPr>
            </w:pPr>
            <w:r>
              <w:rPr>
                <w:rFonts w:ascii="Arial" w:cs="Arial" w:eastAsia="Arial" w:hAnsi="Arial"/>
                <w:sz w:val="18"/>
                <w:szCs w:val="18"/>
                <w:color w:val="auto"/>
              </w:rPr>
              <w:t>x</w:t>
            </w:r>
          </w:p>
        </w:tc>
      </w:tr>
      <w:tr>
        <w:trPr>
          <w:trHeight w:val="229"/>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Non-accelerated filer</w:t>
            </w:r>
          </w:p>
        </w:tc>
        <w:tc>
          <w:tcPr>
            <w:tcW w:w="310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2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90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0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r>
      <w:tr>
        <w:trPr>
          <w:trHeight w:val="1000"/>
        </w:trPr>
        <w:tc>
          <w:tcPr>
            <w:tcW w:w="224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type w:val="continuous"/>
        </w:sectPr>
      </w:pPr>
    </w:p>
    <w:bookmarkStart w:id="1" w:name="page2"/>
    <w:bookmarkEnd w:id="1"/>
    <w:p>
      <w:pPr>
        <w:spacing w:after="0" w:line="22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8" w:lineRule="exact"/>
        <w:tabs>
          <w:tab w:leader="none" w:pos="83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x</w:t>
      </w:r>
    </w:p>
    <w:p>
      <w:pPr>
        <w:spacing w:after="0" w:line="4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of October 29, 2020, 79,580,626 shares of the registrant’s common stock (including unvested restricted shares), par value of $0.01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560070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715" w:right="4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17"/>
                <w:szCs w:val="17"/>
                <w:color w:val="auto"/>
              </w:rPr>
            </w:pPr>
          </w:p>
        </w:tc>
        <w:tc>
          <w:tcPr>
            <w:tcW w:w="8040" w:type="dxa"/>
            <w:vAlign w:val="bottom"/>
          </w:tcPr>
          <w:p>
            <w:pPr>
              <w:spacing w:after="0"/>
              <w:rPr>
                <w:sz w:val="17"/>
                <w:szCs w:val="17"/>
                <w:color w:val="auto"/>
              </w:rPr>
            </w:pPr>
          </w:p>
        </w:tc>
        <w:tc>
          <w:tcPr>
            <w:tcW w:w="21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79"/>
        </w:trPr>
        <w:tc>
          <w:tcPr>
            <w:tcW w:w="1020" w:type="dxa"/>
            <w:vAlign w:val="bottom"/>
          </w:tcPr>
          <w:p>
            <w:pPr>
              <w:spacing w:after="0"/>
              <w:rPr>
                <w:sz w:val="24"/>
                <w:szCs w:val="24"/>
                <w:color w:val="auto"/>
              </w:rPr>
            </w:pPr>
          </w:p>
        </w:tc>
        <w:tc>
          <w:tcPr>
            <w:tcW w:w="8040" w:type="dxa"/>
            <w:vAlign w:val="bottom"/>
          </w:tcPr>
          <w:p>
            <w:pPr>
              <w:ind w:left="4280"/>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PART I</w:t>
              </w:r>
            </w:hyperlink>
          </w:p>
        </w:tc>
        <w:tc>
          <w:tcPr>
            <w:tcW w:w="13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r>
      <w:tr>
        <w:trPr>
          <w:trHeight w:val="387"/>
        </w:trPr>
        <w:tc>
          <w:tcPr>
            <w:tcW w:w="1020" w:type="dxa"/>
            <w:vAlign w:val="bottom"/>
          </w:tcPr>
          <w:p>
            <w:pPr>
              <w:ind w:left="20"/>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Item 1.</w:t>
              </w:r>
            </w:hyperlink>
          </w:p>
        </w:tc>
        <w:tc>
          <w:tcPr>
            <w:tcW w:w="8040" w:type="dxa"/>
            <w:vAlign w:val="bottom"/>
          </w:tcPr>
          <w:p>
            <w:pPr>
              <w:ind w:left="24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Unaudited Financial Statements</w:t>
              </w:r>
            </w:hyperlink>
          </w:p>
        </w:tc>
        <w:tc>
          <w:tcPr>
            <w:tcW w:w="2180" w:type="dxa"/>
            <w:vAlign w:val="bottom"/>
            <w:gridSpan w:val="3"/>
          </w:tcPr>
          <w:p>
            <w:pPr>
              <w:jc w:val="right"/>
              <w:ind w:right="60"/>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1</w:t>
              </w:r>
            </w:hyperlink>
          </w:p>
        </w:tc>
      </w:tr>
      <w:tr>
        <w:trPr>
          <w:trHeight w:val="229"/>
        </w:trPr>
        <w:tc>
          <w:tcPr>
            <w:tcW w:w="1020" w:type="dxa"/>
            <w:vAlign w:val="bottom"/>
          </w:tcPr>
          <w:p>
            <w:pPr>
              <w:spacing w:after="0"/>
              <w:rPr>
                <w:sz w:val="19"/>
                <w:szCs w:val="19"/>
                <w:color w:val="auto"/>
              </w:rPr>
            </w:pPr>
          </w:p>
        </w:tc>
        <w:tc>
          <w:tcPr>
            <w:tcW w:w="8040" w:type="dxa"/>
            <w:vAlign w:val="bottom"/>
          </w:tcPr>
          <w:p>
            <w:pPr>
              <w:ind w:left="46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Unaudited Condensed Consolidated Balance Sheets</w:t>
              </w:r>
            </w:hyperlink>
          </w:p>
        </w:tc>
        <w:tc>
          <w:tcPr>
            <w:tcW w:w="2180" w:type="dxa"/>
            <w:vAlign w:val="bottom"/>
            <w:gridSpan w:val="3"/>
          </w:tcPr>
          <w:p>
            <w:pPr>
              <w:jc w:val="right"/>
              <w:ind w:right="60"/>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1</w:t>
              </w:r>
            </w:hyperlink>
          </w:p>
        </w:tc>
      </w:tr>
      <w:tr>
        <w:trPr>
          <w:trHeight w:val="230"/>
        </w:trPr>
        <w:tc>
          <w:tcPr>
            <w:tcW w:w="1020" w:type="dxa"/>
            <w:vAlign w:val="bottom"/>
          </w:tcPr>
          <w:p>
            <w:pPr>
              <w:spacing w:after="0"/>
              <w:rPr>
                <w:sz w:val="19"/>
                <w:szCs w:val="19"/>
                <w:color w:val="auto"/>
              </w:rPr>
            </w:pPr>
          </w:p>
        </w:tc>
        <w:tc>
          <w:tcPr>
            <w:tcW w:w="8040" w:type="dxa"/>
            <w:vAlign w:val="bottom"/>
          </w:tcPr>
          <w:p>
            <w:pPr>
              <w:ind w:left="46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Unaudited Condensed Consolidated Statements of Income and Comprehensive Income</w:t>
              </w:r>
            </w:hyperlink>
          </w:p>
        </w:tc>
        <w:tc>
          <w:tcPr>
            <w:tcW w:w="2180" w:type="dxa"/>
            <w:vAlign w:val="bottom"/>
            <w:gridSpan w:val="3"/>
          </w:tcPr>
          <w:p>
            <w:pPr>
              <w:jc w:val="right"/>
              <w:ind w:right="60"/>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2</w:t>
              </w:r>
            </w:hyperlink>
          </w:p>
        </w:tc>
      </w:tr>
      <w:tr>
        <w:trPr>
          <w:trHeight w:val="229"/>
        </w:trPr>
        <w:tc>
          <w:tcPr>
            <w:tcW w:w="1020" w:type="dxa"/>
            <w:vAlign w:val="bottom"/>
          </w:tcPr>
          <w:p>
            <w:pPr>
              <w:spacing w:after="0"/>
              <w:rPr>
                <w:sz w:val="19"/>
                <w:szCs w:val="19"/>
                <w:color w:val="auto"/>
              </w:rPr>
            </w:pPr>
          </w:p>
        </w:tc>
        <w:tc>
          <w:tcPr>
            <w:tcW w:w="8040" w:type="dxa"/>
            <w:vAlign w:val="bottom"/>
          </w:tcPr>
          <w:p>
            <w:pPr>
              <w:ind w:left="460"/>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Unaudited Condensed Consolidated Statements of Cash Flows</w:t>
              </w:r>
            </w:hyperlink>
          </w:p>
        </w:tc>
        <w:tc>
          <w:tcPr>
            <w:tcW w:w="2180" w:type="dxa"/>
            <w:vAlign w:val="bottom"/>
            <w:gridSpan w:val="3"/>
          </w:tcPr>
          <w:p>
            <w:pPr>
              <w:jc w:val="right"/>
              <w:ind w:right="60"/>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3</w:t>
              </w:r>
            </w:hyperlink>
          </w:p>
        </w:tc>
      </w:tr>
      <w:tr>
        <w:trPr>
          <w:trHeight w:val="229"/>
        </w:trPr>
        <w:tc>
          <w:tcPr>
            <w:tcW w:w="1020" w:type="dxa"/>
            <w:vAlign w:val="bottom"/>
          </w:tcPr>
          <w:p>
            <w:pPr>
              <w:spacing w:after="0"/>
              <w:rPr>
                <w:sz w:val="19"/>
                <w:szCs w:val="19"/>
                <w:color w:val="auto"/>
              </w:rPr>
            </w:pPr>
          </w:p>
        </w:tc>
        <w:tc>
          <w:tcPr>
            <w:tcW w:w="8040" w:type="dxa"/>
            <w:vAlign w:val="bottom"/>
          </w:tcPr>
          <w:p>
            <w:pPr>
              <w:ind w:left="460"/>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Unaudited Condensed Consolidated Statements of Equity/(Deficit)</w:t>
              </w:r>
            </w:hyperlink>
          </w:p>
        </w:tc>
        <w:tc>
          <w:tcPr>
            <w:tcW w:w="2180" w:type="dxa"/>
            <w:vAlign w:val="bottom"/>
            <w:gridSpan w:val="3"/>
          </w:tcPr>
          <w:p>
            <w:pPr>
              <w:jc w:val="right"/>
              <w:ind w:right="60"/>
              <w:spacing w:after="0"/>
              <w:rPr>
                <w:rFonts w:ascii="Times New Roman" w:cs="Times New Roman" w:eastAsia="Times New Roman" w:hAnsi="Times New Roman"/>
                <w:sz w:val="18"/>
                <w:szCs w:val="18"/>
                <w:color w:val="auto"/>
              </w:rPr>
            </w:pPr>
            <w:hyperlink w:anchor="page7">
              <w:r>
                <w:rPr>
                  <w:rFonts w:ascii="Times New Roman" w:cs="Times New Roman" w:eastAsia="Times New Roman" w:hAnsi="Times New Roman"/>
                  <w:sz w:val="18"/>
                  <w:szCs w:val="18"/>
                  <w:color w:val="auto"/>
                </w:rPr>
                <w:t>5</w:t>
              </w:r>
            </w:hyperlink>
          </w:p>
        </w:tc>
      </w:tr>
      <w:tr>
        <w:trPr>
          <w:trHeight w:val="230"/>
        </w:trPr>
        <w:tc>
          <w:tcPr>
            <w:tcW w:w="1020" w:type="dxa"/>
            <w:vAlign w:val="bottom"/>
          </w:tcPr>
          <w:p>
            <w:pPr>
              <w:spacing w:after="0"/>
              <w:rPr>
                <w:sz w:val="19"/>
                <w:szCs w:val="19"/>
                <w:color w:val="auto"/>
              </w:rPr>
            </w:pPr>
          </w:p>
        </w:tc>
        <w:tc>
          <w:tcPr>
            <w:tcW w:w="8040" w:type="dxa"/>
            <w:vAlign w:val="bottom"/>
          </w:tcPr>
          <w:p>
            <w:pPr>
              <w:ind w:left="460"/>
              <w:spacing w:after="0"/>
              <w:rPr>
                <w:rFonts w:ascii="Times New Roman" w:cs="Times New Roman" w:eastAsia="Times New Roman" w:hAnsi="Times New Roman"/>
                <w:sz w:val="18"/>
                <w:szCs w:val="18"/>
                <w:u w:val="single" w:color="auto"/>
                <w:color w:val="0000FF"/>
              </w:rPr>
            </w:pPr>
            <w:hyperlink w:anchor="page8">
              <w:r>
                <w:rPr>
                  <w:rFonts w:ascii="Times New Roman" w:cs="Times New Roman" w:eastAsia="Times New Roman" w:hAnsi="Times New Roman"/>
                  <w:sz w:val="18"/>
                  <w:szCs w:val="18"/>
                  <w:u w:val="single" w:color="auto"/>
                  <w:color w:val="0000FF"/>
                </w:rPr>
                <w:t>Notes to Unaudited Condensed Consolidated Financial Statements</w:t>
              </w:r>
            </w:hyperlink>
          </w:p>
        </w:tc>
        <w:tc>
          <w:tcPr>
            <w:tcW w:w="2180" w:type="dxa"/>
            <w:vAlign w:val="bottom"/>
            <w:gridSpan w:val="3"/>
          </w:tcPr>
          <w:p>
            <w:pPr>
              <w:jc w:val="right"/>
              <w:ind w:right="60"/>
              <w:spacing w:after="0"/>
              <w:rPr>
                <w:rFonts w:ascii="Times New Roman" w:cs="Times New Roman" w:eastAsia="Times New Roman" w:hAnsi="Times New Roman"/>
                <w:sz w:val="18"/>
                <w:szCs w:val="18"/>
                <w:color w:val="auto"/>
              </w:rPr>
            </w:pPr>
            <w:hyperlink w:anchor="page8">
              <w:r>
                <w:rPr>
                  <w:rFonts w:ascii="Times New Roman" w:cs="Times New Roman" w:eastAsia="Times New Roman" w:hAnsi="Times New Roman"/>
                  <w:sz w:val="18"/>
                  <w:szCs w:val="18"/>
                  <w:color w:val="auto"/>
                </w:rPr>
                <w:t>6</w:t>
              </w:r>
            </w:hyperlink>
          </w:p>
        </w:tc>
      </w:tr>
      <w:tr>
        <w:trPr>
          <w:trHeight w:val="229"/>
        </w:trPr>
        <w:tc>
          <w:tcPr>
            <w:tcW w:w="1020" w:type="dxa"/>
            <w:vAlign w:val="bottom"/>
          </w:tcPr>
          <w:p>
            <w:pPr>
              <w:ind w:left="20"/>
              <w:spacing w:after="0"/>
              <w:rPr>
                <w:rFonts w:ascii="Times New Roman" w:cs="Times New Roman" w:eastAsia="Times New Roman" w:hAnsi="Times New Roman"/>
                <w:sz w:val="18"/>
                <w:szCs w:val="18"/>
                <w:color w:val="auto"/>
              </w:rPr>
            </w:pPr>
            <w:hyperlink w:anchor="page24">
              <w:r>
                <w:rPr>
                  <w:rFonts w:ascii="Times New Roman" w:cs="Times New Roman" w:eastAsia="Times New Roman" w:hAnsi="Times New Roman"/>
                  <w:sz w:val="18"/>
                  <w:szCs w:val="18"/>
                  <w:color w:val="auto"/>
                </w:rPr>
                <w:t>Item 2.</w:t>
              </w:r>
            </w:hyperlink>
          </w:p>
        </w:tc>
        <w:tc>
          <w:tcPr>
            <w:tcW w:w="8040" w:type="dxa"/>
            <w:vAlign w:val="bottom"/>
          </w:tcPr>
          <w:p>
            <w:pPr>
              <w:ind w:left="240"/>
              <w:spacing w:after="0"/>
              <w:rPr>
                <w:rFonts w:ascii="Times New Roman" w:cs="Times New Roman" w:eastAsia="Times New Roman" w:hAnsi="Times New Roman"/>
                <w:sz w:val="18"/>
                <w:szCs w:val="18"/>
                <w:u w:val="single" w:color="auto"/>
                <w:color w:val="0000FF"/>
              </w:rPr>
            </w:pPr>
            <w:hyperlink w:anchor="page24">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2180" w:type="dxa"/>
            <w:vAlign w:val="bottom"/>
            <w:gridSpan w:val="3"/>
          </w:tcPr>
          <w:p>
            <w:pPr>
              <w:jc w:val="right"/>
              <w:ind w:right="60"/>
              <w:spacing w:after="0"/>
              <w:rPr>
                <w:rFonts w:ascii="Times New Roman" w:cs="Times New Roman" w:eastAsia="Times New Roman" w:hAnsi="Times New Roman"/>
                <w:sz w:val="18"/>
                <w:szCs w:val="18"/>
                <w:color w:val="auto"/>
              </w:rPr>
            </w:pPr>
            <w:hyperlink w:anchor="page24">
              <w:r>
                <w:rPr>
                  <w:rFonts w:ascii="Times New Roman" w:cs="Times New Roman" w:eastAsia="Times New Roman" w:hAnsi="Times New Roman"/>
                  <w:sz w:val="18"/>
                  <w:szCs w:val="18"/>
                  <w:color w:val="auto"/>
                </w:rPr>
                <w:t>22</w:t>
              </w:r>
            </w:hyperlink>
          </w:p>
        </w:tc>
      </w:tr>
      <w:tr>
        <w:trPr>
          <w:trHeight w:val="229"/>
        </w:trPr>
        <w:tc>
          <w:tcPr>
            <w:tcW w:w="1020" w:type="dxa"/>
            <w:vAlign w:val="bottom"/>
          </w:tcPr>
          <w:p>
            <w:pPr>
              <w:ind w:left="20"/>
              <w:spacing w:after="0"/>
              <w:rPr>
                <w:rFonts w:ascii="Times New Roman" w:cs="Times New Roman" w:eastAsia="Times New Roman" w:hAnsi="Times New Roman"/>
                <w:sz w:val="18"/>
                <w:szCs w:val="18"/>
                <w:color w:val="auto"/>
              </w:rPr>
            </w:pPr>
            <w:hyperlink w:anchor="page41">
              <w:r>
                <w:rPr>
                  <w:rFonts w:ascii="Times New Roman" w:cs="Times New Roman" w:eastAsia="Times New Roman" w:hAnsi="Times New Roman"/>
                  <w:sz w:val="18"/>
                  <w:szCs w:val="18"/>
                  <w:color w:val="auto"/>
                </w:rPr>
                <w:t>Item 3.</w:t>
              </w:r>
            </w:hyperlink>
          </w:p>
        </w:tc>
        <w:tc>
          <w:tcPr>
            <w:tcW w:w="8040" w:type="dxa"/>
            <w:vAlign w:val="bottom"/>
          </w:tcPr>
          <w:p>
            <w:pPr>
              <w:ind w:left="240"/>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Quantitative and Qualitative Disclosures about Market Risk</w:t>
              </w:r>
            </w:hyperlink>
          </w:p>
        </w:tc>
        <w:tc>
          <w:tcPr>
            <w:tcW w:w="2180" w:type="dxa"/>
            <w:vAlign w:val="bottom"/>
            <w:gridSpan w:val="3"/>
          </w:tcPr>
          <w:p>
            <w:pPr>
              <w:jc w:val="right"/>
              <w:ind w:right="60"/>
              <w:spacing w:after="0"/>
              <w:rPr>
                <w:rFonts w:ascii="Times New Roman" w:cs="Times New Roman" w:eastAsia="Times New Roman" w:hAnsi="Times New Roman"/>
                <w:sz w:val="18"/>
                <w:szCs w:val="18"/>
                <w:color w:val="auto"/>
              </w:rPr>
            </w:pPr>
            <w:hyperlink w:anchor="page41">
              <w:r>
                <w:rPr>
                  <w:rFonts w:ascii="Times New Roman" w:cs="Times New Roman" w:eastAsia="Times New Roman" w:hAnsi="Times New Roman"/>
                  <w:sz w:val="18"/>
                  <w:szCs w:val="18"/>
                  <w:color w:val="auto"/>
                </w:rPr>
                <w:t>38</w:t>
              </w:r>
            </w:hyperlink>
          </w:p>
        </w:tc>
      </w:tr>
      <w:tr>
        <w:trPr>
          <w:trHeight w:val="234"/>
        </w:trPr>
        <w:tc>
          <w:tcPr>
            <w:tcW w:w="1020" w:type="dxa"/>
            <w:vAlign w:val="bottom"/>
          </w:tcPr>
          <w:p>
            <w:pPr>
              <w:ind w:left="20"/>
              <w:spacing w:after="0"/>
              <w:rPr>
                <w:rFonts w:ascii="Times New Roman" w:cs="Times New Roman" w:eastAsia="Times New Roman" w:hAnsi="Times New Roman"/>
                <w:sz w:val="18"/>
                <w:szCs w:val="18"/>
                <w:color w:val="auto"/>
              </w:rPr>
            </w:pPr>
            <w:hyperlink w:anchor="page41">
              <w:r>
                <w:rPr>
                  <w:rFonts w:ascii="Times New Roman" w:cs="Times New Roman" w:eastAsia="Times New Roman" w:hAnsi="Times New Roman"/>
                  <w:sz w:val="18"/>
                  <w:szCs w:val="18"/>
                  <w:color w:val="auto"/>
                </w:rPr>
                <w:t>Item 4.</w:t>
              </w:r>
            </w:hyperlink>
          </w:p>
        </w:tc>
        <w:tc>
          <w:tcPr>
            <w:tcW w:w="8040" w:type="dxa"/>
            <w:vAlign w:val="bottom"/>
          </w:tcPr>
          <w:p>
            <w:pPr>
              <w:ind w:left="240"/>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Controls and Procedures</w:t>
              </w:r>
            </w:hyperlink>
          </w:p>
        </w:tc>
        <w:tc>
          <w:tcPr>
            <w:tcW w:w="2180" w:type="dxa"/>
            <w:vAlign w:val="bottom"/>
            <w:gridSpan w:val="3"/>
          </w:tcPr>
          <w:p>
            <w:pPr>
              <w:jc w:val="right"/>
              <w:ind w:right="60"/>
              <w:spacing w:after="0"/>
              <w:rPr>
                <w:rFonts w:ascii="Times New Roman" w:cs="Times New Roman" w:eastAsia="Times New Roman" w:hAnsi="Times New Roman"/>
                <w:sz w:val="18"/>
                <w:szCs w:val="18"/>
                <w:color w:val="auto"/>
              </w:rPr>
            </w:pPr>
            <w:hyperlink w:anchor="page41">
              <w:r>
                <w:rPr>
                  <w:rFonts w:ascii="Times New Roman" w:cs="Times New Roman" w:eastAsia="Times New Roman" w:hAnsi="Times New Roman"/>
                  <w:sz w:val="18"/>
                  <w:szCs w:val="18"/>
                  <w:color w:val="auto"/>
                </w:rPr>
                <w:t>38</w:t>
              </w:r>
            </w:hyperlink>
          </w:p>
        </w:tc>
      </w:tr>
      <w:tr>
        <w:trPr>
          <w:trHeight w:val="392"/>
        </w:trPr>
        <w:tc>
          <w:tcPr>
            <w:tcW w:w="1020" w:type="dxa"/>
            <w:vAlign w:val="bottom"/>
          </w:tcPr>
          <w:p>
            <w:pPr>
              <w:spacing w:after="0"/>
              <w:rPr>
                <w:sz w:val="24"/>
                <w:szCs w:val="24"/>
                <w:color w:val="auto"/>
              </w:rPr>
            </w:pPr>
          </w:p>
        </w:tc>
        <w:tc>
          <w:tcPr>
            <w:tcW w:w="8040" w:type="dxa"/>
            <w:vAlign w:val="bottom"/>
          </w:tcPr>
          <w:p>
            <w:pPr>
              <w:ind w:left="4240"/>
              <w:spacing w:after="0"/>
              <w:rPr>
                <w:rFonts w:ascii="Times New Roman" w:cs="Times New Roman" w:eastAsia="Times New Roman" w:hAnsi="Times New Roman"/>
                <w:sz w:val="18"/>
                <w:szCs w:val="18"/>
                <w:b w:val="1"/>
                <w:bCs w:val="1"/>
                <w:u w:val="single" w:color="auto"/>
                <w:color w:val="0000FF"/>
              </w:rPr>
            </w:pPr>
            <w:hyperlink w:anchor="page41">
              <w:r>
                <w:rPr>
                  <w:rFonts w:ascii="Times New Roman" w:cs="Times New Roman" w:eastAsia="Times New Roman" w:hAnsi="Times New Roman"/>
                  <w:sz w:val="18"/>
                  <w:szCs w:val="18"/>
                  <w:b w:val="1"/>
                  <w:bCs w:val="1"/>
                  <w:u w:val="single" w:color="auto"/>
                  <w:color w:val="0000FF"/>
                </w:rPr>
                <w:t>PART II</w:t>
              </w:r>
            </w:hyperlink>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87"/>
        </w:trPr>
        <w:tc>
          <w:tcPr>
            <w:tcW w:w="1020" w:type="dxa"/>
            <w:vAlign w:val="bottom"/>
          </w:tcPr>
          <w:p>
            <w:pPr>
              <w:ind w:left="20"/>
              <w:spacing w:after="0"/>
              <w:rPr>
                <w:rFonts w:ascii="Times New Roman" w:cs="Times New Roman" w:eastAsia="Times New Roman" w:hAnsi="Times New Roman"/>
                <w:sz w:val="18"/>
                <w:szCs w:val="18"/>
                <w:color w:val="auto"/>
              </w:rPr>
            </w:pPr>
            <w:hyperlink w:anchor="page41">
              <w:r>
                <w:rPr>
                  <w:rFonts w:ascii="Times New Roman" w:cs="Times New Roman" w:eastAsia="Times New Roman" w:hAnsi="Times New Roman"/>
                  <w:sz w:val="18"/>
                  <w:szCs w:val="18"/>
                  <w:color w:val="auto"/>
                </w:rPr>
                <w:t>Item 1.</w:t>
              </w:r>
            </w:hyperlink>
          </w:p>
        </w:tc>
        <w:tc>
          <w:tcPr>
            <w:tcW w:w="8040" w:type="dxa"/>
            <w:vAlign w:val="bottom"/>
          </w:tcPr>
          <w:p>
            <w:pPr>
              <w:ind w:left="240"/>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Legal Proceedings</w:t>
              </w:r>
            </w:hyperlink>
          </w:p>
        </w:tc>
        <w:tc>
          <w:tcPr>
            <w:tcW w:w="2180" w:type="dxa"/>
            <w:vAlign w:val="bottom"/>
            <w:gridSpan w:val="3"/>
          </w:tcPr>
          <w:p>
            <w:pPr>
              <w:jc w:val="right"/>
              <w:ind w:right="60"/>
              <w:spacing w:after="0"/>
              <w:rPr>
                <w:rFonts w:ascii="Times New Roman" w:cs="Times New Roman" w:eastAsia="Times New Roman" w:hAnsi="Times New Roman"/>
                <w:sz w:val="18"/>
                <w:szCs w:val="18"/>
                <w:color w:val="auto"/>
              </w:rPr>
            </w:pPr>
            <w:hyperlink w:anchor="page41">
              <w:r>
                <w:rPr>
                  <w:rFonts w:ascii="Times New Roman" w:cs="Times New Roman" w:eastAsia="Times New Roman" w:hAnsi="Times New Roman"/>
                  <w:sz w:val="18"/>
                  <w:szCs w:val="18"/>
                  <w:color w:val="auto"/>
                </w:rPr>
                <w:t>38</w:t>
              </w:r>
            </w:hyperlink>
          </w:p>
        </w:tc>
      </w:tr>
      <w:tr>
        <w:trPr>
          <w:trHeight w:val="230"/>
        </w:trPr>
        <w:tc>
          <w:tcPr>
            <w:tcW w:w="1020" w:type="dxa"/>
            <w:vAlign w:val="bottom"/>
          </w:tcPr>
          <w:p>
            <w:pPr>
              <w:ind w:left="20"/>
              <w:spacing w:after="0"/>
              <w:rPr>
                <w:rFonts w:ascii="Times New Roman" w:cs="Times New Roman" w:eastAsia="Times New Roman" w:hAnsi="Times New Roman"/>
                <w:sz w:val="18"/>
                <w:szCs w:val="18"/>
                <w:color w:val="auto"/>
              </w:rPr>
            </w:pPr>
            <w:hyperlink w:anchor="page41">
              <w:r>
                <w:rPr>
                  <w:rFonts w:ascii="Times New Roman" w:cs="Times New Roman" w:eastAsia="Times New Roman" w:hAnsi="Times New Roman"/>
                  <w:sz w:val="18"/>
                  <w:szCs w:val="18"/>
                  <w:color w:val="auto"/>
                </w:rPr>
                <w:t>Item 1A.</w:t>
              </w:r>
            </w:hyperlink>
          </w:p>
        </w:tc>
        <w:tc>
          <w:tcPr>
            <w:tcW w:w="8040" w:type="dxa"/>
            <w:vAlign w:val="bottom"/>
          </w:tcPr>
          <w:p>
            <w:pPr>
              <w:ind w:left="240"/>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Risk Factors</w:t>
              </w:r>
            </w:hyperlink>
          </w:p>
        </w:tc>
        <w:tc>
          <w:tcPr>
            <w:tcW w:w="2180" w:type="dxa"/>
            <w:vAlign w:val="bottom"/>
            <w:gridSpan w:val="3"/>
          </w:tcPr>
          <w:p>
            <w:pPr>
              <w:jc w:val="right"/>
              <w:ind w:right="60"/>
              <w:spacing w:after="0"/>
              <w:rPr>
                <w:rFonts w:ascii="Times New Roman" w:cs="Times New Roman" w:eastAsia="Times New Roman" w:hAnsi="Times New Roman"/>
                <w:sz w:val="18"/>
                <w:szCs w:val="18"/>
                <w:color w:val="auto"/>
              </w:rPr>
            </w:pPr>
            <w:hyperlink w:anchor="page41">
              <w:r>
                <w:rPr>
                  <w:rFonts w:ascii="Times New Roman" w:cs="Times New Roman" w:eastAsia="Times New Roman" w:hAnsi="Times New Roman"/>
                  <w:sz w:val="18"/>
                  <w:szCs w:val="18"/>
                  <w:color w:val="auto"/>
                </w:rPr>
                <w:t>38</w:t>
              </w:r>
            </w:hyperlink>
          </w:p>
        </w:tc>
      </w:tr>
      <w:tr>
        <w:trPr>
          <w:trHeight w:val="229"/>
        </w:trPr>
        <w:tc>
          <w:tcPr>
            <w:tcW w:w="1020" w:type="dxa"/>
            <w:vAlign w:val="bottom"/>
          </w:tcPr>
          <w:p>
            <w:pPr>
              <w:ind w:left="20"/>
              <w:spacing w:after="0"/>
              <w:rPr>
                <w:rFonts w:ascii="Times New Roman" w:cs="Times New Roman" w:eastAsia="Times New Roman" w:hAnsi="Times New Roman"/>
                <w:sz w:val="18"/>
                <w:szCs w:val="18"/>
                <w:color w:val="auto"/>
              </w:rPr>
            </w:pPr>
            <w:hyperlink w:anchor="page43">
              <w:r>
                <w:rPr>
                  <w:rFonts w:ascii="Times New Roman" w:cs="Times New Roman" w:eastAsia="Times New Roman" w:hAnsi="Times New Roman"/>
                  <w:sz w:val="18"/>
                  <w:szCs w:val="18"/>
                  <w:color w:val="auto"/>
                </w:rPr>
                <w:t>Item 2.</w:t>
              </w:r>
            </w:hyperlink>
          </w:p>
        </w:tc>
        <w:tc>
          <w:tcPr>
            <w:tcW w:w="8040" w:type="dxa"/>
            <w:vAlign w:val="bottom"/>
          </w:tcPr>
          <w:p>
            <w:pPr>
              <w:ind w:left="240"/>
              <w:spacing w:after="0"/>
              <w:rPr>
                <w:rFonts w:ascii="Times New Roman" w:cs="Times New Roman" w:eastAsia="Times New Roman" w:hAnsi="Times New Roman"/>
                <w:sz w:val="18"/>
                <w:szCs w:val="18"/>
                <w:u w:val="single" w:color="auto"/>
                <w:color w:val="0000FF"/>
              </w:rPr>
            </w:pPr>
            <w:hyperlink w:anchor="page43">
              <w:r>
                <w:rPr>
                  <w:rFonts w:ascii="Times New Roman" w:cs="Times New Roman" w:eastAsia="Times New Roman" w:hAnsi="Times New Roman"/>
                  <w:sz w:val="18"/>
                  <w:szCs w:val="18"/>
                  <w:u w:val="single" w:color="auto"/>
                  <w:color w:val="0000FF"/>
                </w:rPr>
                <w:t>Unregistered Sales of Equity Securities and Use of Proceeds</w:t>
              </w:r>
            </w:hyperlink>
          </w:p>
        </w:tc>
        <w:tc>
          <w:tcPr>
            <w:tcW w:w="2180" w:type="dxa"/>
            <w:vAlign w:val="bottom"/>
            <w:gridSpan w:val="3"/>
          </w:tcPr>
          <w:p>
            <w:pPr>
              <w:jc w:val="right"/>
              <w:ind w:right="60"/>
              <w:spacing w:after="0"/>
              <w:rPr>
                <w:rFonts w:ascii="Times New Roman" w:cs="Times New Roman" w:eastAsia="Times New Roman" w:hAnsi="Times New Roman"/>
                <w:sz w:val="18"/>
                <w:szCs w:val="18"/>
                <w:color w:val="auto"/>
              </w:rPr>
            </w:pPr>
            <w:hyperlink w:anchor="page43">
              <w:r>
                <w:rPr>
                  <w:rFonts w:ascii="Times New Roman" w:cs="Times New Roman" w:eastAsia="Times New Roman" w:hAnsi="Times New Roman"/>
                  <w:sz w:val="18"/>
                  <w:szCs w:val="18"/>
                  <w:color w:val="auto"/>
                </w:rPr>
                <w:t>40</w:t>
              </w:r>
            </w:hyperlink>
          </w:p>
        </w:tc>
      </w:tr>
      <w:tr>
        <w:trPr>
          <w:trHeight w:val="229"/>
        </w:trPr>
        <w:tc>
          <w:tcPr>
            <w:tcW w:w="1020" w:type="dxa"/>
            <w:vAlign w:val="bottom"/>
          </w:tcPr>
          <w:p>
            <w:pPr>
              <w:ind w:left="20"/>
              <w:spacing w:after="0"/>
              <w:rPr>
                <w:rFonts w:ascii="Times New Roman" w:cs="Times New Roman" w:eastAsia="Times New Roman" w:hAnsi="Times New Roman"/>
                <w:sz w:val="18"/>
                <w:szCs w:val="18"/>
                <w:color w:val="auto"/>
              </w:rPr>
            </w:pPr>
            <w:hyperlink w:anchor="page43">
              <w:r>
                <w:rPr>
                  <w:rFonts w:ascii="Times New Roman" w:cs="Times New Roman" w:eastAsia="Times New Roman" w:hAnsi="Times New Roman"/>
                  <w:sz w:val="18"/>
                  <w:szCs w:val="18"/>
                  <w:color w:val="auto"/>
                </w:rPr>
                <w:t>Item 3.</w:t>
              </w:r>
            </w:hyperlink>
          </w:p>
        </w:tc>
        <w:tc>
          <w:tcPr>
            <w:tcW w:w="8040" w:type="dxa"/>
            <w:vAlign w:val="bottom"/>
          </w:tcPr>
          <w:p>
            <w:pPr>
              <w:ind w:left="240"/>
              <w:spacing w:after="0"/>
              <w:rPr>
                <w:rFonts w:ascii="Times New Roman" w:cs="Times New Roman" w:eastAsia="Times New Roman" w:hAnsi="Times New Roman"/>
                <w:sz w:val="18"/>
                <w:szCs w:val="18"/>
                <w:u w:val="single" w:color="auto"/>
                <w:color w:val="0000FF"/>
              </w:rPr>
            </w:pPr>
            <w:hyperlink w:anchor="page43">
              <w:r>
                <w:rPr>
                  <w:rFonts w:ascii="Times New Roman" w:cs="Times New Roman" w:eastAsia="Times New Roman" w:hAnsi="Times New Roman"/>
                  <w:sz w:val="18"/>
                  <w:szCs w:val="18"/>
                  <w:u w:val="single" w:color="auto"/>
                  <w:color w:val="0000FF"/>
                </w:rPr>
                <w:t>Defaults Upon Senior Securities</w:t>
              </w:r>
            </w:hyperlink>
          </w:p>
        </w:tc>
        <w:tc>
          <w:tcPr>
            <w:tcW w:w="2180" w:type="dxa"/>
            <w:vAlign w:val="bottom"/>
            <w:gridSpan w:val="3"/>
          </w:tcPr>
          <w:p>
            <w:pPr>
              <w:jc w:val="right"/>
              <w:ind w:right="60"/>
              <w:spacing w:after="0"/>
              <w:rPr>
                <w:rFonts w:ascii="Times New Roman" w:cs="Times New Roman" w:eastAsia="Times New Roman" w:hAnsi="Times New Roman"/>
                <w:sz w:val="18"/>
                <w:szCs w:val="18"/>
                <w:color w:val="auto"/>
              </w:rPr>
            </w:pPr>
            <w:hyperlink w:anchor="page43">
              <w:r>
                <w:rPr>
                  <w:rFonts w:ascii="Times New Roman" w:cs="Times New Roman" w:eastAsia="Times New Roman" w:hAnsi="Times New Roman"/>
                  <w:sz w:val="18"/>
                  <w:szCs w:val="18"/>
                  <w:color w:val="auto"/>
                </w:rPr>
                <w:t>40</w:t>
              </w:r>
            </w:hyperlink>
          </w:p>
        </w:tc>
      </w:tr>
      <w:tr>
        <w:trPr>
          <w:trHeight w:val="230"/>
        </w:trPr>
        <w:tc>
          <w:tcPr>
            <w:tcW w:w="1020" w:type="dxa"/>
            <w:vAlign w:val="bottom"/>
          </w:tcPr>
          <w:p>
            <w:pPr>
              <w:ind w:left="20"/>
              <w:spacing w:after="0"/>
              <w:rPr>
                <w:rFonts w:ascii="Times New Roman" w:cs="Times New Roman" w:eastAsia="Times New Roman" w:hAnsi="Times New Roman"/>
                <w:sz w:val="18"/>
                <w:szCs w:val="18"/>
                <w:color w:val="auto"/>
              </w:rPr>
            </w:pPr>
            <w:hyperlink w:anchor="page43">
              <w:r>
                <w:rPr>
                  <w:rFonts w:ascii="Times New Roman" w:cs="Times New Roman" w:eastAsia="Times New Roman" w:hAnsi="Times New Roman"/>
                  <w:sz w:val="18"/>
                  <w:szCs w:val="18"/>
                  <w:color w:val="auto"/>
                </w:rPr>
                <w:t>Item 4.</w:t>
              </w:r>
            </w:hyperlink>
          </w:p>
        </w:tc>
        <w:tc>
          <w:tcPr>
            <w:tcW w:w="8040" w:type="dxa"/>
            <w:vAlign w:val="bottom"/>
          </w:tcPr>
          <w:p>
            <w:pPr>
              <w:ind w:left="240"/>
              <w:spacing w:after="0"/>
              <w:rPr>
                <w:rFonts w:ascii="Times New Roman" w:cs="Times New Roman" w:eastAsia="Times New Roman" w:hAnsi="Times New Roman"/>
                <w:sz w:val="18"/>
                <w:szCs w:val="18"/>
                <w:u w:val="single" w:color="auto"/>
                <w:color w:val="0000FF"/>
              </w:rPr>
            </w:pPr>
            <w:hyperlink w:anchor="page43">
              <w:r>
                <w:rPr>
                  <w:rFonts w:ascii="Times New Roman" w:cs="Times New Roman" w:eastAsia="Times New Roman" w:hAnsi="Times New Roman"/>
                  <w:sz w:val="18"/>
                  <w:szCs w:val="18"/>
                  <w:u w:val="single" w:color="auto"/>
                  <w:color w:val="0000FF"/>
                </w:rPr>
                <w:t>Mine Safety Disclosures</w:t>
              </w:r>
            </w:hyperlink>
          </w:p>
        </w:tc>
        <w:tc>
          <w:tcPr>
            <w:tcW w:w="2180" w:type="dxa"/>
            <w:vAlign w:val="bottom"/>
            <w:gridSpan w:val="3"/>
          </w:tcPr>
          <w:p>
            <w:pPr>
              <w:jc w:val="right"/>
              <w:ind w:right="60"/>
              <w:spacing w:after="0"/>
              <w:rPr>
                <w:rFonts w:ascii="Times New Roman" w:cs="Times New Roman" w:eastAsia="Times New Roman" w:hAnsi="Times New Roman"/>
                <w:sz w:val="18"/>
                <w:szCs w:val="18"/>
                <w:color w:val="auto"/>
              </w:rPr>
            </w:pPr>
            <w:hyperlink w:anchor="page43">
              <w:r>
                <w:rPr>
                  <w:rFonts w:ascii="Times New Roman" w:cs="Times New Roman" w:eastAsia="Times New Roman" w:hAnsi="Times New Roman"/>
                  <w:sz w:val="18"/>
                  <w:szCs w:val="18"/>
                  <w:color w:val="auto"/>
                </w:rPr>
                <w:t>40</w:t>
              </w:r>
            </w:hyperlink>
          </w:p>
        </w:tc>
      </w:tr>
      <w:tr>
        <w:trPr>
          <w:trHeight w:val="229"/>
        </w:trPr>
        <w:tc>
          <w:tcPr>
            <w:tcW w:w="1020" w:type="dxa"/>
            <w:vAlign w:val="bottom"/>
          </w:tcPr>
          <w:p>
            <w:pPr>
              <w:ind w:left="20"/>
              <w:spacing w:after="0"/>
              <w:rPr>
                <w:rFonts w:ascii="Times New Roman" w:cs="Times New Roman" w:eastAsia="Times New Roman" w:hAnsi="Times New Roman"/>
                <w:sz w:val="18"/>
                <w:szCs w:val="18"/>
                <w:color w:val="auto"/>
              </w:rPr>
            </w:pPr>
            <w:hyperlink w:anchor="page43">
              <w:r>
                <w:rPr>
                  <w:rFonts w:ascii="Times New Roman" w:cs="Times New Roman" w:eastAsia="Times New Roman" w:hAnsi="Times New Roman"/>
                  <w:sz w:val="18"/>
                  <w:szCs w:val="18"/>
                  <w:color w:val="auto"/>
                </w:rPr>
                <w:t>Item 5.</w:t>
              </w:r>
            </w:hyperlink>
          </w:p>
        </w:tc>
        <w:tc>
          <w:tcPr>
            <w:tcW w:w="8040" w:type="dxa"/>
            <w:vAlign w:val="bottom"/>
          </w:tcPr>
          <w:p>
            <w:pPr>
              <w:ind w:left="240"/>
              <w:spacing w:after="0"/>
              <w:rPr>
                <w:rFonts w:ascii="Times New Roman" w:cs="Times New Roman" w:eastAsia="Times New Roman" w:hAnsi="Times New Roman"/>
                <w:sz w:val="18"/>
                <w:szCs w:val="18"/>
                <w:u w:val="single" w:color="auto"/>
                <w:color w:val="0000FF"/>
              </w:rPr>
            </w:pPr>
            <w:hyperlink w:anchor="page43">
              <w:r>
                <w:rPr>
                  <w:rFonts w:ascii="Times New Roman" w:cs="Times New Roman" w:eastAsia="Times New Roman" w:hAnsi="Times New Roman"/>
                  <w:sz w:val="18"/>
                  <w:szCs w:val="18"/>
                  <w:u w:val="single" w:color="auto"/>
                  <w:color w:val="0000FF"/>
                </w:rPr>
                <w:t>Other Information</w:t>
              </w:r>
            </w:hyperlink>
          </w:p>
        </w:tc>
        <w:tc>
          <w:tcPr>
            <w:tcW w:w="2180" w:type="dxa"/>
            <w:vAlign w:val="bottom"/>
            <w:gridSpan w:val="3"/>
          </w:tcPr>
          <w:p>
            <w:pPr>
              <w:jc w:val="right"/>
              <w:ind w:right="60"/>
              <w:spacing w:after="0"/>
              <w:rPr>
                <w:rFonts w:ascii="Times New Roman" w:cs="Times New Roman" w:eastAsia="Times New Roman" w:hAnsi="Times New Roman"/>
                <w:sz w:val="18"/>
                <w:szCs w:val="18"/>
                <w:color w:val="auto"/>
              </w:rPr>
            </w:pPr>
            <w:hyperlink w:anchor="page43">
              <w:r>
                <w:rPr>
                  <w:rFonts w:ascii="Times New Roman" w:cs="Times New Roman" w:eastAsia="Times New Roman" w:hAnsi="Times New Roman"/>
                  <w:sz w:val="18"/>
                  <w:szCs w:val="18"/>
                  <w:color w:val="auto"/>
                </w:rPr>
                <w:t>40</w:t>
              </w:r>
            </w:hyperlink>
          </w:p>
        </w:tc>
      </w:tr>
      <w:tr>
        <w:trPr>
          <w:trHeight w:val="234"/>
        </w:trPr>
        <w:tc>
          <w:tcPr>
            <w:tcW w:w="1020" w:type="dxa"/>
            <w:vAlign w:val="bottom"/>
          </w:tcPr>
          <w:p>
            <w:pPr>
              <w:ind w:left="20"/>
              <w:spacing w:after="0"/>
              <w:rPr>
                <w:rFonts w:ascii="Times New Roman" w:cs="Times New Roman" w:eastAsia="Times New Roman" w:hAnsi="Times New Roman"/>
                <w:sz w:val="18"/>
                <w:szCs w:val="18"/>
                <w:color w:val="auto"/>
              </w:rPr>
            </w:pPr>
            <w:hyperlink w:anchor="page43">
              <w:r>
                <w:rPr>
                  <w:rFonts w:ascii="Times New Roman" w:cs="Times New Roman" w:eastAsia="Times New Roman" w:hAnsi="Times New Roman"/>
                  <w:sz w:val="18"/>
                  <w:szCs w:val="18"/>
                  <w:color w:val="auto"/>
                </w:rPr>
                <w:t>Item 6.</w:t>
              </w:r>
            </w:hyperlink>
          </w:p>
        </w:tc>
        <w:tc>
          <w:tcPr>
            <w:tcW w:w="8040" w:type="dxa"/>
            <w:vAlign w:val="bottom"/>
          </w:tcPr>
          <w:p>
            <w:pPr>
              <w:ind w:left="240"/>
              <w:spacing w:after="0"/>
              <w:rPr>
                <w:rFonts w:ascii="Times New Roman" w:cs="Times New Roman" w:eastAsia="Times New Roman" w:hAnsi="Times New Roman"/>
                <w:sz w:val="18"/>
                <w:szCs w:val="18"/>
                <w:u w:val="single" w:color="auto"/>
                <w:color w:val="0000FF"/>
              </w:rPr>
            </w:pPr>
            <w:hyperlink w:anchor="page43">
              <w:r>
                <w:rPr>
                  <w:rFonts w:ascii="Times New Roman" w:cs="Times New Roman" w:eastAsia="Times New Roman" w:hAnsi="Times New Roman"/>
                  <w:sz w:val="18"/>
                  <w:szCs w:val="18"/>
                  <w:u w:val="single" w:color="auto"/>
                  <w:color w:val="0000FF"/>
                </w:rPr>
                <w:t>Exhibits</w:t>
              </w:r>
            </w:hyperlink>
          </w:p>
        </w:tc>
        <w:tc>
          <w:tcPr>
            <w:tcW w:w="2180" w:type="dxa"/>
            <w:vAlign w:val="bottom"/>
            <w:gridSpan w:val="3"/>
          </w:tcPr>
          <w:p>
            <w:pPr>
              <w:jc w:val="right"/>
              <w:ind w:right="60"/>
              <w:spacing w:after="0"/>
              <w:rPr>
                <w:rFonts w:ascii="Times New Roman" w:cs="Times New Roman" w:eastAsia="Times New Roman" w:hAnsi="Times New Roman"/>
                <w:sz w:val="18"/>
                <w:szCs w:val="18"/>
                <w:color w:val="auto"/>
              </w:rPr>
            </w:pPr>
            <w:hyperlink w:anchor="page43">
              <w:r>
                <w:rPr>
                  <w:rFonts w:ascii="Times New Roman" w:cs="Times New Roman" w:eastAsia="Times New Roman" w:hAnsi="Times New Roman"/>
                  <w:sz w:val="18"/>
                  <w:szCs w:val="18"/>
                  <w:color w:val="auto"/>
                </w:rPr>
                <w:t>41</w:t>
              </w:r>
            </w:hyperlink>
          </w:p>
        </w:tc>
      </w:tr>
      <w:tr>
        <w:trPr>
          <w:trHeight w:val="391"/>
        </w:trPr>
        <w:tc>
          <w:tcPr>
            <w:tcW w:w="1020" w:type="dxa"/>
            <w:vAlign w:val="bottom"/>
          </w:tcPr>
          <w:p>
            <w:pPr>
              <w:ind w:left="20"/>
              <w:spacing w:after="0"/>
              <w:rPr>
                <w:rFonts w:ascii="Times New Roman" w:cs="Times New Roman" w:eastAsia="Times New Roman" w:hAnsi="Times New Roman"/>
                <w:sz w:val="18"/>
                <w:szCs w:val="18"/>
                <w:u w:val="single" w:color="auto"/>
                <w:color w:val="0000FF"/>
              </w:rPr>
            </w:pPr>
            <w:hyperlink w:anchor="page44">
              <w:r>
                <w:rPr>
                  <w:rFonts w:ascii="Times New Roman" w:cs="Times New Roman" w:eastAsia="Times New Roman" w:hAnsi="Times New Roman"/>
                  <w:sz w:val="18"/>
                  <w:szCs w:val="18"/>
                  <w:u w:val="single" w:color="auto"/>
                  <w:color w:val="0000FF"/>
                </w:rPr>
                <w:t>Signatures</w:t>
              </w:r>
            </w:hyperlink>
          </w:p>
        </w:tc>
        <w:tc>
          <w:tcPr>
            <w:tcW w:w="8040" w:type="dxa"/>
            <w:vAlign w:val="bottom"/>
          </w:tcPr>
          <w:p>
            <w:pPr>
              <w:spacing w:after="0"/>
              <w:rPr>
                <w:sz w:val="24"/>
                <w:szCs w:val="24"/>
                <w:color w:val="auto"/>
              </w:rPr>
            </w:pPr>
          </w:p>
        </w:tc>
        <w:tc>
          <w:tcPr>
            <w:tcW w:w="2180" w:type="dxa"/>
            <w:vAlign w:val="bottom"/>
            <w:gridSpan w:val="3"/>
          </w:tcPr>
          <w:p>
            <w:pPr>
              <w:jc w:val="right"/>
              <w:ind w:right="60"/>
              <w:spacing w:after="0"/>
              <w:rPr>
                <w:rFonts w:ascii="Times New Roman" w:cs="Times New Roman" w:eastAsia="Times New Roman" w:hAnsi="Times New Roman"/>
                <w:sz w:val="18"/>
                <w:szCs w:val="18"/>
                <w:color w:val="auto"/>
              </w:rPr>
            </w:pPr>
            <w:hyperlink w:anchor="page44">
              <w:r>
                <w:rPr>
                  <w:rFonts w:ascii="Times New Roman" w:cs="Times New Roman" w:eastAsia="Times New Roman" w:hAnsi="Times New Roman"/>
                  <w:sz w:val="18"/>
                  <w:szCs w:val="18"/>
                  <w:color w:val="auto"/>
                </w:rPr>
                <w:t>42</w:t>
              </w:r>
            </w:hyperlink>
          </w:p>
        </w:tc>
      </w:tr>
      <w:tr>
        <w:trPr>
          <w:trHeight w:val="965"/>
        </w:trPr>
        <w:tc>
          <w:tcPr>
            <w:tcW w:w="1020" w:type="dxa"/>
            <w:vAlign w:val="bottom"/>
            <w:tcBorders>
              <w:bottom w:val="single" w:sz="8" w:color="9A9A9A"/>
            </w:tcBorders>
          </w:tcPr>
          <w:p>
            <w:pPr>
              <w:spacing w:after="0"/>
              <w:rPr>
                <w:sz w:val="24"/>
                <w:szCs w:val="24"/>
                <w:color w:val="auto"/>
              </w:rPr>
            </w:pPr>
          </w:p>
        </w:tc>
        <w:tc>
          <w:tcPr>
            <w:tcW w:w="80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NATIONAL CINEMEDIA, INC. AND SUBSIDIARY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share and per share data)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24, 2020</w:t>
            </w:r>
          </w:p>
        </w:tc>
        <w:tc>
          <w:tcPr>
            <w:tcW w:w="200" w:type="dxa"/>
            <w:vAlign w:val="bottom"/>
          </w:tcPr>
          <w:p>
            <w:pPr>
              <w:spacing w:after="0"/>
              <w:rPr>
                <w:sz w:val="16"/>
                <w:szCs w:val="16"/>
                <w:color w:val="auto"/>
              </w:rPr>
            </w:pPr>
          </w:p>
        </w:tc>
        <w:tc>
          <w:tcPr>
            <w:tcW w:w="15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December 26, 2019</w:t>
            </w:r>
          </w:p>
        </w:tc>
        <w:tc>
          <w:tcPr>
            <w:tcW w:w="0" w:type="dxa"/>
            <w:vAlign w:val="bottom"/>
          </w:tcPr>
          <w:p>
            <w:pPr>
              <w:spacing w:after="0"/>
              <w:rPr>
                <w:sz w:val="1"/>
                <w:szCs w:val="1"/>
                <w:color w:val="auto"/>
              </w:rPr>
            </w:pPr>
          </w:p>
        </w:tc>
      </w:tr>
      <w:tr>
        <w:trPr>
          <w:trHeight w:val="156"/>
        </w:trPr>
        <w:tc>
          <w:tcPr>
            <w:tcW w:w="7700" w:type="dxa"/>
            <w:vAlign w:val="bottom"/>
            <w:tcBorders>
              <w:top w:val="single" w:sz="8" w:color="CCEEFF"/>
            </w:tcBorders>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ASSETS</w:t>
            </w:r>
          </w:p>
        </w:tc>
        <w:tc>
          <w:tcPr>
            <w:tcW w:w="180" w:type="dxa"/>
            <w:vAlign w:val="bottom"/>
            <w:tcBorders>
              <w:top w:val="single" w:sz="8" w:color="auto"/>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0" w:type="dxa"/>
            <w:vAlign w:val="bottom"/>
          </w:tcPr>
          <w:p>
            <w:pPr>
              <w:spacing w:after="0"/>
              <w:rPr>
                <w:sz w:val="1"/>
                <w:szCs w:val="1"/>
                <w:color w:val="auto"/>
              </w:rPr>
            </w:pPr>
          </w:p>
        </w:tc>
      </w:tr>
      <w:tr>
        <w:trPr>
          <w:trHeight w:val="189"/>
        </w:trPr>
        <w:tc>
          <w:tcPr>
            <w:tcW w:w="770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Short-term marketable securities</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189"/>
        </w:trPr>
        <w:tc>
          <w:tcPr>
            <w:tcW w:w="7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Receivables, net of allowance of $2.4 and $6.2, respectively</w:t>
            </w: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170.8</w:t>
            </w:r>
          </w:p>
        </w:tc>
        <w:tc>
          <w:tcPr>
            <w:tcW w:w="0" w:type="dxa"/>
            <w:vAlign w:val="bottom"/>
          </w:tcPr>
          <w:p>
            <w:pPr>
              <w:spacing w:after="0"/>
              <w:rPr>
                <w:sz w:val="1"/>
                <w:szCs w:val="1"/>
                <w:color w:val="auto"/>
              </w:rPr>
            </w:pPr>
          </w:p>
        </w:tc>
      </w:tr>
      <w:tr>
        <w:trPr>
          <w:trHeight w:val="189"/>
        </w:trPr>
        <w:tc>
          <w:tcPr>
            <w:tcW w:w="770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Amounts due from founding members, net</w:t>
            </w:r>
          </w:p>
        </w:tc>
        <w:tc>
          <w:tcPr>
            <w:tcW w:w="180" w:type="dxa"/>
            <w:vAlign w:val="bottom"/>
          </w:tcPr>
          <w:p>
            <w:pPr>
              <w:spacing w:after="0"/>
              <w:rPr>
                <w:sz w:val="16"/>
                <w:szCs w:val="16"/>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89"/>
        </w:trPr>
        <w:tc>
          <w:tcPr>
            <w:tcW w:w="7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8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83"/>
        </w:trPr>
        <w:tc>
          <w:tcPr>
            <w:tcW w:w="770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Total current assets</w:t>
            </w: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254.3</w:t>
            </w:r>
          </w:p>
        </w:tc>
        <w:tc>
          <w:tcPr>
            <w:tcW w:w="0" w:type="dxa"/>
            <w:vAlign w:val="bottom"/>
          </w:tcPr>
          <w:p>
            <w:pPr>
              <w:spacing w:after="0"/>
              <w:rPr>
                <w:sz w:val="1"/>
                <w:szCs w:val="1"/>
                <w:color w:val="auto"/>
              </w:rPr>
            </w:pPr>
          </w:p>
        </w:tc>
      </w:tr>
      <w:tr>
        <w:trPr>
          <w:trHeight w:val="17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NON-CURRENT ASSETS:</w:t>
            </w: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Property and equipment, net of accumulated depreciation of $77.3 and $70.7, respectively</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0" w:type="dxa"/>
            <w:vAlign w:val="bottom"/>
          </w:tcPr>
          <w:p>
            <w:pPr>
              <w:spacing w:after="0"/>
              <w:rPr>
                <w:sz w:val="1"/>
                <w:szCs w:val="1"/>
                <w:color w:val="auto"/>
              </w:rPr>
            </w:pPr>
          </w:p>
        </w:tc>
      </w:tr>
      <w:tr>
        <w:trPr>
          <w:trHeight w:val="189"/>
        </w:trPr>
        <w:tc>
          <w:tcPr>
            <w:tcW w:w="7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Intangible assets, net of accumulated amortization of $217.1 and $198.9, respectively</w:t>
            </w: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643.7</w:t>
            </w:r>
          </w:p>
        </w:tc>
        <w:tc>
          <w:tcPr>
            <w:tcW w:w="0" w:type="dxa"/>
            <w:vAlign w:val="bottom"/>
          </w:tcPr>
          <w:p>
            <w:pPr>
              <w:spacing w:after="0"/>
              <w:rPr>
                <w:sz w:val="1"/>
                <w:szCs w:val="1"/>
                <w:color w:val="auto"/>
              </w:rPr>
            </w:pPr>
          </w:p>
        </w:tc>
      </w:tr>
      <w:tr>
        <w:trPr>
          <w:trHeight w:val="189"/>
        </w:trPr>
        <w:tc>
          <w:tcPr>
            <w:tcW w:w="77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Deferred tax assets, net of valuation allowance of $72.7 and $81.6, respectively</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162.1</w:t>
            </w:r>
          </w:p>
        </w:tc>
        <w:tc>
          <w:tcPr>
            <w:tcW w:w="0" w:type="dxa"/>
            <w:vAlign w:val="bottom"/>
          </w:tcPr>
          <w:p>
            <w:pPr>
              <w:spacing w:after="0"/>
              <w:rPr>
                <w:sz w:val="1"/>
                <w:szCs w:val="1"/>
                <w:color w:val="auto"/>
              </w:rPr>
            </w:pPr>
          </w:p>
        </w:tc>
      </w:tr>
      <w:tr>
        <w:trPr>
          <w:trHeight w:val="189"/>
        </w:trPr>
        <w:tc>
          <w:tcPr>
            <w:tcW w:w="7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Other investments</w:t>
            </w: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9"/>
        </w:trPr>
        <w:tc>
          <w:tcPr>
            <w:tcW w:w="770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Long-term marketable securities</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89"/>
        </w:trPr>
        <w:tc>
          <w:tcPr>
            <w:tcW w:w="7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Debt issuance costs, net</w:t>
            </w: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89"/>
        </w:trPr>
        <w:tc>
          <w:tcPr>
            <w:tcW w:w="77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3"/>
                <w:szCs w:val="13"/>
                <w:color w:val="auto"/>
              </w:rPr>
              <w:t>Other assets</w:t>
            </w: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182"/>
        </w:trPr>
        <w:tc>
          <w:tcPr>
            <w:tcW w:w="7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Total non-current assets</w:t>
            </w:r>
          </w:p>
        </w:tc>
        <w:tc>
          <w:tcPr>
            <w:tcW w:w="18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864.4</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875.7</w:t>
            </w:r>
          </w:p>
        </w:tc>
        <w:tc>
          <w:tcPr>
            <w:tcW w:w="0" w:type="dxa"/>
            <w:vAlign w:val="bottom"/>
          </w:tcPr>
          <w:p>
            <w:pPr>
              <w:spacing w:after="0"/>
              <w:rPr>
                <w:sz w:val="1"/>
                <w:szCs w:val="1"/>
                <w:color w:val="auto"/>
              </w:rPr>
            </w:pPr>
          </w:p>
        </w:tc>
      </w:tr>
      <w:tr>
        <w:trPr>
          <w:trHeight w:val="183"/>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1,097.8</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1,130.0</w:t>
            </w:r>
          </w:p>
        </w:tc>
        <w:tc>
          <w:tcPr>
            <w:tcW w:w="0" w:type="dxa"/>
            <w:vAlign w:val="bottom"/>
          </w:tcPr>
          <w:p>
            <w:pPr>
              <w:spacing w:after="0"/>
              <w:rPr>
                <w:sz w:val="1"/>
                <w:szCs w:val="1"/>
                <w:color w:val="auto"/>
              </w:rPr>
            </w:pP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LIABILITIES AND EQUITY/(DEFICIT)</w:t>
            </w:r>
          </w:p>
        </w:tc>
        <w:tc>
          <w:tcPr>
            <w:tcW w:w="1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Amounts due to founding members, net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0" w:type="dxa"/>
            <w:vAlign w:val="bottom"/>
          </w:tcPr>
          <w:p>
            <w:pPr>
              <w:spacing w:after="0"/>
              <w:rPr>
                <w:sz w:val="1"/>
                <w:szCs w:val="1"/>
                <w:color w:val="auto"/>
              </w:rPr>
            </w:pPr>
          </w:p>
        </w:tc>
      </w:tr>
      <w:tr>
        <w:trPr>
          <w:trHeight w:val="121"/>
        </w:trPr>
        <w:tc>
          <w:tcPr>
            <w:tcW w:w="7700" w:type="dxa"/>
            <w:vAlign w:val="bottom"/>
          </w:tcPr>
          <w:p>
            <w:pPr>
              <w:ind w:left="480"/>
              <w:spacing w:after="0" w:line="122" w:lineRule="exact"/>
              <w:rPr>
                <w:sz w:val="20"/>
                <w:szCs w:val="20"/>
                <w:color w:val="auto"/>
              </w:rPr>
            </w:pPr>
            <w:r>
              <w:rPr>
                <w:rFonts w:ascii="Times New Roman" w:cs="Times New Roman" w:eastAsia="Times New Roman" w:hAnsi="Times New Roman"/>
                <w:sz w:val="13"/>
                <w:szCs w:val="13"/>
                <w:color w:val="auto"/>
              </w:rPr>
              <w:t>Payable to founding members under tax receivable agreement (including payables to related</w:t>
            </w:r>
          </w:p>
        </w:tc>
        <w:tc>
          <w:tcPr>
            <w:tcW w:w="180" w:type="dxa"/>
            <w:vAlign w:val="bottom"/>
          </w:tcPr>
          <w:p>
            <w:pPr>
              <w:spacing w:after="0"/>
              <w:rPr>
                <w:sz w:val="10"/>
                <w:szCs w:val="10"/>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170"/>
        </w:trPr>
        <w:tc>
          <w:tcPr>
            <w:tcW w:w="7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parties of $1.0 and $10.3, respectively)</w:t>
            </w:r>
          </w:p>
        </w:tc>
        <w:tc>
          <w:tcPr>
            <w:tcW w:w="18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Accrued expenses</w:t>
            </w: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189"/>
        </w:trPr>
        <w:tc>
          <w:tcPr>
            <w:tcW w:w="770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Accrued payroll and related expenses</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189"/>
        </w:trPr>
        <w:tc>
          <w:tcPr>
            <w:tcW w:w="7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Accounts payable</w:t>
            </w: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189"/>
        </w:trPr>
        <w:tc>
          <w:tcPr>
            <w:tcW w:w="770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Deferred revenue</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89"/>
        </w:trPr>
        <w:tc>
          <w:tcPr>
            <w:tcW w:w="7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Short-term debt</w:t>
            </w: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89"/>
        </w:trPr>
        <w:tc>
          <w:tcPr>
            <w:tcW w:w="77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83"/>
        </w:trPr>
        <w:tc>
          <w:tcPr>
            <w:tcW w:w="7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w:t>
            </w:r>
          </w:p>
        </w:tc>
        <w:tc>
          <w:tcPr>
            <w:tcW w:w="0" w:type="dxa"/>
            <w:vAlign w:val="bottom"/>
          </w:tcPr>
          <w:p>
            <w:pPr>
              <w:spacing w:after="0"/>
              <w:rPr>
                <w:sz w:val="1"/>
                <w:szCs w:val="1"/>
                <w:color w:val="auto"/>
              </w:rPr>
            </w:pPr>
          </w:p>
        </w:tc>
      </w:tr>
      <w:tr>
        <w:trPr>
          <w:trHeight w:val="170"/>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NON-CURRENT LIABILITIES:</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Long-term debt, net of debt issuance costs of $8.4 and $9.0, respectively</w:t>
            </w: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923.9</w:t>
            </w:r>
          </w:p>
        </w:tc>
        <w:tc>
          <w:tcPr>
            <w:tcW w:w="0" w:type="dxa"/>
            <w:vAlign w:val="bottom"/>
          </w:tcPr>
          <w:p>
            <w:pPr>
              <w:spacing w:after="0"/>
              <w:rPr>
                <w:sz w:val="1"/>
                <w:szCs w:val="1"/>
                <w:color w:val="auto"/>
              </w:rPr>
            </w:pPr>
          </w:p>
        </w:tc>
      </w:tr>
      <w:tr>
        <w:trPr>
          <w:trHeight w:val="122"/>
        </w:trPr>
        <w:tc>
          <w:tcPr>
            <w:tcW w:w="7700" w:type="dxa"/>
            <w:vAlign w:val="bottom"/>
          </w:tcPr>
          <w:p>
            <w:pPr>
              <w:ind w:left="480"/>
              <w:spacing w:after="0" w:line="122" w:lineRule="exact"/>
              <w:rPr>
                <w:sz w:val="20"/>
                <w:szCs w:val="20"/>
                <w:color w:val="auto"/>
              </w:rPr>
            </w:pPr>
            <w:r>
              <w:rPr>
                <w:rFonts w:ascii="Times New Roman" w:cs="Times New Roman" w:eastAsia="Times New Roman" w:hAnsi="Times New Roman"/>
                <w:sz w:val="13"/>
                <w:szCs w:val="13"/>
                <w:color w:val="auto"/>
              </w:rPr>
              <w:t>Payable to founding members under tax receivable agreement (including payables to related</w:t>
            </w:r>
          </w:p>
        </w:tc>
        <w:tc>
          <w:tcPr>
            <w:tcW w:w="180" w:type="dxa"/>
            <w:vAlign w:val="bottom"/>
          </w:tcPr>
          <w:p>
            <w:pPr>
              <w:spacing w:after="0"/>
              <w:rPr>
                <w:sz w:val="10"/>
                <w:szCs w:val="10"/>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184.1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183.8</w:t>
            </w:r>
          </w:p>
        </w:tc>
        <w:tc>
          <w:tcPr>
            <w:tcW w:w="0" w:type="dxa"/>
            <w:vAlign w:val="bottom"/>
          </w:tcPr>
          <w:p>
            <w:pPr>
              <w:spacing w:after="0"/>
              <w:rPr>
                <w:sz w:val="1"/>
                <w:szCs w:val="1"/>
                <w:color w:val="auto"/>
              </w:rPr>
            </w:pPr>
          </w:p>
        </w:tc>
      </w:tr>
      <w:tr>
        <w:trPr>
          <w:trHeight w:val="170"/>
        </w:trPr>
        <w:tc>
          <w:tcPr>
            <w:tcW w:w="7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parties of $133.6 and $133.5, respectively)</w:t>
            </w:r>
          </w:p>
        </w:tc>
        <w:tc>
          <w:tcPr>
            <w:tcW w:w="18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Other liabilities</w:t>
            </w:r>
          </w:p>
        </w:tc>
        <w:tc>
          <w:tcPr>
            <w:tcW w:w="18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0" w:type="dxa"/>
            <w:vAlign w:val="bottom"/>
          </w:tcPr>
          <w:p>
            <w:pPr>
              <w:spacing w:after="0"/>
              <w:rPr>
                <w:sz w:val="1"/>
                <w:szCs w:val="1"/>
                <w:color w:val="auto"/>
              </w:rPr>
            </w:pPr>
          </w:p>
        </w:tc>
      </w:tr>
      <w:tr>
        <w:trPr>
          <w:trHeight w:val="183"/>
        </w:trPr>
        <w:tc>
          <w:tcPr>
            <w:tcW w:w="77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3"/>
                <w:szCs w:val="13"/>
                <w:color w:val="auto"/>
              </w:rPr>
              <w:t>Total non-current liabilities</w:t>
            </w: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1,257.8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1,131.7</w:t>
            </w:r>
          </w:p>
        </w:tc>
        <w:tc>
          <w:tcPr>
            <w:tcW w:w="0" w:type="dxa"/>
            <w:vAlign w:val="bottom"/>
          </w:tcPr>
          <w:p>
            <w:pPr>
              <w:spacing w:after="0"/>
              <w:rPr>
                <w:sz w:val="1"/>
                <w:szCs w:val="1"/>
                <w:color w:val="auto"/>
              </w:rPr>
            </w:pPr>
          </w:p>
        </w:tc>
      </w:tr>
      <w:tr>
        <w:trPr>
          <w:trHeight w:val="183"/>
        </w:trPr>
        <w:tc>
          <w:tcPr>
            <w:tcW w:w="7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Total liabilities</w:t>
            </w:r>
          </w:p>
        </w:tc>
        <w:tc>
          <w:tcPr>
            <w:tcW w:w="18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1,308.2</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1,251.2</w:t>
            </w:r>
          </w:p>
        </w:tc>
        <w:tc>
          <w:tcPr>
            <w:tcW w:w="0" w:type="dxa"/>
            <w:vAlign w:val="bottom"/>
          </w:tcPr>
          <w:p>
            <w:pPr>
              <w:spacing w:after="0"/>
              <w:rPr>
                <w:sz w:val="1"/>
                <w:szCs w:val="1"/>
                <w:color w:val="auto"/>
              </w:rPr>
            </w:pPr>
          </w:p>
        </w:tc>
      </w:tr>
      <w:tr>
        <w:trPr>
          <w:trHeight w:val="150"/>
        </w:trPr>
        <w:tc>
          <w:tcPr>
            <w:tcW w:w="770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COMMITMENTS AND CONTINGENCIES (NOTE 8)</w:t>
            </w:r>
          </w:p>
        </w:tc>
        <w:tc>
          <w:tcPr>
            <w:tcW w:w="1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EQUITY/(DEFICIT):</w:t>
            </w: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77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NCM, Inc. Stockholders’ Equity/(Deficit):</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7700" w:type="dxa"/>
            <w:vAlign w:val="bottom"/>
            <w:shd w:val="clear" w:color="auto" w:fill="CCEEFF"/>
          </w:tcPr>
          <w:p>
            <w:pPr>
              <w:ind w:left="480"/>
              <w:spacing w:after="0" w:line="128" w:lineRule="exact"/>
              <w:rPr>
                <w:sz w:val="20"/>
                <w:szCs w:val="20"/>
                <w:color w:val="auto"/>
              </w:rPr>
            </w:pPr>
            <w:r>
              <w:rPr>
                <w:rFonts w:ascii="Times New Roman" w:cs="Times New Roman" w:eastAsia="Times New Roman" w:hAnsi="Times New Roman"/>
                <w:sz w:val="13"/>
                <w:szCs w:val="13"/>
                <w:color w:val="auto"/>
              </w:rPr>
              <w:t>Preferred stock, $0.01 par value; 10,000,000 shares authorized, none issued and outstanding,</w:t>
            </w:r>
          </w:p>
        </w:tc>
        <w:tc>
          <w:tcPr>
            <w:tcW w:w="180" w:type="dxa"/>
            <w:vAlign w:val="bottom"/>
            <w:shd w:val="clear" w:color="auto" w:fill="CCEEFF"/>
          </w:tcPr>
          <w:p>
            <w:pPr>
              <w:spacing w:after="0"/>
              <w:rPr>
                <w:sz w:val="11"/>
                <w:szCs w:val="11"/>
                <w:color w:val="auto"/>
              </w:rPr>
            </w:pPr>
          </w:p>
        </w:tc>
        <w:tc>
          <w:tcPr>
            <w:tcW w:w="1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77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respectively</w:t>
            </w:r>
          </w:p>
        </w:tc>
        <w:tc>
          <w:tcPr>
            <w:tcW w:w="180" w:type="dxa"/>
            <w:vAlign w:val="bottom"/>
            <w:shd w:val="clear" w:color="auto" w:fill="CCEEFF"/>
          </w:tcPr>
          <w:p>
            <w:pPr>
              <w:spacing w:after="0"/>
              <w:rPr>
                <w:sz w:val="15"/>
                <w:szCs w:val="15"/>
                <w:color w:val="auto"/>
              </w:rPr>
            </w:pPr>
          </w:p>
        </w:tc>
        <w:tc>
          <w:tcPr>
            <w:tcW w:w="16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7700" w:type="dxa"/>
            <w:vAlign w:val="bottom"/>
          </w:tcPr>
          <w:p>
            <w:pPr>
              <w:ind w:left="480"/>
              <w:spacing w:after="0" w:line="122" w:lineRule="exact"/>
              <w:rPr>
                <w:sz w:val="20"/>
                <w:szCs w:val="20"/>
                <w:color w:val="auto"/>
              </w:rPr>
            </w:pPr>
            <w:r>
              <w:rPr>
                <w:rFonts w:ascii="Times New Roman" w:cs="Times New Roman" w:eastAsia="Times New Roman" w:hAnsi="Times New Roman"/>
                <w:sz w:val="13"/>
                <w:szCs w:val="13"/>
                <w:color w:val="auto"/>
              </w:rPr>
              <w:t>Common stock, $0.01 par value; 175,000,000 shares authorized, 78,037,611 and 77,568,986 issued</w:t>
            </w:r>
          </w:p>
        </w:tc>
        <w:tc>
          <w:tcPr>
            <w:tcW w:w="180" w:type="dxa"/>
            <w:vAlign w:val="bottom"/>
          </w:tcPr>
          <w:p>
            <w:pPr>
              <w:spacing w:after="0"/>
              <w:rPr>
                <w:sz w:val="10"/>
                <w:szCs w:val="10"/>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71"/>
        </w:trPr>
        <w:tc>
          <w:tcPr>
            <w:tcW w:w="7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and outstanding, respectively</w:t>
            </w:r>
          </w:p>
        </w:tc>
        <w:tc>
          <w:tcPr>
            <w:tcW w:w="18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Additional paid in capital/(deficit)</w:t>
            </w: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(209.2)</w:t>
            </w:r>
          </w:p>
        </w:tc>
        <w:tc>
          <w:tcPr>
            <w:tcW w:w="0" w:type="dxa"/>
            <w:vAlign w:val="bottom"/>
          </w:tcPr>
          <w:p>
            <w:pPr>
              <w:spacing w:after="0"/>
              <w:rPr>
                <w:sz w:val="1"/>
                <w:szCs w:val="1"/>
                <w:color w:val="auto"/>
              </w:rPr>
            </w:pPr>
          </w:p>
        </w:tc>
      </w:tr>
      <w:tr>
        <w:trPr>
          <w:trHeight w:val="189"/>
        </w:trPr>
        <w:tc>
          <w:tcPr>
            <w:tcW w:w="77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3"/>
                <w:szCs w:val="13"/>
                <w:color w:val="auto"/>
              </w:rPr>
              <w:t>Retained earnings (distributions in excess of earnings)</w:t>
            </w: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(171.1)</w:t>
            </w:r>
          </w:p>
        </w:tc>
        <w:tc>
          <w:tcPr>
            <w:tcW w:w="0" w:type="dxa"/>
            <w:vAlign w:val="bottom"/>
          </w:tcPr>
          <w:p>
            <w:pPr>
              <w:spacing w:after="0"/>
              <w:rPr>
                <w:sz w:val="1"/>
                <w:szCs w:val="1"/>
                <w:color w:val="auto"/>
              </w:rPr>
            </w:pPr>
          </w:p>
        </w:tc>
      </w:tr>
      <w:tr>
        <w:trPr>
          <w:trHeight w:val="183"/>
        </w:trPr>
        <w:tc>
          <w:tcPr>
            <w:tcW w:w="7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Total NCM, Inc. stockholders’ equity/(deficit)</w:t>
            </w: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(379.5)</w:t>
            </w:r>
          </w:p>
        </w:tc>
        <w:tc>
          <w:tcPr>
            <w:tcW w:w="0" w:type="dxa"/>
            <w:vAlign w:val="bottom"/>
          </w:tcPr>
          <w:p>
            <w:pPr>
              <w:spacing w:after="0"/>
              <w:rPr>
                <w:sz w:val="1"/>
                <w:szCs w:val="1"/>
                <w:color w:val="auto"/>
              </w:rPr>
            </w:pPr>
          </w:p>
        </w:tc>
      </w:tr>
      <w:tr>
        <w:trPr>
          <w:trHeight w:val="189"/>
        </w:trPr>
        <w:tc>
          <w:tcPr>
            <w:tcW w:w="77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258.3</w:t>
            </w:r>
          </w:p>
        </w:tc>
        <w:tc>
          <w:tcPr>
            <w:tcW w:w="0" w:type="dxa"/>
            <w:vAlign w:val="bottom"/>
          </w:tcPr>
          <w:p>
            <w:pPr>
              <w:spacing w:after="0"/>
              <w:rPr>
                <w:sz w:val="1"/>
                <w:szCs w:val="1"/>
                <w:color w:val="auto"/>
              </w:rPr>
            </w:pPr>
          </w:p>
        </w:tc>
      </w:tr>
      <w:tr>
        <w:trPr>
          <w:trHeight w:val="183"/>
        </w:trPr>
        <w:tc>
          <w:tcPr>
            <w:tcW w:w="7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Total equity/(deficit)</w:t>
            </w:r>
          </w:p>
        </w:tc>
        <w:tc>
          <w:tcPr>
            <w:tcW w:w="18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(210.4)</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w:t>
            </w:r>
          </w:p>
        </w:tc>
        <w:tc>
          <w:tcPr>
            <w:tcW w:w="0" w:type="dxa"/>
            <w:vAlign w:val="bottom"/>
          </w:tcPr>
          <w:p>
            <w:pPr>
              <w:spacing w:after="0"/>
              <w:rPr>
                <w:sz w:val="1"/>
                <w:szCs w:val="1"/>
                <w:color w:val="auto"/>
              </w:rPr>
            </w:pPr>
          </w:p>
        </w:tc>
      </w:tr>
      <w:tr>
        <w:trPr>
          <w:trHeight w:val="183"/>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LIABILITIES AND EQUITY/(DEFICIT)</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1,097.8</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1,130.0</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the unaudited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NATIONAL CINEMEDIA, INC. AND SUBSIDIARY</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INCOME AND COMPREHENSIVE INCOME</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 millions, except share and per share data)</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33"/>
        </w:trPr>
        <w:tc>
          <w:tcPr>
            <w:tcW w:w="5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September 24,</w:t>
            </w: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26, 2019</w:t>
            </w:r>
          </w:p>
        </w:tc>
        <w:tc>
          <w:tcPr>
            <w:tcW w:w="120" w:type="dxa"/>
            <w:vAlign w:val="bottom"/>
          </w:tcPr>
          <w:p>
            <w:pPr>
              <w:spacing w:after="0"/>
              <w:rPr>
                <w:sz w:val="11"/>
                <w:szCs w:val="11"/>
                <w:color w:val="auto"/>
              </w:rPr>
            </w:pPr>
          </w:p>
        </w:tc>
        <w:tc>
          <w:tcPr>
            <w:tcW w:w="1180" w:type="dxa"/>
            <w:vAlign w:val="bottom"/>
            <w:gridSpan w:val="2"/>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September 24,</w:t>
            </w: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26, 2019</w:t>
            </w:r>
          </w:p>
        </w:tc>
        <w:tc>
          <w:tcPr>
            <w:tcW w:w="0" w:type="dxa"/>
            <w:vAlign w:val="bottom"/>
          </w:tcPr>
          <w:p>
            <w:pPr>
              <w:spacing w:after="0"/>
              <w:rPr>
                <w:sz w:val="1"/>
                <w:szCs w:val="1"/>
                <w:color w:val="auto"/>
              </w:rPr>
            </w:pPr>
          </w:p>
        </w:tc>
      </w:tr>
      <w:tr>
        <w:trPr>
          <w:trHeight w:val="189"/>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(including revenue from related parties of $0.2, $5.7, $4.5 and $17.5, respectively)</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297.6</w:t>
            </w:r>
          </w:p>
        </w:tc>
        <w:tc>
          <w:tcPr>
            <w:tcW w:w="0" w:type="dxa"/>
            <w:vAlign w:val="bottom"/>
          </w:tcPr>
          <w:p>
            <w:pPr>
              <w:spacing w:after="0"/>
              <w:rPr>
                <w:sz w:val="1"/>
                <w:szCs w:val="1"/>
                <w:color w:val="auto"/>
              </w:rPr>
            </w:pPr>
          </w:p>
        </w:tc>
      </w:tr>
      <w:tr>
        <w:trPr>
          <w:trHeight w:val="189"/>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Advertising operating costs</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0" w:type="dxa"/>
            <w:vAlign w:val="bottom"/>
          </w:tcPr>
          <w:p>
            <w:pPr>
              <w:spacing w:after="0"/>
              <w:rPr>
                <w:sz w:val="1"/>
                <w:szCs w:val="1"/>
                <w:color w:val="auto"/>
              </w:rPr>
            </w:pPr>
          </w:p>
        </w:tc>
      </w:tr>
      <w:tr>
        <w:trPr>
          <w:trHeight w:val="189"/>
        </w:trPr>
        <w:tc>
          <w:tcPr>
            <w:tcW w:w="5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Network costs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35"/>
        </w:trPr>
        <w:tc>
          <w:tcPr>
            <w:tcW w:w="59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4"/>
                <w:szCs w:val="14"/>
                <w:color w:val="auto"/>
              </w:rPr>
              <w:t>Theater access fees and revenue share to founding members (including fees to related parties of</w:t>
            </w:r>
          </w:p>
        </w:tc>
        <w:tc>
          <w:tcPr>
            <w:tcW w:w="1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0" w:type="dxa"/>
            <w:vAlign w:val="bottom"/>
          </w:tcPr>
          <w:p>
            <w:pPr>
              <w:spacing w:after="0"/>
              <w:rPr>
                <w:sz w:val="1"/>
                <w:szCs w:val="1"/>
                <w:color w:val="auto"/>
              </w:rPr>
            </w:pPr>
          </w:p>
        </w:tc>
      </w:tr>
      <w:tr>
        <w:trPr>
          <w:trHeight w:val="189"/>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$1.0, $13.5, $13.6 and $40.9, respectively)</w:t>
            </w: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Selling and marketing costs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0" w:type="dxa"/>
            <w:vAlign w:val="bottom"/>
          </w:tcPr>
          <w:p>
            <w:pPr>
              <w:spacing w:after="0"/>
              <w:rPr>
                <w:sz w:val="1"/>
                <w:szCs w:val="1"/>
                <w:color w:val="auto"/>
              </w:rPr>
            </w:pPr>
          </w:p>
        </w:tc>
      </w:tr>
      <w:tr>
        <w:trPr>
          <w:trHeight w:val="189"/>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Administrative and other costs</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0" w:type="dxa"/>
            <w:vAlign w:val="bottom"/>
          </w:tcPr>
          <w:p>
            <w:pPr>
              <w:spacing w:after="0"/>
              <w:rPr>
                <w:sz w:val="1"/>
                <w:szCs w:val="1"/>
                <w:color w:val="auto"/>
              </w:rPr>
            </w:pPr>
          </w:p>
        </w:tc>
      </w:tr>
      <w:tr>
        <w:trPr>
          <w:trHeight w:val="189"/>
        </w:trPr>
        <w:tc>
          <w:tcPr>
            <w:tcW w:w="5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12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Depreciation expense</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89"/>
        </w:trPr>
        <w:tc>
          <w:tcPr>
            <w:tcW w:w="5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Amortization of intangibles recorded for network theater screen leases</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183"/>
        </w:trPr>
        <w:tc>
          <w:tcPr>
            <w:tcW w:w="59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209.0</w:t>
            </w:r>
          </w:p>
        </w:tc>
        <w:tc>
          <w:tcPr>
            <w:tcW w:w="0" w:type="dxa"/>
            <w:vAlign w:val="bottom"/>
          </w:tcPr>
          <w:p>
            <w:pPr>
              <w:spacing w:after="0"/>
              <w:rPr>
                <w:sz w:val="1"/>
                <w:szCs w:val="1"/>
                <w:color w:val="auto"/>
              </w:rPr>
            </w:pPr>
          </w:p>
        </w:tc>
      </w:tr>
      <w:tr>
        <w:trPr>
          <w:trHeight w:val="182"/>
        </w:trPr>
        <w:tc>
          <w:tcPr>
            <w:tcW w:w="59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4"/>
                <w:szCs w:val="14"/>
                <w:color w:val="auto"/>
              </w:rPr>
              <w:t>OPERATING (LOSS) INCOME</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0" w:type="dxa"/>
            <w:vAlign w:val="bottom"/>
          </w:tcPr>
          <w:p>
            <w:pPr>
              <w:spacing w:after="0"/>
              <w:rPr>
                <w:sz w:val="1"/>
                <w:szCs w:val="1"/>
                <w:color w:val="auto"/>
              </w:rPr>
            </w:pPr>
          </w:p>
        </w:tc>
      </w:tr>
      <w:tr>
        <w:trPr>
          <w:trHeight w:val="16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NON-OPERATING EXPENSES:</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on borrowings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0" w:type="dxa"/>
            <w:vAlign w:val="bottom"/>
          </w:tcPr>
          <w:p>
            <w:pPr>
              <w:spacing w:after="0"/>
              <w:rPr>
                <w:sz w:val="1"/>
                <w:szCs w:val="1"/>
                <w:color w:val="auto"/>
              </w:rPr>
            </w:pPr>
          </w:p>
        </w:tc>
      </w:tr>
      <w:tr>
        <w:trPr>
          <w:trHeight w:val="189"/>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9"/>
        </w:trPr>
        <w:tc>
          <w:tcPr>
            <w:tcW w:w="5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Loss (gain) on modification and retirement of debt, net</w:t>
            </w:r>
          </w:p>
        </w:tc>
        <w:tc>
          <w:tcPr>
            <w:tcW w:w="12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35"/>
        </w:trPr>
        <w:tc>
          <w:tcPr>
            <w:tcW w:w="59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4"/>
                <w:szCs w:val="14"/>
                <w:color w:val="auto"/>
              </w:rPr>
              <w:t>(Gain) loss on re-measurement of the payable to founding members under the tax receivable</w:t>
            </w:r>
          </w:p>
        </w:tc>
        <w:tc>
          <w:tcPr>
            <w:tcW w:w="1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9"/>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agreement</w:t>
            </w: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non-operating expense (income)</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83"/>
        </w:trPr>
        <w:tc>
          <w:tcPr>
            <w:tcW w:w="596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0" w:type="dxa"/>
            <w:vAlign w:val="bottom"/>
          </w:tcPr>
          <w:p>
            <w:pPr>
              <w:spacing w:after="0"/>
              <w:rPr>
                <w:sz w:val="1"/>
                <w:szCs w:val="1"/>
                <w:color w:val="auto"/>
              </w:rPr>
            </w:pPr>
          </w:p>
        </w:tc>
      </w:tr>
      <w:tr>
        <w:trPr>
          <w:trHeight w:val="182"/>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INCOME BEFORE INCOME TAXES</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0" w:type="dxa"/>
            <w:vAlign w:val="bottom"/>
          </w:tcPr>
          <w:p>
            <w:pPr>
              <w:spacing w:after="0"/>
              <w:rPr>
                <w:sz w:val="1"/>
                <w:szCs w:val="1"/>
                <w:color w:val="auto"/>
              </w:rPr>
            </w:pPr>
          </w:p>
        </w:tc>
      </w:tr>
      <w:tr>
        <w:trPr>
          <w:trHeight w:val="189"/>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82"/>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CONSOLIDATED NET (LOSS) INCOME</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0" w:type="dxa"/>
            <w:vAlign w:val="bottom"/>
          </w:tcPr>
          <w:p>
            <w:pPr>
              <w:spacing w:after="0"/>
              <w:rPr>
                <w:sz w:val="1"/>
                <w:szCs w:val="1"/>
                <w:color w:val="auto"/>
              </w:rPr>
            </w:pPr>
          </w:p>
        </w:tc>
      </w:tr>
      <w:tr>
        <w:trPr>
          <w:trHeight w:val="189"/>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Less: Net (loss) income attributable to noncontrolling interests</w:t>
            </w: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0" w:type="dxa"/>
            <w:vAlign w:val="bottom"/>
          </w:tcPr>
          <w:p>
            <w:pPr>
              <w:spacing w:after="0"/>
              <w:rPr>
                <w:sz w:val="1"/>
                <w:szCs w:val="1"/>
                <w:color w:val="auto"/>
              </w:rPr>
            </w:pPr>
          </w:p>
        </w:tc>
      </w:tr>
      <w:tr>
        <w:trPr>
          <w:trHeight w:val="182"/>
        </w:trPr>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(LOSS) INCOME ATTRIBUTABLE TO NCM, INC.</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208"/>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 INCOME ATTRIBUTABLE TO NCM, INC.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 PER NCM, INC. COMMON SHARE:</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120" w:type="dxa"/>
            <w:vAlign w:val="bottom"/>
          </w:tcPr>
          <w:p>
            <w:pPr>
              <w:spacing w:after="0"/>
              <w:rPr>
                <w:sz w:val="16"/>
                <w:szCs w:val="16"/>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(0.39)</w:t>
            </w:r>
          </w:p>
        </w:tc>
        <w:tc>
          <w:tcPr>
            <w:tcW w:w="100" w:type="dxa"/>
            <w:vAlign w:val="bottom"/>
          </w:tcPr>
          <w:p>
            <w:pPr>
              <w:spacing w:after="0"/>
              <w:rPr>
                <w:sz w:val="16"/>
                <w:szCs w:val="16"/>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0" w:type="dxa"/>
            <w:vAlign w:val="bottom"/>
          </w:tcPr>
          <w:p>
            <w:pPr>
              <w:spacing w:after="0"/>
              <w:rPr>
                <w:sz w:val="1"/>
                <w:szCs w:val="1"/>
                <w:color w:val="auto"/>
              </w:rPr>
            </w:pPr>
          </w:p>
        </w:tc>
      </w:tr>
      <w:tr>
        <w:trPr>
          <w:trHeight w:val="189"/>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0" w:type="dxa"/>
            <w:vAlign w:val="bottom"/>
          </w:tcPr>
          <w:p>
            <w:pPr>
              <w:spacing w:after="0"/>
              <w:rPr>
                <w:sz w:val="1"/>
                <w:szCs w:val="1"/>
                <w:color w:val="auto"/>
              </w:rPr>
            </w:pPr>
          </w:p>
        </w:tc>
      </w:tr>
      <w:tr>
        <w:trPr>
          <w:trHeight w:val="189"/>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Basic</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78,016,737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77,356,833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77,925,552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77,293,234</w:t>
            </w:r>
          </w:p>
        </w:tc>
        <w:tc>
          <w:tcPr>
            <w:tcW w:w="0" w:type="dxa"/>
            <w:vAlign w:val="bottom"/>
          </w:tcPr>
          <w:p>
            <w:pPr>
              <w:spacing w:after="0"/>
              <w:rPr>
                <w:sz w:val="1"/>
                <w:szCs w:val="1"/>
                <w:color w:val="auto"/>
              </w:rPr>
            </w:pPr>
          </w:p>
        </w:tc>
      </w:tr>
      <w:tr>
        <w:trPr>
          <w:trHeight w:val="188"/>
        </w:trPr>
        <w:tc>
          <w:tcPr>
            <w:tcW w:w="5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78,016,737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77,883,571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77,925,552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77,687,393</w:t>
            </w:r>
          </w:p>
        </w:tc>
        <w:tc>
          <w:tcPr>
            <w:tcW w:w="0" w:type="dxa"/>
            <w:vAlign w:val="bottom"/>
          </w:tcPr>
          <w:p>
            <w:pPr>
              <w:spacing w:after="0"/>
              <w:rPr>
                <w:sz w:val="1"/>
                <w:szCs w:val="1"/>
                <w:color w:val="auto"/>
              </w:rPr>
            </w:pPr>
          </w:p>
        </w:tc>
      </w:tr>
    </w:tbl>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b w:val="1"/>
          <w:bCs w:val="1"/>
          <w:color w:val="auto"/>
        </w:rPr>
        <w:t>NATIONAL CINEMEDIA, INC. AND SUBSIDIARY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(UNAUDITED)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20" w:type="dxa"/>
            <w:vAlign w:val="bottom"/>
          </w:tcPr>
          <w:p>
            <w:pPr>
              <w:spacing w:after="0"/>
              <w:rPr>
                <w:sz w:val="16"/>
                <w:szCs w:val="16"/>
                <w:color w:val="auto"/>
              </w:rPr>
            </w:pPr>
          </w:p>
        </w:tc>
        <w:tc>
          <w:tcPr>
            <w:tcW w:w="4220" w:type="dxa"/>
            <w:vAlign w:val="bottom"/>
            <w:tcBorders>
              <w:bottom w:val="single" w:sz="8" w:color="auto"/>
            </w:tcBorders>
            <w:gridSpan w:val="4"/>
          </w:tcPr>
          <w:p>
            <w:pPr>
              <w:jc w:val="right"/>
              <w:ind w:right="116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5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September 24, 2020</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26, 2019</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18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Consolidated net (loss) income</w:t>
            </w:r>
          </w:p>
        </w:tc>
        <w:tc>
          <w:tcPr>
            <w:tcW w:w="1840" w:type="dxa"/>
            <w:vAlign w:val="bottom"/>
          </w:tcPr>
          <w:p>
            <w:pPr>
              <w:jc w:val="right"/>
              <w:ind w:right="168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120" w:type="dxa"/>
            <w:vAlign w:val="bottom"/>
          </w:tcPr>
          <w:p>
            <w:pPr>
              <w:spacing w:after="0"/>
              <w:rPr>
                <w:sz w:val="16"/>
                <w:szCs w:val="16"/>
                <w:color w:val="auto"/>
              </w:rPr>
            </w:pPr>
          </w:p>
        </w:tc>
        <w:tc>
          <w:tcPr>
            <w:tcW w:w="1800" w:type="dxa"/>
            <w:vAlign w:val="bottom"/>
          </w:tcPr>
          <w:p>
            <w:pPr>
              <w:jc w:val="right"/>
              <w:ind w:right="164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Adjustments to reconcile consolidated net (loss) income to net cash provided by operating activities:</w:t>
            </w:r>
          </w:p>
        </w:tc>
        <w:tc>
          <w:tcPr>
            <w:tcW w:w="18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Deferred income tax (benefit) expense</w:t>
            </w:r>
          </w:p>
        </w:tc>
        <w:tc>
          <w:tcPr>
            <w:tcW w:w="18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Depreciation expense</w:t>
            </w:r>
          </w:p>
        </w:tc>
        <w:tc>
          <w:tcPr>
            <w:tcW w:w="18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89"/>
        </w:trPr>
        <w:tc>
          <w:tcPr>
            <w:tcW w:w="6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Amortization of intangibles recorded for network theater screen leases</w:t>
            </w:r>
          </w:p>
        </w:tc>
        <w:tc>
          <w:tcPr>
            <w:tcW w:w="18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Non-cash share-based compensation</w:t>
            </w:r>
          </w:p>
        </w:tc>
        <w:tc>
          <w:tcPr>
            <w:tcW w:w="18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89"/>
        </w:trPr>
        <w:tc>
          <w:tcPr>
            <w:tcW w:w="6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18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Impairment on investment</w:t>
            </w:r>
          </w:p>
        </w:tc>
        <w:tc>
          <w:tcPr>
            <w:tcW w:w="184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9"/>
        </w:trPr>
        <w:tc>
          <w:tcPr>
            <w:tcW w:w="6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18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Loss (gain) on modification and retirement of debt, net</w:t>
            </w:r>
          </w:p>
        </w:tc>
        <w:tc>
          <w:tcPr>
            <w:tcW w:w="18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35"/>
        </w:trPr>
        <w:tc>
          <w:tcPr>
            <w:tcW w:w="6520" w:type="dxa"/>
            <w:vAlign w:val="bottom"/>
          </w:tcPr>
          <w:p>
            <w:pPr>
              <w:ind w:left="340"/>
              <w:spacing w:after="0" w:line="135" w:lineRule="exact"/>
              <w:rPr>
                <w:sz w:val="20"/>
                <w:szCs w:val="20"/>
                <w:color w:val="auto"/>
              </w:rPr>
            </w:pPr>
            <w:r>
              <w:rPr>
                <w:rFonts w:ascii="Times New Roman" w:cs="Times New Roman" w:eastAsia="Times New Roman" w:hAnsi="Times New Roman"/>
                <w:sz w:val="14"/>
                <w:szCs w:val="14"/>
                <w:color w:val="auto"/>
              </w:rPr>
              <w:t>Non-cash (gain) loss on re-measurement of the payable to founding members under</w:t>
            </w:r>
          </w:p>
        </w:tc>
        <w:tc>
          <w:tcPr>
            <w:tcW w:w="184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9"/>
        </w:trPr>
        <w:tc>
          <w:tcPr>
            <w:tcW w:w="6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the tax receivable agreement</w:t>
            </w:r>
          </w:p>
        </w:tc>
        <w:tc>
          <w:tcPr>
            <w:tcW w:w="184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w:t>
            </w:r>
          </w:p>
        </w:tc>
        <w:tc>
          <w:tcPr>
            <w:tcW w:w="184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89"/>
        </w:trPr>
        <w:tc>
          <w:tcPr>
            <w:tcW w:w="6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Payments to third parties for extension of intangible assets</w:t>
            </w:r>
          </w:p>
        </w:tc>
        <w:tc>
          <w:tcPr>
            <w:tcW w:w="184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disposition of intangible assets by network affiliates</w:t>
            </w:r>
          </w:p>
        </w:tc>
        <w:tc>
          <w:tcPr>
            <w:tcW w:w="184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35"/>
        </w:trPr>
        <w:tc>
          <w:tcPr>
            <w:tcW w:w="6520" w:type="dxa"/>
            <w:vAlign w:val="bottom"/>
          </w:tcPr>
          <w:p>
            <w:pPr>
              <w:ind w:left="220"/>
              <w:spacing w:after="0" w:line="135" w:lineRule="exact"/>
              <w:rPr>
                <w:sz w:val="20"/>
                <w:szCs w:val="20"/>
                <w:color w:val="auto"/>
              </w:rPr>
            </w:pPr>
            <w:r>
              <w:rPr>
                <w:rFonts w:ascii="Times New Roman" w:cs="Times New Roman" w:eastAsia="Times New Roman" w:hAnsi="Times New Roman"/>
                <w:sz w:val="14"/>
                <w:szCs w:val="14"/>
                <w:color w:val="auto"/>
              </w:rPr>
              <w:t>Founding member integration and other encumbered theater payments (including</w:t>
            </w:r>
          </w:p>
        </w:tc>
        <w:tc>
          <w:tcPr>
            <w:tcW w:w="184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189"/>
        </w:trPr>
        <w:tc>
          <w:tcPr>
            <w:tcW w:w="6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payments from related parties of $0.1 and $0.8, respectively)</w:t>
            </w:r>
          </w:p>
        </w:tc>
        <w:tc>
          <w:tcPr>
            <w:tcW w:w="184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52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4"/>
                <w:szCs w:val="14"/>
                <w:color w:val="auto"/>
              </w:rPr>
              <w:t>Payment to the founding members under tax receivable agreement (including</w:t>
            </w:r>
          </w:p>
        </w:tc>
        <w:tc>
          <w:tcPr>
            <w:tcW w:w="184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payments to related parties of $9.0 and $9.8, respectively)</w:t>
            </w:r>
          </w:p>
        </w:tc>
        <w:tc>
          <w:tcPr>
            <w:tcW w:w="184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Receivables, net</w:t>
            </w:r>
          </w:p>
        </w:tc>
        <w:tc>
          <w:tcPr>
            <w:tcW w:w="18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12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0" w:type="dxa"/>
            <w:vAlign w:val="bottom"/>
          </w:tcPr>
          <w:p>
            <w:pPr>
              <w:spacing w:after="0"/>
              <w:rPr>
                <w:sz w:val="1"/>
                <w:szCs w:val="1"/>
                <w:color w:val="auto"/>
              </w:rPr>
            </w:pPr>
          </w:p>
        </w:tc>
      </w:tr>
      <w:tr>
        <w:trPr>
          <w:trHeight w:val="189"/>
        </w:trPr>
        <w:tc>
          <w:tcPr>
            <w:tcW w:w="6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18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Amounts due to/from founding members, net</w:t>
            </w:r>
          </w:p>
        </w:tc>
        <w:tc>
          <w:tcPr>
            <w:tcW w:w="18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89"/>
        </w:trPr>
        <w:tc>
          <w:tcPr>
            <w:tcW w:w="6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Deferred revenue</w:t>
            </w:r>
          </w:p>
        </w:tc>
        <w:tc>
          <w:tcPr>
            <w:tcW w:w="18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net</w:t>
            </w:r>
          </w:p>
        </w:tc>
        <w:tc>
          <w:tcPr>
            <w:tcW w:w="18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CEEFF"/>
          </w:tcPr>
          <w:p>
            <w:pPr>
              <w:spacing w:after="0"/>
              <w:rPr>
                <w:sz w:val="16"/>
                <w:szCs w:val="16"/>
                <w:color w:val="auto"/>
              </w:rPr>
            </w:pPr>
          </w:p>
        </w:tc>
        <w:tc>
          <w:tcPr>
            <w:tcW w:w="18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82"/>
        </w:trPr>
        <w:tc>
          <w:tcPr>
            <w:tcW w:w="65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8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120" w:type="dxa"/>
            <w:vAlign w:val="bottom"/>
            <w:tcBorders>
              <w:bottom w:val="single" w:sz="8" w:color="CCEEFF"/>
            </w:tcBorders>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113.6</w:t>
            </w:r>
          </w:p>
        </w:tc>
        <w:tc>
          <w:tcPr>
            <w:tcW w:w="0" w:type="dxa"/>
            <w:vAlign w:val="bottom"/>
          </w:tcPr>
          <w:p>
            <w:pPr>
              <w:spacing w:after="0"/>
              <w:rPr>
                <w:sz w:val="1"/>
                <w:szCs w:val="1"/>
                <w:color w:val="auto"/>
              </w:rPr>
            </w:pPr>
          </w:p>
        </w:tc>
      </w:tr>
      <w:tr>
        <w:trPr>
          <w:trHeight w:val="16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8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8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18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89"/>
        </w:trPr>
        <w:tc>
          <w:tcPr>
            <w:tcW w:w="6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sale and maturities of marketable securities</w:t>
            </w:r>
          </w:p>
        </w:tc>
        <w:tc>
          <w:tcPr>
            <w:tcW w:w="18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0" w:type="dxa"/>
            <w:vAlign w:val="bottom"/>
          </w:tcPr>
          <w:p>
            <w:pPr>
              <w:spacing w:after="0"/>
              <w:rPr>
                <w:sz w:val="1"/>
                <w:szCs w:val="1"/>
                <w:color w:val="auto"/>
              </w:rPr>
            </w:pPr>
          </w:p>
        </w:tc>
      </w:tr>
      <w:tr>
        <w:trPr>
          <w:trHeight w:val="135"/>
        </w:trPr>
        <w:tc>
          <w:tcPr>
            <w:tcW w:w="6520" w:type="dxa"/>
            <w:vAlign w:val="bottom"/>
            <w:shd w:val="clear" w:color="auto" w:fill="CCEEFF"/>
          </w:tcPr>
          <w:p>
            <w:pPr>
              <w:ind w:left="360"/>
              <w:spacing w:after="0" w:line="135" w:lineRule="exact"/>
              <w:rPr>
                <w:sz w:val="20"/>
                <w:szCs w:val="20"/>
                <w:color w:val="auto"/>
              </w:rPr>
            </w:pPr>
            <w:r>
              <w:rPr>
                <w:rFonts w:ascii="Times New Roman" w:cs="Times New Roman" w:eastAsia="Times New Roman" w:hAnsi="Times New Roman"/>
                <w:sz w:val="14"/>
                <w:szCs w:val="14"/>
                <w:color w:val="auto"/>
              </w:rPr>
              <w:t>Proceeds from notes receivable - founding members (including payments from</w:t>
            </w:r>
          </w:p>
        </w:tc>
        <w:tc>
          <w:tcPr>
            <w:tcW w:w="184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related parties of $0.0 and $1.4, respectively)</w:t>
            </w:r>
          </w:p>
        </w:tc>
        <w:tc>
          <w:tcPr>
            <w:tcW w:w="184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5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184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tcBorders>
              <w:bottom w:val="single" w:sz="8" w:color="CCEEFF"/>
            </w:tcBorders>
          </w:tcPr>
          <w:p>
            <w:pPr>
              <w:spacing w:after="0"/>
              <w:rPr>
                <w:sz w:val="15"/>
                <w:szCs w:val="15"/>
                <w:color w:val="auto"/>
              </w:rPr>
            </w:pPr>
          </w:p>
        </w:tc>
        <w:tc>
          <w:tcPr>
            <w:tcW w:w="180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6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8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Payment of dividends</w:t>
            </w:r>
          </w:p>
        </w:tc>
        <w:tc>
          <w:tcPr>
            <w:tcW w:w="18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revolving credit facility</w:t>
            </w:r>
          </w:p>
        </w:tc>
        <w:tc>
          <w:tcPr>
            <w:tcW w:w="18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w:t>
            </w:r>
          </w:p>
        </w:tc>
        <w:tc>
          <w:tcPr>
            <w:tcW w:w="12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89"/>
        </w:trPr>
        <w:tc>
          <w:tcPr>
            <w:tcW w:w="6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Repayments of revolving credit facility</w:t>
            </w:r>
          </w:p>
        </w:tc>
        <w:tc>
          <w:tcPr>
            <w:tcW w:w="18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(121.0)</w:t>
            </w: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Repayment of term loan facility</w:t>
            </w:r>
          </w:p>
        </w:tc>
        <w:tc>
          <w:tcPr>
            <w:tcW w:w="18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9"/>
        </w:trPr>
        <w:tc>
          <w:tcPr>
            <w:tcW w:w="6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Repayment of Senior Notes due 2026</w:t>
            </w:r>
          </w:p>
        </w:tc>
        <w:tc>
          <w:tcPr>
            <w:tcW w:w="184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18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0F7F40"/>
              </w:rPr>
              <w:t>—</w:t>
            </w:r>
          </w:p>
        </w:tc>
        <w:tc>
          <w:tcPr>
            <w:tcW w:w="0" w:type="dxa"/>
            <w:vAlign w:val="bottom"/>
          </w:tcPr>
          <w:p>
            <w:pPr>
              <w:spacing w:after="0"/>
              <w:rPr>
                <w:sz w:val="1"/>
                <w:szCs w:val="1"/>
                <w:color w:val="auto"/>
              </w:rPr>
            </w:pPr>
          </w:p>
        </w:tc>
      </w:tr>
      <w:tr>
        <w:trPr>
          <w:trHeight w:val="189"/>
        </w:trPr>
        <w:tc>
          <w:tcPr>
            <w:tcW w:w="6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Distributions to founding members</w:t>
            </w:r>
          </w:p>
        </w:tc>
        <w:tc>
          <w:tcPr>
            <w:tcW w:w="18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Repurchase of stock for restricted stock tax withholding</w:t>
            </w:r>
          </w:p>
        </w:tc>
        <w:tc>
          <w:tcPr>
            <w:tcW w:w="18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6"/>
                <w:szCs w:val="16"/>
                <w:color w:val="auto"/>
              </w:rPr>
            </w:pPr>
          </w:p>
        </w:tc>
        <w:tc>
          <w:tcPr>
            <w:tcW w:w="18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2"/>
        </w:trPr>
        <w:tc>
          <w:tcPr>
            <w:tcW w:w="65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8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120" w:type="dxa"/>
            <w:vAlign w:val="bottom"/>
            <w:tcBorders>
              <w:bottom w:val="single" w:sz="8" w:color="CCEEFF"/>
            </w:tcBorders>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(118.7)</w:t>
            </w:r>
          </w:p>
        </w:tc>
        <w:tc>
          <w:tcPr>
            <w:tcW w:w="0" w:type="dxa"/>
            <w:vAlign w:val="bottom"/>
          </w:tcPr>
          <w:p>
            <w:pPr>
              <w:spacing w:after="0"/>
              <w:rPr>
                <w:sz w:val="1"/>
                <w:szCs w:val="1"/>
                <w:color w:val="auto"/>
              </w:rPr>
            </w:pPr>
          </w:p>
        </w:tc>
      </w:tr>
      <w:tr>
        <w:trPr>
          <w:trHeight w:val="18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CASH AND CASH EQUIVALENTS:</w:t>
            </w:r>
          </w:p>
        </w:tc>
        <w:tc>
          <w:tcPr>
            <w:tcW w:w="18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161.8</w:t>
            </w: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89"/>
        </w:trPr>
        <w:tc>
          <w:tcPr>
            <w:tcW w:w="6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8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0" w:type="dxa"/>
            <w:vAlign w:val="bottom"/>
          </w:tcPr>
          <w:p>
            <w:pPr>
              <w:spacing w:after="0"/>
              <w:rPr>
                <w:sz w:val="1"/>
                <w:szCs w:val="1"/>
                <w:color w:val="auto"/>
              </w:rPr>
            </w:pPr>
          </w:p>
        </w:tc>
      </w:tr>
      <w:tr>
        <w:trPr>
          <w:trHeight w:val="208"/>
        </w:trPr>
        <w:tc>
          <w:tcPr>
            <w:tcW w:w="6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840" w:type="dxa"/>
            <w:vAlign w:val="bottom"/>
            <w:tcBorders>
              <w:bottom w:val="single" w:sz="8" w:color="auto"/>
            </w:tcBorders>
            <w:shd w:val="clear" w:color="auto" w:fill="CCEEFF"/>
          </w:tcPr>
          <w:p>
            <w:pPr>
              <w:jc w:val="right"/>
              <w:ind w:right="168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217.7</w:t>
            </w:r>
          </w:p>
        </w:tc>
        <w:tc>
          <w:tcPr>
            <w:tcW w:w="12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ind w:right="164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 w:name="page7"/>
    <w:bookmarkEnd w:id="6"/>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NATIONAL CINEMEDIA, INC. AND SUBSIDIARY</w:t>
      </w:r>
    </w:p>
    <w:p>
      <w:pPr>
        <w:spacing w:after="0" w:line="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 (CONTINUED)</w:t>
      </w:r>
    </w:p>
    <w:p>
      <w:pPr>
        <w:spacing w:after="0" w:line="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102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7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24, 2020</w:t>
            </w:r>
          </w:p>
        </w:tc>
        <w:tc>
          <w:tcPr>
            <w:tcW w:w="160" w:type="dxa"/>
            <w:vAlign w:val="bottom"/>
          </w:tcPr>
          <w:p>
            <w:pPr>
              <w:spacing w:after="0"/>
              <w:rPr>
                <w:sz w:val="16"/>
                <w:szCs w:val="16"/>
                <w:color w:val="auto"/>
              </w:rPr>
            </w:pPr>
          </w:p>
        </w:tc>
        <w:tc>
          <w:tcPr>
            <w:tcW w:w="15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September 26, 2019</w:t>
            </w:r>
          </w:p>
        </w:tc>
        <w:tc>
          <w:tcPr>
            <w:tcW w:w="0" w:type="dxa"/>
            <w:vAlign w:val="bottom"/>
          </w:tcPr>
          <w:p>
            <w:pPr>
              <w:spacing w:after="0"/>
              <w:rPr>
                <w:sz w:val="1"/>
                <w:szCs w:val="1"/>
                <w:color w:val="auto"/>
              </w:rPr>
            </w:pPr>
          </w:p>
        </w:tc>
      </w:tr>
      <w:tr>
        <w:trPr>
          <w:trHeight w:val="169"/>
        </w:trPr>
        <w:tc>
          <w:tcPr>
            <w:tcW w:w="7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 of non-cash financing and investing activity:</w:t>
            </w:r>
          </w:p>
        </w:tc>
        <w:tc>
          <w:tcPr>
            <w:tcW w:w="160" w:type="dxa"/>
            <w:vAlign w:val="bottom"/>
            <w:tcBorders>
              <w:top w:val="single" w:sz="8" w:color="auto"/>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 of an intangible asset with NCM LLC equity</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35"/>
        </w:trPr>
        <w:tc>
          <w:tcPr>
            <w:tcW w:w="768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4"/>
                <w:szCs w:val="14"/>
                <w:color w:val="auto"/>
              </w:rPr>
              <w:t>Accrued distributions to founding members (including accrued distributions to related parties of $0.0</w:t>
            </w: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189"/>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and $22.4, respectively)</w:t>
            </w:r>
          </w:p>
        </w:tc>
        <w:tc>
          <w:tcPr>
            <w:tcW w:w="160" w:type="dxa"/>
            <w:vAlign w:val="bottom"/>
            <w:vMerge w:val="continue"/>
            <w:shd w:val="clear" w:color="auto" w:fill="CCEEFF"/>
          </w:tcPr>
          <w:p>
            <w:pPr>
              <w:spacing w:after="0"/>
              <w:rPr>
                <w:sz w:val="16"/>
                <w:szCs w:val="16"/>
                <w:color w:val="auto"/>
              </w:rPr>
            </w:pPr>
          </w:p>
        </w:tc>
        <w:tc>
          <w:tcPr>
            <w:tcW w:w="1600" w:type="dxa"/>
            <w:vAlign w:val="bottom"/>
            <w:gridSpan w:val="2"/>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15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integration and other encumbered theater payments due from founding members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89"/>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(Decrease) increase in dividend equivalent accrual not requiring cash in the period</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89"/>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paid for interest</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0" w:type="dxa"/>
            <w:vAlign w:val="bottom"/>
          </w:tcPr>
          <w:p>
            <w:pPr>
              <w:spacing w:after="0"/>
              <w:rPr>
                <w:sz w:val="1"/>
                <w:szCs w:val="1"/>
                <w:color w:val="auto"/>
              </w:rPr>
            </w:pPr>
          </w:p>
        </w:tc>
      </w:tr>
      <w:tr>
        <w:trPr>
          <w:trHeight w:val="188"/>
        </w:trPr>
        <w:tc>
          <w:tcPr>
            <w:tcW w:w="7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paid for income taxes, net of refunds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4" w:right="47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NATIONAL CINEMEDIA, INC. AND SUBSIDIARY</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EQUITY/(DEFICIT)</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millions, except share and per share data)</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7"/>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NCM, Inc.</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gridSpan w:val="5"/>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Paid in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(Distribution in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80" w:type="dxa"/>
            <w:vAlign w:val="bottom"/>
            <w:tcBorders>
              <w:bottom w:val="single" w:sz="8" w:color="auto"/>
            </w:tcBorders>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tcPr>
          <w:p>
            <w:pPr>
              <w:jc w:val="center"/>
              <w:ind w:right="120"/>
              <w:spacing w:after="0" w:line="103" w:lineRule="exact"/>
              <w:rPr>
                <w:sz w:val="20"/>
                <w:szCs w:val="20"/>
                <w:color w:val="auto"/>
              </w:rPr>
            </w:pPr>
            <w:r>
              <w:rPr>
                <w:rFonts w:ascii="Times New Roman" w:cs="Times New Roman" w:eastAsia="Times New Roman" w:hAnsi="Times New Roman"/>
                <w:sz w:val="11"/>
                <w:szCs w:val="11"/>
                <w:b w:val="1"/>
                <w:bCs w:val="1"/>
                <w:color w:val="auto"/>
              </w:rPr>
              <w:t>Capital</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tcPr>
          <w:p>
            <w:pPr>
              <w:jc w:val="center"/>
              <w:ind w:right="100"/>
              <w:spacing w:after="0" w:line="103" w:lineRule="exact"/>
              <w:rPr>
                <w:sz w:val="20"/>
                <w:szCs w:val="20"/>
                <w:color w:val="auto"/>
              </w:rPr>
            </w:pPr>
            <w:r>
              <w:rPr>
                <w:rFonts w:ascii="Times New Roman" w:cs="Times New Roman" w:eastAsia="Times New Roman" w:hAnsi="Times New Roman"/>
                <w:sz w:val="11"/>
                <w:szCs w:val="11"/>
                <w:b w:val="1"/>
                <w:bCs w:val="1"/>
                <w:color w:val="auto"/>
              </w:rPr>
              <w:t>Excess of</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tcPr>
          <w:p>
            <w:pPr>
              <w:jc w:val="right"/>
              <w:ind w:right="180"/>
              <w:spacing w:after="0" w:line="103" w:lineRule="exact"/>
              <w:rPr>
                <w:sz w:val="20"/>
                <w:szCs w:val="20"/>
                <w:color w:val="auto"/>
              </w:rPr>
            </w:pPr>
            <w:r>
              <w:rPr>
                <w:rFonts w:ascii="Times New Roman" w:cs="Times New Roman" w:eastAsia="Times New Roman" w:hAnsi="Times New Roman"/>
                <w:sz w:val="11"/>
                <w:szCs w:val="11"/>
                <w:b w:val="1"/>
                <w:bCs w:val="1"/>
                <w:color w:val="auto"/>
              </w:rPr>
              <w:t>Noncontrolling</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82"/>
        </w:trPr>
        <w:tc>
          <w:tcPr>
            <w:tcW w:w="4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Balance—June 27,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w:t>
            </w: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77,349,628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(211.9)</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(172.6)</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273.2</w:t>
            </w:r>
          </w:p>
        </w:tc>
        <w:tc>
          <w:tcPr>
            <w:tcW w:w="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Distributions to founding members</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and other impacts of NCM LLC ownership changes</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89"/>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Comprehensive income, net of tax</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issued</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expensed/capitalized</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declared $0.17 per share</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Balance—September 26, 2019</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(122.3)</w:t>
            </w:r>
          </w:p>
        </w:tc>
        <w:tc>
          <w:tcPr>
            <w:tcW w:w="10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77,362,387</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(210.8)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(176.9)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264.6</w:t>
            </w:r>
          </w:p>
        </w:tc>
        <w:tc>
          <w:tcPr>
            <w:tcW w:w="4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Balance—June 25, 2020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78,000,338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20" w:type="dxa"/>
            <w:vAlign w:val="bottom"/>
          </w:tcPr>
          <w:p>
            <w:pPr>
              <w:spacing w:after="0"/>
              <w:rPr>
                <w:sz w:val="16"/>
                <w:szCs w:val="16"/>
                <w:color w:val="auto"/>
              </w:rPr>
            </w:pPr>
          </w:p>
        </w:tc>
        <w:tc>
          <w:tcPr>
            <w:tcW w:w="220" w:type="dxa"/>
            <w:vAlign w:val="bottom"/>
            <w:gridSpan w:val="3"/>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(209.1)</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(207.4)</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 net of tax</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r>
        <w:trPr>
          <w:trHeight w:val="189"/>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Share-based compensation issued</w:t>
            </w:r>
          </w:p>
        </w:tc>
        <w:tc>
          <w:tcPr>
            <w:tcW w:w="1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37,273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expensed/capitalized</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dividends declared $0.07 per share</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42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Balance—September 24, 2020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78,037,611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(208.4)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(225.6)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222.8</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NCM, Inc.</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gridSpan w:val="5"/>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(Distribution in</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2"/>
            <w:vMerge w:val="restart"/>
          </w:tcPr>
          <w:p>
            <w:pPr>
              <w:jc w:val="center"/>
              <w:ind w:right="180"/>
              <w:spacing w:after="0" w:line="12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gridSpan w:val="2"/>
            <w:vMerge w:val="restart"/>
          </w:tcPr>
          <w:p>
            <w:pPr>
              <w:jc w:val="center"/>
              <w:ind w:right="160"/>
              <w:spacing w:after="0" w:line="122" w:lineRule="exact"/>
              <w:rPr>
                <w:sz w:val="20"/>
                <w:szCs w:val="20"/>
                <w:color w:val="auto"/>
              </w:rPr>
            </w:pPr>
            <w:r>
              <w:rPr>
                <w:rFonts w:ascii="Times New Roman" w:cs="Times New Roman" w:eastAsia="Times New Roman" w:hAnsi="Times New Roman"/>
                <w:sz w:val="14"/>
                <w:szCs w:val="14"/>
                <w:b w:val="1"/>
                <w:bCs w:val="1"/>
                <w:color w:val="auto"/>
              </w:rPr>
              <w:t>Excess of</w:t>
            </w: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restart"/>
          </w:tcPr>
          <w:p>
            <w:pPr>
              <w:jc w:val="right"/>
              <w:ind w:right="20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4"/>
                <w:szCs w:val="4"/>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Balance—December 27,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w:t>
            </w: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76,976,398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(215.2)</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founding members</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NCM LLC equity issued for purchase of intangible asset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and other impacts of NCM LLC ownership changes</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net of tax</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issued</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385,989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expensed/capitalized</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dividends declared $0.51 per share</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7"/>
                <w:szCs w:val="17"/>
                <w:color w:val="auto"/>
              </w:rPr>
            </w:pPr>
          </w:p>
        </w:tc>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Balance—September 26, 2019</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77,362,387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(210.8)</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gridSpan w:val="2"/>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gridSpan w:val="2"/>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gridSpan w:val="2"/>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Balance—December 26, 2019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77,568,986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2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(209.2)</w:t>
            </w:r>
          </w:p>
        </w:tc>
        <w:tc>
          <w:tcPr>
            <w:tcW w:w="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w:t>
            </w:r>
          </w:p>
        </w:tc>
        <w:tc>
          <w:tcPr>
            <w:tcW w:w="4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Cumulative-effect adjustment for adoption of ASU 2016-13, net of tax</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to founding members</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NCM LLC equity issued for purchase of intangible asset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and other impacts of NCM LLC ownership changes</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loss, net of tax</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issued</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468,625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expensed/capitalized</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declared $0.33 per share</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Balance—September 24, 2020</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(210.4)</w:t>
            </w:r>
          </w:p>
        </w:tc>
        <w:tc>
          <w:tcPr>
            <w:tcW w:w="10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78,037,611</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24" w:right="359" w:bottom="1440" w:gutter="0" w:footer="0" w:header="0"/>
        </w:sectPr>
      </w:pPr>
    </w:p>
    <w:bookmarkStart w:id="8" w:name="page9"/>
    <w:bookmarkEnd w:id="8"/>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75" w:lineRule="exact"/>
        <w:rPr>
          <w:sz w:val="20"/>
          <w:szCs w:val="20"/>
          <w:color w:val="auto"/>
        </w:rPr>
      </w:pPr>
    </w:p>
    <w:p>
      <w:pPr>
        <w:ind w:right="40" w:firstLine="526"/>
        <w:spacing w:after="0" w:line="241" w:lineRule="auto"/>
        <w:rPr>
          <w:sz w:val="20"/>
          <w:szCs w:val="20"/>
          <w:color w:val="auto"/>
        </w:rPr>
      </w:pPr>
      <w:r>
        <w:rPr>
          <w:rFonts w:ascii="Times New Roman" w:cs="Times New Roman" w:eastAsia="Times New Roman" w:hAnsi="Times New Roman"/>
          <w:sz w:val="18"/>
          <w:szCs w:val="18"/>
          <w:color w:val="auto"/>
        </w:rPr>
        <w:t>National CineMedia, Inc. (“NCM, Inc.”) was incorporated in Delaware as a holding company with the sole purpose of becoming a member and sole manager of National CineMedia, LLC (“NCM LLC”), a limited liability company. NCM LLC is currently owned by NCM, Inc., Regal Cinemas, Inc. and Regal CineMedia Corporation, wholly owned subsidiaries of Cineworld Group plc and Regal Entertainment Group (“Regal”), Cinemark Media, Inc. and Cinemark USA, Inc., wholly owned subsidiaries of Cinemark Holdings, Inc. (“Cinemark”) and American Multi-Cinema, Inc., a wholly owned subsidiary of AMC Entertainment, Inc. (“AMC”). The terms “NCM”, “the Company” or “we” shall, unless the context otherwise requires, be deemed to include the consolidated entity. AMC, Regal, Cinemark and their affiliates are referred to in this document as “founding members”.</w:t>
      </w:r>
    </w:p>
    <w:p>
      <w:pPr>
        <w:spacing w:after="0" w:line="130" w:lineRule="exact"/>
        <w:rPr>
          <w:sz w:val="20"/>
          <w:szCs w:val="20"/>
          <w:color w:val="auto"/>
        </w:rPr>
      </w:pPr>
    </w:p>
    <w:p>
      <w:pPr>
        <w:ind w:firstLine="526"/>
        <w:spacing w:after="0" w:line="238" w:lineRule="auto"/>
        <w:rPr>
          <w:sz w:val="20"/>
          <w:szCs w:val="20"/>
          <w:color w:val="auto"/>
        </w:rPr>
      </w:pPr>
      <w:r>
        <w:rPr>
          <w:rFonts w:ascii="Times New Roman" w:cs="Times New Roman" w:eastAsia="Times New Roman" w:hAnsi="Times New Roman"/>
          <w:sz w:val="18"/>
          <w:szCs w:val="18"/>
          <w:color w:val="auto"/>
        </w:rPr>
        <w:t>The Company operates the largest cinema advertising network reaching movie audiences in the U.S., allowing NCM LLC to sell advertising under long-term exhibitor services agreements (“ESAs”) with the founding members and certain third-party theater circuits, referred to in this document as “network affiliates” under long-term network affiliate agreements. Beginning in mid-March 2020, each of the Company’s founding members and all of its network affiliates announced that their theaters would be temporarily closed to address the COVID-19 Pandemic and almost all of the theaters within the Company’s network remained closed until late August 2020. The Company generated no in-theater advertising revenue for the period that the theaters were closed. On September 4, 2020, the Company resumed advertising within the theaters that were open in its network, however, in-theater advertising revenue continues to be adversely impacted as attendance remains restricted by government mandated patron capacity limitations and a continued lack of new major motion picture releases. As of September 24, 2020, approximately two-thirds of the theaters within the Company’s network had reopened. In October 2020, Regal announced the re-closure of its theaters in the United States and as October 30, 2020, approximately 53% of theaters within our network are open. These developments will be referred to as the “COVID-19 Pandemic.”</w:t>
      </w:r>
    </w:p>
    <w:p>
      <w:pPr>
        <w:spacing w:after="0" w:line="80" w:lineRule="exact"/>
        <w:rPr>
          <w:sz w:val="20"/>
          <w:szCs w:val="20"/>
          <w:color w:val="auto"/>
        </w:rPr>
      </w:pPr>
    </w:p>
    <w:p>
      <w:pPr>
        <w:ind w:right="40" w:firstLine="526"/>
        <w:spacing w:after="0" w:line="242" w:lineRule="auto"/>
        <w:rPr>
          <w:sz w:val="20"/>
          <w:szCs w:val="20"/>
          <w:color w:val="auto"/>
        </w:rPr>
      </w:pPr>
      <w:r>
        <w:rPr>
          <w:rFonts w:ascii="Times New Roman" w:cs="Times New Roman" w:eastAsia="Times New Roman" w:hAnsi="Times New Roman"/>
          <w:sz w:val="18"/>
          <w:szCs w:val="18"/>
          <w:color w:val="auto"/>
        </w:rPr>
        <w:t>On September 17, 2019, NCM LLC entered into amendments to the ESAs with Cinemark and Regal (collectively, the “2019 ESA Amendments”). The 2019 ESA Amendments extended the contract life of the ESAs with Cinemark and Regal by four years resulting in a weighted average remaining term of the ESAs with the founding members (based on attendance) of approximately 19.0 years as of September 24, 2020. The network affiliate agreements expire at various dates between January 2021 and July 2031. The weighted average remaining term (based on 2019 attendance) of the ESAs and the network affiliate agreements together is 16.5 years as of September 24, 2020.</w:t>
      </w:r>
    </w:p>
    <w:p>
      <w:pPr>
        <w:spacing w:after="0" w:line="131" w:lineRule="exact"/>
        <w:rPr>
          <w:sz w:val="20"/>
          <w:szCs w:val="20"/>
          <w:color w:val="auto"/>
        </w:rPr>
      </w:pPr>
    </w:p>
    <w:p>
      <w:pPr>
        <w:ind w:right="320" w:firstLine="526"/>
        <w:spacing w:after="0" w:line="250" w:lineRule="auto"/>
        <w:rPr>
          <w:sz w:val="20"/>
          <w:szCs w:val="20"/>
          <w:color w:val="auto"/>
        </w:rPr>
      </w:pPr>
      <w:r>
        <w:rPr>
          <w:rFonts w:ascii="Times New Roman" w:cs="Times New Roman" w:eastAsia="Times New Roman" w:hAnsi="Times New Roman"/>
          <w:sz w:val="18"/>
          <w:szCs w:val="18"/>
          <w:color w:val="auto"/>
        </w:rPr>
        <w:t>As of September 24, 2020, NCM LLC had 162,568,939 common membership units outstanding, of which 78,037,611 (48.0%) were owned by NCM, Inc., 42,290,694 (26.0%) were owned by Regal, 40,850,068 (25.1%) were owned by Cinemark and 1,390,566 (0.9%) were owned by AMC. The membership units held by the founding members are exchangeable into NCM, Inc. common stock on a one-for-one basis.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62" w:lineRule="exact"/>
        <w:rPr>
          <w:sz w:val="20"/>
          <w:szCs w:val="20"/>
          <w:color w:val="auto"/>
        </w:rPr>
      </w:pPr>
    </w:p>
    <w:p>
      <w:pPr>
        <w:ind w:right="40" w:firstLine="526"/>
        <w:spacing w:after="0" w:line="241" w:lineRule="auto"/>
        <w:rPr>
          <w:sz w:val="20"/>
          <w:szCs w:val="20"/>
          <w:color w:val="auto"/>
        </w:rPr>
      </w:pPr>
      <w:r>
        <w:rPr>
          <w:rFonts w:ascii="Times New Roman" w:cs="Times New Roman" w:eastAsia="Times New Roman" w:hAnsi="Times New Roman"/>
          <w:sz w:val="18"/>
          <w:szCs w:val="18"/>
          <w:color w:val="auto"/>
        </w:rPr>
        <w:t>The Company has prepared the unaudited Condensed Consolidated Financial Statements and related notes of NCM, Inc. in accordance with accounting principles generally accepted in the United States of America (“GAAP”) for interim financial information and the rules and regulations of the Securities and Exchange Commission (“SEC”). Certain information and footnote disclosures typically included in an annual report have been condensed or omitted for this quarterly report. The balance sheet as of December 26, 2019 is derived from the audited financial statements of NCM, Inc. Therefore, the unaudited Condensed Consolidated Financial Statements should be read in conjunction with the audited Consolidated Financial Statements and notes thereto included in the Company’s annual report on Form 10-K filed for the fiscal year ended December 26, 2019.</w:t>
      </w:r>
    </w:p>
    <w:p>
      <w:pPr>
        <w:spacing w:after="0" w:line="130" w:lineRule="exact"/>
        <w:rPr>
          <w:sz w:val="20"/>
          <w:szCs w:val="20"/>
          <w:color w:val="auto"/>
        </w:rPr>
      </w:pPr>
    </w:p>
    <w:p>
      <w:pPr>
        <w:ind w:right="80" w:firstLine="526"/>
        <w:spacing w:after="0" w:line="255" w:lineRule="auto"/>
        <w:rPr>
          <w:sz w:val="20"/>
          <w:szCs w:val="20"/>
          <w:color w:val="auto"/>
        </w:rPr>
      </w:pPr>
      <w:r>
        <w:rPr>
          <w:rFonts w:ascii="Times New Roman" w:cs="Times New Roman" w:eastAsia="Times New Roman" w:hAnsi="Times New Roman"/>
          <w:sz w:val="18"/>
          <w:szCs w:val="18"/>
          <w:color w:val="auto"/>
        </w:rPr>
        <w:t>In the opinion of management, all adjustments necessary to present fairly in all material respects the financial position, results of operations and cash flows for all periods presented have been made. Historically, the Company’s business has been seasonal and for this and other reasons operating results for interim periods have not been indicative of the Company’s full year results or future performance. Given the temporary closure of the theaters within the Company's network in 2020, management expects the Company's 2020 quarterly results to vary from historical trends. As a result of the various related party agreements discussed in Note 5—</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the operating results as presented are not necessarily indicative of the results that might have occurred if all agreements were with non-related third parties. The Company manages its business under one reportable segment of advertising.</w:t>
      </w:r>
    </w:p>
    <w:p>
      <w:pPr>
        <w:spacing w:after="0" w:line="131" w:lineRule="exact"/>
        <w:rPr>
          <w:sz w:val="20"/>
          <w:szCs w:val="20"/>
          <w:color w:val="auto"/>
        </w:rPr>
      </w:pPr>
    </w:p>
    <w:p>
      <w:pPr>
        <w:ind w:right="320" w:firstLine="52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Estimates</w:t>
      </w:r>
      <w:r>
        <w:rPr>
          <w:rFonts w:ascii="Times New Roman" w:cs="Times New Roman" w:eastAsia="Times New Roman" w:hAnsi="Times New Roman"/>
          <w:sz w:val="18"/>
          <w:szCs w:val="18"/>
          <w:color w:val="auto"/>
        </w:rPr>
        <w:t>—The preparation of the financial statements in conformity with GAAP requires management to make estimates and assumptions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affect the reported amounts of assets and liabilities and disclosure of contingent assets and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ind w:left="360" w:right="264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liabilities at the date of the financial statements and the reported amounts of revenues and expenses during the reporting period. Significant estimates include those related to the reserve for uncollectible accounts receivable, share-based compensation and income taxes. Actual results could differ from those estimates.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62" w:lineRule="exact"/>
        <w:rPr>
          <w:sz w:val="20"/>
          <w:szCs w:val="20"/>
          <w:color w:val="auto"/>
        </w:rPr>
      </w:pPr>
    </w:p>
    <w:p>
      <w:pPr>
        <w:ind w:right="60" w:firstLine="526"/>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are prepared in accordance with GAAP applicable to a going concern, which contemplates the realization of assets and the satisfaction of liabilities in the normal course of business.</w:t>
      </w:r>
    </w:p>
    <w:p>
      <w:pPr>
        <w:spacing w:after="0" w:line="95" w:lineRule="exact"/>
        <w:rPr>
          <w:sz w:val="20"/>
          <w:szCs w:val="20"/>
          <w:color w:val="auto"/>
        </w:rPr>
      </w:pPr>
    </w:p>
    <w:p>
      <w:pPr>
        <w:ind w:firstLine="526"/>
        <w:spacing w:after="0" w:line="236" w:lineRule="auto"/>
        <w:rPr>
          <w:sz w:val="20"/>
          <w:szCs w:val="20"/>
          <w:color w:val="auto"/>
        </w:rPr>
      </w:pPr>
      <w:r>
        <w:rPr>
          <w:rFonts w:ascii="Times New Roman" w:cs="Times New Roman" w:eastAsia="Times New Roman" w:hAnsi="Times New Roman"/>
          <w:sz w:val="17"/>
          <w:szCs w:val="17"/>
          <w:color w:val="auto"/>
        </w:rPr>
        <w:t>Based on the Company’s current financial position and liquidity sources, including current cash balances, and forecasted future cash flows, management believes the Company can meet its obligations as they become due, including all interest and debt service payments within one year following the date that these financial statements are issued. Refer to Note 6—</w:t>
      </w:r>
      <w:r>
        <w:rPr>
          <w:rFonts w:ascii="Times New Roman" w:cs="Times New Roman" w:eastAsia="Times New Roman" w:hAnsi="Times New Roman"/>
          <w:sz w:val="17"/>
          <w:szCs w:val="17"/>
          <w:i w:val="1"/>
          <w:iCs w:val="1"/>
          <w:color w:val="auto"/>
        </w:rPr>
        <w:t>Borrowings</w:t>
      </w:r>
      <w:r>
        <w:rPr>
          <w:rFonts w:ascii="Times New Roman" w:cs="Times New Roman" w:eastAsia="Times New Roman" w:hAnsi="Times New Roman"/>
          <w:sz w:val="17"/>
          <w:szCs w:val="17"/>
          <w:color w:val="auto"/>
        </w:rPr>
        <w:t xml:space="preserve"> for information on the Company’s debt obligations, including a current waiver of certain financial covenants. However, the Company does not expect to meet certain of its financial covenants within one year following the date that these financial statements are issued. If any of these financial covenants are not met, a majority of the lenders of the Senior Secured Credit Facility are permitted under the agreement to accelerate the debt which could also result in a cross-default under NCM LLC’s senior notes. Considering current liquidity sources, the Company would not be able to repay the Company’s total outstanding debt balance. These conditions and events raise substantial doubt about the Company’s ability to continue as a going concern. In light of this, the Company is actively pursuing with its administrative agent and expects to obtain an amendment to its Senior Secured Credit Facility to extend a waiver of its financial covenants through at least one year following the date that these financial statements are issued. Management expects the amendment to be approved during the next several months, however there can be no assurance that the Company will be successful in obtaining the amendment. As long as an amendment has not been obtained, management’s plan cannot be considered probable and thus does not alleviate the substantial doubt about the Company’s ability to continue as a going concern.</w:t>
      </w:r>
    </w:p>
    <w:p>
      <w:pPr>
        <w:spacing w:after="0" w:line="137" w:lineRule="exact"/>
        <w:rPr>
          <w:sz w:val="20"/>
          <w:szCs w:val="20"/>
          <w:color w:val="auto"/>
        </w:rPr>
      </w:pPr>
    </w:p>
    <w:p>
      <w:pPr>
        <w:ind w:right="380" w:firstLine="526"/>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do not include any adjustments relating to the recoverability and classification of recorded asset amounts or the amounts and classification of liabilities that might result from the outcome of this uncertainty.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75" w:lineRule="exact"/>
        <w:rPr>
          <w:sz w:val="20"/>
          <w:szCs w:val="20"/>
          <w:color w:val="auto"/>
        </w:rPr>
      </w:pPr>
    </w:p>
    <w:p>
      <w:pPr>
        <w:ind w:right="580" w:firstLine="526"/>
        <w:spacing w:after="0" w:line="312" w:lineRule="auto"/>
        <w:rPr>
          <w:sz w:val="20"/>
          <w:szCs w:val="20"/>
          <w:color w:val="auto"/>
        </w:rPr>
      </w:pPr>
      <w:r>
        <w:rPr>
          <w:rFonts w:ascii="Times New Roman" w:cs="Times New Roman" w:eastAsia="Times New Roman" w:hAnsi="Times New Roman"/>
          <w:sz w:val="17"/>
          <w:szCs w:val="17"/>
          <w:color w:val="auto"/>
        </w:rPr>
        <w:t>The Company’s annual financial statements included in its Form 10-K filed for the fiscal year ended December 26, 2019 contain a complete discussion of the Company’s significant accounting policies. Following is additional information related to the Company’s accounting policies.</w:t>
      </w:r>
    </w:p>
    <w:p>
      <w:pPr>
        <w:spacing w:after="0" w:line="82" w:lineRule="exact"/>
        <w:rPr>
          <w:sz w:val="20"/>
          <w:szCs w:val="20"/>
          <w:color w:val="auto"/>
        </w:rPr>
      </w:pPr>
    </w:p>
    <w:p>
      <w:pPr>
        <w:ind w:right="300" w:firstLine="52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Revenue Recognition</w:t>
      </w:r>
      <w:r>
        <w:rPr>
          <w:rFonts w:ascii="Times New Roman" w:cs="Times New Roman" w:eastAsia="Times New Roman" w:hAnsi="Times New Roman"/>
          <w:sz w:val="18"/>
          <w:szCs w:val="18"/>
          <w:color w:val="auto"/>
        </w:rPr>
        <w:t>—The Company derives revenue principally from the advertising business, which includes on-screen and lobby network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(LEN) advertising and lobby promotions and advertising on websites and mobile applications owned by NCM LLC and other companies. Revenue is recognized over time as the customer receives the benefits provided by NCM LLC’s advertising services and the Company has the right to payment for performance to date. The Company considers the terms of each arrangement to determine the appropriate accounting treatment.</w:t>
      </w:r>
    </w:p>
    <w:p>
      <w:pPr>
        <w:spacing w:after="0" w:line="122" w:lineRule="exact"/>
        <w:rPr>
          <w:sz w:val="20"/>
          <w:szCs w:val="20"/>
          <w:color w:val="auto"/>
        </w:rPr>
      </w:pPr>
    </w:p>
    <w:p>
      <w:pPr>
        <w:ind w:right="100" w:firstLine="52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Significant Customers</w:t>
      </w:r>
      <w:r>
        <w:rPr>
          <w:rFonts w:ascii="Times New Roman" w:cs="Times New Roman" w:eastAsia="Times New Roman" w:hAnsi="Times New Roman"/>
          <w:sz w:val="18"/>
          <w:szCs w:val="18"/>
          <w:color w:val="auto"/>
        </w:rPr>
        <w:t>—The risk of credit loss related to the Company's trade receivables and unbilled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receivables balances is accounted for through the allowance for doubtful accounts, a contra asset account which reduces the net receivables balance. The allowance for doubtful accounts balance is determined by pooling the Company's receivables with similar risk characteristics, specifically by type of customer (national or local/ regional) and then age of receivable, and applying historical write off percentages to these pools in order to determine the amount of expected credit losses as of the balance sheet date. National receivables are with large advertising agencies with strong reputations in the advertising industry and clients with stable financial positions and good credit ratings, represent larger receivables balances per customer and have significantly lower historical and expected credit loss patterns. Local and regional receivables are with smaller companies sometimes with less credit history and represent smaller receivable balances per customer and higher historical and expected credit loss patterns. The Company has smaller contracts with thousands of local clients that are not individually significant. The Company also considers current economic conditions and trends to determine whether adjustments to historical loss rates are necessary. The Company increased the expected rate of default related to local and regional customers within the calculation of the allowance for doubtful accounts as of September 24, 2020, as compared to September 26, 2019, given the expected adverse impact of the COVID-19 Pandemic on certain businesses, in particular, categories of small businesses (i.e. restaurants, travel, etc.) which the Company expects could lead to an increased rate of default. The Company also reserves for specific receivable balances that it expects to write off based on known concerns regarding the financial health of the customer. Receivables are written off when management determines amounts are uncollectible.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0" w:name="page11"/>
    <w:bookmarkEnd w:id="10"/>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firstLine="526"/>
        <w:spacing w:after="0" w:line="258" w:lineRule="auto"/>
        <w:rPr>
          <w:sz w:val="20"/>
          <w:szCs w:val="20"/>
          <w:color w:val="auto"/>
        </w:rPr>
      </w:pPr>
      <w:r>
        <w:rPr>
          <w:rFonts w:ascii="Times New Roman" w:cs="Times New Roman" w:eastAsia="Times New Roman" w:hAnsi="Times New Roman"/>
          <w:sz w:val="18"/>
          <w:szCs w:val="18"/>
          <w:color w:val="auto"/>
        </w:rPr>
        <w:t>As of September 24, 2020 the Company had one agency through which the Company sources advertising revenue that accounted for 12.7% of the Company's gross outstanding receivable balance. As of December 26, 2019, there were no advertising agency groups or individual customers through which the Company sourced advertising revenue representing more than 10% of the Company’s outstanding gross receivable balance. During the three and nine months ended September 24, 2020, the Company had one customer that accounted for 28.8% and 10.6%, respectively, of the Company's revenue. During the three and nine months ended September 26, 2019, the Company had no customers that accounted for more than 10% of revenue.</w:t>
      </w:r>
    </w:p>
    <w:p>
      <w:pPr>
        <w:spacing w:after="0" w:line="125" w:lineRule="exact"/>
        <w:rPr>
          <w:sz w:val="20"/>
          <w:szCs w:val="20"/>
          <w:color w:val="auto"/>
        </w:rPr>
      </w:pPr>
    </w:p>
    <w:p>
      <w:pPr>
        <w:ind w:right="180" w:firstLine="52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Long-lived Assets</w:t>
      </w:r>
      <w:r>
        <w:rPr>
          <w:rFonts w:ascii="Times New Roman" w:cs="Times New Roman" w:eastAsia="Times New Roman" w:hAnsi="Times New Roman"/>
          <w:sz w:val="18"/>
          <w:szCs w:val="18"/>
          <w:color w:val="auto"/>
        </w:rPr>
        <w:t>—The Company assesses impairment of long-lived assets pursuant to ASC 360 –</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This includes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determining whether certain triggering events have occurred that could affect the value of an asset. The Company recorded losses of $0.0 million, $0.0 million, $1.7 million and $0.0 million related primarily to the write-off of certain internally developed software during the three months ended September 24, 2020 and September 26, 2019 and the nine months ended September 24, 2020 and September 26, 2019, respectively.</w:t>
      </w:r>
    </w:p>
    <w:p>
      <w:pPr>
        <w:spacing w:after="0" w:line="122" w:lineRule="exact"/>
        <w:rPr>
          <w:sz w:val="20"/>
          <w:szCs w:val="20"/>
          <w:color w:val="auto"/>
        </w:rPr>
      </w:pPr>
    </w:p>
    <w:p>
      <w:pPr>
        <w:ind w:right="100" w:firstLine="52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Share-Based Compensation</w:t>
      </w:r>
      <w:r>
        <w:rPr>
          <w:rFonts w:ascii="Times New Roman" w:cs="Times New Roman" w:eastAsia="Times New Roman" w:hAnsi="Times New Roman"/>
          <w:sz w:val="18"/>
          <w:szCs w:val="18"/>
          <w:color w:val="auto"/>
        </w:rPr>
        <w:t>—The Company has issued stock options, restricted stock, and restricted stock units to certain employees and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independent directors. The restricted stock and restricted stock unit grants for Company management vest upon the achievement of Company performance measures and/or service conditions, while non-management grants vest only upon the achievement of service conditions. Compensation expense of restricted stock and restricted stock units that vest upon the achievement of Company performance measures is based on management’s financial projections and the probability of achieving the projections, which require considerable judgment. A cumulative adjustment is recorded to share-based compensation expense in periods that management changes its estimate of the number of shares of restricted stock and restricted stock units expected to vest. Ultimately, the Company adjusts the expense recognized to reflect the actual vested shares following the resolution of the performance conditions. Dividends are accrued when declared on unvested restricted stock and restricted stock units that are expected to vest and are only paid with respect to shares that actually vest. During the three months ended September 24, 2020 and September 26, 2019 and the nine months ended September 24, 2020 and September 26, 2019, 50,052, 18,889, 607,733 and 568,584 shares of restricted stock and restricted stock units vested, respectively.</w:t>
      </w:r>
    </w:p>
    <w:p>
      <w:pPr>
        <w:spacing w:after="0" w:line="131" w:lineRule="exact"/>
        <w:rPr>
          <w:sz w:val="20"/>
          <w:szCs w:val="20"/>
          <w:color w:val="auto"/>
        </w:rPr>
      </w:pPr>
    </w:p>
    <w:p>
      <w:pPr>
        <w:ind w:right="180" w:firstLine="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Consolidation</w:t>
      </w:r>
      <w:r>
        <w:rPr>
          <w:rFonts w:ascii="Times New Roman" w:cs="Times New Roman" w:eastAsia="Times New Roman" w:hAnsi="Times New Roman"/>
          <w:sz w:val="18"/>
          <w:szCs w:val="18"/>
          <w:color w:val="auto"/>
        </w:rPr>
        <w:t>—NCM, Inc. consolidates the accounts of NCM LLC under the provisions of ASC 810,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following table presents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changes in NCM, Inc.’s equity resulting from net income attributable to NCM, Inc. and transfers to or from noncontrolling interests (in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540" w:type="dxa"/>
            <w:vAlign w:val="bottom"/>
          </w:tcPr>
          <w:p>
            <w:pPr>
              <w:spacing w:after="0"/>
              <w:rPr>
                <w:sz w:val="16"/>
                <w:szCs w:val="16"/>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24, 2020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26, 2019</w:t>
            </w:r>
          </w:p>
        </w:tc>
        <w:tc>
          <w:tcPr>
            <w:tcW w:w="100" w:type="dxa"/>
            <w:vAlign w:val="bottom"/>
          </w:tcPr>
          <w:p>
            <w:pPr>
              <w:spacing w:after="0"/>
              <w:rPr>
                <w:sz w:val="16"/>
                <w:szCs w:val="16"/>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24, 2020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26, 2019</w:t>
            </w:r>
          </w:p>
        </w:tc>
        <w:tc>
          <w:tcPr>
            <w:tcW w:w="0" w:type="dxa"/>
            <w:vAlign w:val="bottom"/>
          </w:tcPr>
          <w:p>
            <w:pPr>
              <w:spacing w:after="0"/>
              <w:rPr>
                <w:sz w:val="1"/>
                <w:szCs w:val="1"/>
                <w:color w:val="auto"/>
              </w:rPr>
            </w:pP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NCM, Inc.</w:t>
            </w:r>
          </w:p>
        </w:tc>
        <w:tc>
          <w:tcPr>
            <w:tcW w:w="42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NCM LLC equity issued for purchase of intangible asset</w:t>
            </w:r>
          </w:p>
        </w:tc>
        <w:tc>
          <w:tcPr>
            <w:tcW w:w="4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and other impacts of subsidiary ownership changes</w:t>
            </w: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55"/>
        </w:trPr>
        <w:tc>
          <w:tcPr>
            <w:tcW w:w="55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Change from net (loss) income attributable to NCM, Inc. and transfers from</w:t>
            </w:r>
          </w:p>
        </w:tc>
        <w:tc>
          <w:tcPr>
            <w:tcW w:w="420" w:type="dxa"/>
            <w:vAlign w:val="bottom"/>
            <w:tcBorders>
              <w:top w:val="single" w:sz="8" w:color="auto"/>
            </w:tcBorders>
            <w:vMerge w:val="restart"/>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13"/>
                <w:szCs w:val="13"/>
                <w:color w:val="auto"/>
              </w:rPr>
            </w:pPr>
          </w:p>
        </w:tc>
        <w:tc>
          <w:tcPr>
            <w:tcW w:w="840" w:type="dxa"/>
            <w:vAlign w:val="bottom"/>
            <w:tcBorders>
              <w:top w:val="single" w:sz="8" w:color="auto"/>
            </w:tcBorders>
            <w:vMerge w:val="restart"/>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3"/>
                <w:szCs w:val="13"/>
                <w:color w:val="auto"/>
              </w:rPr>
            </w:pPr>
          </w:p>
        </w:tc>
        <w:tc>
          <w:tcPr>
            <w:tcW w:w="460" w:type="dxa"/>
            <w:vAlign w:val="bottom"/>
            <w:tcBorders>
              <w:top w:val="single" w:sz="8" w:color="auto"/>
            </w:tcBorders>
            <w:vMerge w:val="restart"/>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13"/>
                <w:szCs w:val="13"/>
                <w:color w:val="auto"/>
              </w:rPr>
            </w:pPr>
          </w:p>
        </w:tc>
        <w:tc>
          <w:tcPr>
            <w:tcW w:w="780" w:type="dxa"/>
            <w:vAlign w:val="bottom"/>
            <w:tcBorders>
              <w:top w:val="single" w:sz="8" w:color="auto"/>
            </w:tcBorders>
            <w:vMerge w:val="restart"/>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08"/>
        </w:trPr>
        <w:tc>
          <w:tcPr>
            <w:tcW w:w="55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noncontrolling interests</w:t>
            </w:r>
          </w:p>
        </w:tc>
        <w:tc>
          <w:tcPr>
            <w:tcW w:w="42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3" w:lineRule="exact"/>
        <w:rPr>
          <w:sz w:val="20"/>
          <w:szCs w:val="20"/>
          <w:color w:val="auto"/>
        </w:rPr>
      </w:pPr>
    </w:p>
    <w:p>
      <w:pPr>
        <w:ind w:right="60" w:firstLine="526"/>
        <w:spacing w:after="0" w:line="253" w:lineRule="auto"/>
        <w:rPr>
          <w:sz w:val="20"/>
          <w:szCs w:val="20"/>
          <w:color w:val="auto"/>
        </w:rPr>
      </w:pPr>
      <w:r>
        <w:rPr>
          <w:rFonts w:ascii="Times New Roman" w:cs="Times New Roman" w:eastAsia="Times New Roman" w:hAnsi="Times New Roman"/>
          <w:sz w:val="18"/>
          <w:szCs w:val="18"/>
          <w:color w:val="auto"/>
        </w:rPr>
        <w:t xml:space="preserve">During the first quarter of 2020, the Company adopted Accounting Standards Update 2016-13, </w:t>
      </w:r>
      <w:r>
        <w:rPr>
          <w:rFonts w:ascii="Times New Roman" w:cs="Times New Roman" w:eastAsia="Times New Roman" w:hAnsi="Times New Roman"/>
          <w:sz w:val="18"/>
          <w:szCs w:val="18"/>
          <w:i w:val="1"/>
          <w:iCs w:val="1"/>
          <w:color w:val="auto"/>
        </w:rPr>
        <w:t>Financial Instruments - Credit Losses (Topic 326),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 of Credit Losses on Financial Statements </w:t>
      </w:r>
      <w:r>
        <w:rPr>
          <w:rFonts w:ascii="Times New Roman" w:cs="Times New Roman" w:eastAsia="Times New Roman" w:hAnsi="Times New Roman"/>
          <w:sz w:val="18"/>
          <w:szCs w:val="18"/>
          <w:color w:val="auto"/>
        </w:rPr>
        <w:t>(“ASU 2016-13”), which requires a financial asset (or group of financial assets) measured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amortized cost basis to be presented at the net amount expected to be collected. The allowance for credit losses is a valuation account that is deducted from the amortized cost basis of the financial asset(s) to present the net carrying value at the amount expected to be collected on the financial asset. Upon the adoption of ASU 2016-13 on December 27, 2019, the Company recorded a $3.2 million cumulative-effect adjustment to retained earnings related to the change in methodology surrounding the historical losses utilized in the calculation of the allowance for credit losses related to trade and unbilled accounts receivable reducing the allowance to $3.0 million as of the adoption date. The Company also recorded a corresponding $0.4 million reduction to the corresponding deferred tax asset with the offset also recorded to retained earnings. The other impacts upon adoption were immaterial to the unaudited Condensed Consolidated Financial Statements. The Company has incorporated additional disclosures in Note 1—</w:t>
      </w:r>
      <w:r>
        <w:rPr>
          <w:rFonts w:ascii="Times New Roman" w:cs="Times New Roman" w:eastAsia="Times New Roman" w:hAnsi="Times New Roman"/>
          <w:sz w:val="18"/>
          <w:szCs w:val="18"/>
          <w:i w:val="1"/>
          <w:iCs w:val="1"/>
          <w:color w:val="auto"/>
        </w:rPr>
        <w:t>The Company,</w:t>
      </w:r>
      <w:r>
        <w:rPr>
          <w:rFonts w:ascii="Times New Roman" w:cs="Times New Roman" w:eastAsia="Times New Roman" w:hAnsi="Times New Roman"/>
          <w:sz w:val="18"/>
          <w:szCs w:val="18"/>
          <w:color w:val="auto"/>
        </w:rPr>
        <w:t xml:space="preserve"> Note 2—</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and Accounts Receivable </w:t>
      </w:r>
      <w:r>
        <w:rPr>
          <w:rFonts w:ascii="Times New Roman" w:cs="Times New Roman" w:eastAsia="Times New Roman" w:hAnsi="Times New Roman"/>
          <w:sz w:val="18"/>
          <w:szCs w:val="18"/>
          <w:color w:val="auto"/>
        </w:rPr>
        <w:t>and Note 9—</w:t>
      </w:r>
      <w:r>
        <w:rPr>
          <w:rFonts w:ascii="Times New Roman" w:cs="Times New Roman" w:eastAsia="Times New Roman" w:hAnsi="Times New Roman"/>
          <w:sz w:val="18"/>
          <w:szCs w:val="18"/>
          <w:i w:val="1"/>
          <w:iCs w:val="1"/>
          <w:color w:val="auto"/>
        </w:rPr>
        <w:t xml:space="preserve">Fair Value Measurements </w:t>
      </w:r>
      <w:r>
        <w:rPr>
          <w:rFonts w:ascii="Times New Roman" w:cs="Times New Roman" w:eastAsia="Times New Roman" w:hAnsi="Times New Roman"/>
          <w:sz w:val="18"/>
          <w:szCs w:val="18"/>
          <w:color w:val="auto"/>
        </w:rPr>
        <w:t>to its Condensed Consolidated Financial Statements to comply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ASU 2016-13. The Company has also designed and implemented changes to certain processes and internal controls related to its adoption of ASU 2016-13.</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ind w:left="360" w:right="264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351" w:lineRule="exact"/>
        <w:rPr>
          <w:sz w:val="20"/>
          <w:szCs w:val="20"/>
          <w:color w:val="auto"/>
        </w:rPr>
      </w:pPr>
    </w:p>
    <w:p>
      <w:pPr>
        <w:ind w:right="120" w:firstLine="526"/>
        <w:spacing w:after="0" w:line="261" w:lineRule="auto"/>
        <w:rPr>
          <w:sz w:val="20"/>
          <w:szCs w:val="20"/>
          <w:color w:val="auto"/>
        </w:rPr>
      </w:pPr>
      <w:r>
        <w:rPr>
          <w:rFonts w:ascii="Times New Roman" w:cs="Times New Roman" w:eastAsia="Times New Roman" w:hAnsi="Times New Roman"/>
          <w:sz w:val="18"/>
          <w:szCs w:val="18"/>
          <w:color w:val="auto"/>
        </w:rPr>
        <w:t xml:space="preserve">During the first quarter of 2020, the Company adopted Accounting Standards Update 2018-13, Fair Value Measurement (Topic 820): </w:t>
      </w:r>
      <w:r>
        <w:rPr>
          <w:rFonts w:ascii="Times New Roman" w:cs="Times New Roman" w:eastAsia="Times New Roman" w:hAnsi="Times New Roman"/>
          <w:sz w:val="18"/>
          <w:szCs w:val="18"/>
          <w:i w:val="1"/>
          <w:iCs w:val="1"/>
          <w:color w:val="auto"/>
        </w:rPr>
        <w:t>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 Changes to the Disclosure Requirements for Fair Value Measurement </w:t>
      </w:r>
      <w:r>
        <w:rPr>
          <w:rFonts w:ascii="Times New Roman" w:cs="Times New Roman" w:eastAsia="Times New Roman" w:hAnsi="Times New Roman"/>
          <w:sz w:val="18"/>
          <w:szCs w:val="18"/>
          <w:color w:val="auto"/>
        </w:rPr>
        <w:t>(“ASU 2018-13”), which modifies the disclosure requirements on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measurements. The Company adoption of ASU 2018-13 did not have a material impact on the unaudited Condensed Consolidated Financial Statements or notes thereto.</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ind w:firstLine="526"/>
        <w:spacing w:after="0" w:line="257" w:lineRule="auto"/>
        <w:rPr>
          <w:sz w:val="20"/>
          <w:szCs w:val="20"/>
          <w:color w:val="auto"/>
        </w:rPr>
      </w:pPr>
      <w:r>
        <w:rPr>
          <w:rFonts w:ascii="Times New Roman" w:cs="Times New Roman" w:eastAsia="Times New Roman" w:hAnsi="Times New Roman"/>
          <w:sz w:val="18"/>
          <w:szCs w:val="18"/>
          <w:color w:val="auto"/>
        </w:rPr>
        <w:t xml:space="preserve">In December 2019, the FASB issued Accounting Standards Update 2019-12, Income Taxes (Topic 740): </w:t>
      </w:r>
      <w:r>
        <w:rPr>
          <w:rFonts w:ascii="Times New Roman" w:cs="Times New Roman" w:eastAsia="Times New Roman" w:hAnsi="Times New Roman"/>
          <w:sz w:val="18"/>
          <w:szCs w:val="18"/>
          <w:i w:val="1"/>
          <w:iCs w:val="1"/>
          <w:color w:val="auto"/>
        </w:rPr>
        <w:t>Simplifying the Accounting for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(“ASU 2019-12”), which removes the following exceptions for the Company to analyze in a given period: the exception to the incremental approach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intraperiod tax allocation; the exception to accounting for basis differences when there are ownership changes in foreign investments; and the exception in interim periods income tax accounting for year-to-date losses that exceed anticipated losses. ASU 2019-12 is effective for fiscal years beginning after December 15, 2020, including interim periods within those fiscal years, with early adoption permitted. The Company does not expect the adoption of this guidance to have a material impact on the unaudited Condensed Consolidated Financial Statements or notes thereto.</w:t>
      </w:r>
    </w:p>
    <w:p>
      <w:pPr>
        <w:spacing w:after="0" w:line="130" w:lineRule="exact"/>
        <w:rPr>
          <w:sz w:val="20"/>
          <w:szCs w:val="20"/>
          <w:color w:val="auto"/>
        </w:rPr>
      </w:pPr>
    </w:p>
    <w:p>
      <w:pPr>
        <w:ind w:right="20" w:firstLine="567"/>
        <w:spacing w:after="0" w:line="256" w:lineRule="auto"/>
        <w:rPr>
          <w:sz w:val="20"/>
          <w:szCs w:val="20"/>
          <w:color w:val="auto"/>
        </w:rPr>
      </w:pPr>
      <w:r>
        <w:rPr>
          <w:rFonts w:ascii="Times New Roman" w:cs="Times New Roman" w:eastAsia="Times New Roman" w:hAnsi="Times New Roman"/>
          <w:sz w:val="18"/>
          <w:szCs w:val="18"/>
          <w:color w:val="auto"/>
        </w:rPr>
        <w:t>In March 2020, the FASB issued Accounting Standards Update No. 2020-04, Reference Rate Reform (“ASU 2020-04”), which provides temporary optional guidance to companies impacted by the transition away from the London Interbank Offered Rate (“LIBOR”). The guidance provides certain expedients and exceptions to applying GAAP in order to lessen the potential accounting burden when contracts, hedging relationships, and other transactions that reference LIBOR as a benchmark rate are modified. This guidance is effective upon issuance and expires on December 31, 2022. The Company is currently assessing the impact of the LIBOR transition and ASU 2020-04 on the Company’s unaudited Condensed Consolidated Financial Statements.</w:t>
      </w:r>
    </w:p>
    <w:p>
      <w:pPr>
        <w:spacing w:after="0" w:line="133" w:lineRule="exact"/>
        <w:rPr>
          <w:sz w:val="20"/>
          <w:szCs w:val="20"/>
          <w:color w:val="auto"/>
        </w:rPr>
      </w:pPr>
    </w:p>
    <w:p>
      <w:pPr>
        <w:ind w:right="120" w:firstLine="526"/>
        <w:spacing w:after="0" w:line="282" w:lineRule="auto"/>
        <w:rPr>
          <w:sz w:val="20"/>
          <w:szCs w:val="20"/>
          <w:color w:val="auto"/>
        </w:rPr>
      </w:pPr>
      <w:r>
        <w:rPr>
          <w:rFonts w:ascii="Times New Roman" w:cs="Times New Roman" w:eastAsia="Times New Roman" w:hAnsi="Times New Roman"/>
          <w:sz w:val="18"/>
          <w:szCs w:val="18"/>
          <w:color w:val="auto"/>
        </w:rPr>
        <w:t>The Company has considered all other recently issued accounting pronouncements and does not believe the adoption of such pronouncements will have a material impact on its unaudited Condensed Consolidated Financial Statements or notes thereto.</w:t>
      </w:r>
    </w:p>
    <w:p>
      <w:pPr>
        <w:spacing w:after="0" w:line="104" w:lineRule="exact"/>
        <w:rPr>
          <w:sz w:val="20"/>
          <w:szCs w:val="20"/>
          <w:color w:val="auto"/>
        </w:rPr>
      </w:pPr>
    </w:p>
    <w:p>
      <w:pPr>
        <w:ind w:right="3880"/>
        <w:spacing w:after="0" w:line="376" w:lineRule="auto"/>
        <w:rPr>
          <w:sz w:val="20"/>
          <w:szCs w:val="20"/>
          <w:color w:val="auto"/>
        </w:rPr>
      </w:pPr>
      <w:r>
        <w:rPr>
          <w:rFonts w:ascii="Times New Roman" w:cs="Times New Roman" w:eastAsia="Times New Roman" w:hAnsi="Times New Roman"/>
          <w:sz w:val="18"/>
          <w:szCs w:val="18"/>
          <w:b w:val="1"/>
          <w:bCs w:val="1"/>
          <w:color w:val="auto"/>
        </w:rPr>
        <w:t xml:space="preserve">2. REVENUE FROM CONTRACTS WITH CUSTOMERS AND ACCOUNTS RECEIVABLE </w:t>
      </w:r>
      <w:r>
        <w:rPr>
          <w:rFonts w:ascii="Times New Roman" w:cs="Times New Roman" w:eastAsia="Times New Roman" w:hAnsi="Times New Roman"/>
          <w:sz w:val="18"/>
          <w:szCs w:val="18"/>
          <w:b w:val="1"/>
          <w:bCs w:val="1"/>
          <w:i w:val="1"/>
          <w:iCs w:val="1"/>
          <w:color w:val="auto"/>
        </w:rPr>
        <w:t>Revenue Recognition</w:t>
      </w:r>
    </w:p>
    <w:p>
      <w:pPr>
        <w:spacing w:after="0" w:line="1" w:lineRule="exact"/>
        <w:rPr>
          <w:sz w:val="20"/>
          <w:szCs w:val="20"/>
          <w:color w:val="auto"/>
        </w:rPr>
      </w:pPr>
    </w:p>
    <w:p>
      <w:pPr>
        <w:ind w:right="60" w:firstLine="526"/>
        <w:spacing w:after="0" w:line="257" w:lineRule="auto"/>
        <w:rPr>
          <w:sz w:val="20"/>
          <w:szCs w:val="20"/>
          <w:color w:val="auto"/>
        </w:rPr>
      </w:pPr>
      <w:r>
        <w:rPr>
          <w:rFonts w:ascii="Times New Roman" w:cs="Times New Roman" w:eastAsia="Times New Roman" w:hAnsi="Times New Roman"/>
          <w:sz w:val="18"/>
          <w:szCs w:val="18"/>
          <w:color w:val="auto"/>
        </w:rPr>
        <w:t xml:space="preserve">The Company derives revenue principally from the sale of advertising to national, regional and local businesses in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the Company’s cinema advertising and entertainment pre-show. The Company also sells advertising through the LEN, a series of strategically placed screens located in movie theater lobbies, as well as other forms of advertising and promotions in theater lobbies. In addition, the Company sells online and mobile advertising through </w:t>
      </w:r>
      <w:r>
        <w:rPr>
          <w:rFonts w:ascii="Times New Roman" w:cs="Times New Roman" w:eastAsia="Times New Roman" w:hAnsi="Times New Roman"/>
          <w:sz w:val="18"/>
          <w:szCs w:val="18"/>
          <w:i w:val="1"/>
          <w:iCs w:val="1"/>
          <w:color w:val="auto"/>
        </w:rPr>
        <w:t>Cinema Accelerator</w:t>
      </w:r>
      <w:r>
        <w:rPr>
          <w:rFonts w:ascii="Times New Roman" w:cs="Times New Roman" w:eastAsia="Times New Roman" w:hAnsi="Times New Roman"/>
          <w:sz w:val="18"/>
          <w:szCs w:val="18"/>
          <w:color w:val="auto"/>
        </w:rPr>
        <w:t xml:space="preserve"> and NCM's digital gaming products including </w:t>
      </w:r>
      <w:r>
        <w:rPr>
          <w:rFonts w:ascii="Times New Roman" w:cs="Times New Roman" w:eastAsia="Times New Roman" w:hAnsi="Times New Roman"/>
          <w:sz w:val="18"/>
          <w:szCs w:val="18"/>
          <w:i w:val="1"/>
          <w:iCs w:val="1"/>
          <w:color w:val="auto"/>
        </w:rPr>
        <w:t>Noovie ARcade, Name That Movie, Noovie Shuffle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Fantasy Movie League,</w:t>
      </w:r>
      <w:r>
        <w:rPr>
          <w:rFonts w:ascii="Times New Roman" w:cs="Times New Roman" w:eastAsia="Times New Roman" w:hAnsi="Times New Roman"/>
          <w:sz w:val="18"/>
          <w:szCs w:val="18"/>
          <w:color w:val="auto"/>
        </w:rPr>
        <w:t xml:space="preserve"> which can be played on the mobile apps or at </w:t>
      </w:r>
      <w:r>
        <w:rPr>
          <w:rFonts w:ascii="Times New Roman" w:cs="Times New Roman" w:eastAsia="Times New Roman" w:hAnsi="Times New Roman"/>
          <w:sz w:val="18"/>
          <w:szCs w:val="18"/>
          <w:i w:val="1"/>
          <w:iCs w:val="1"/>
          <w:color w:val="auto"/>
        </w:rPr>
        <w:t>Noovie.com</w:t>
      </w:r>
      <w:r>
        <w:rPr>
          <w:rFonts w:ascii="Times New Roman" w:cs="Times New Roman" w:eastAsia="Times New Roman" w:hAnsi="Times New Roman"/>
          <w:sz w:val="18"/>
          <w:szCs w:val="18"/>
          <w:color w:val="auto"/>
        </w:rPr>
        <w:t>. The Company also has a long-term agreement to exhibit the advertising of the founding members’ beverage suppliers.</w:t>
      </w:r>
    </w:p>
    <w:p>
      <w:pPr>
        <w:spacing w:after="0" w:line="76" w:lineRule="exact"/>
        <w:rPr>
          <w:sz w:val="20"/>
          <w:szCs w:val="20"/>
          <w:color w:val="auto"/>
        </w:rPr>
      </w:pPr>
    </w:p>
    <w:p>
      <w:pPr>
        <w:ind w:right="20" w:firstLine="526"/>
        <w:spacing w:after="0" w:line="256" w:lineRule="auto"/>
        <w:rPr>
          <w:sz w:val="20"/>
          <w:szCs w:val="20"/>
          <w:color w:val="auto"/>
        </w:rPr>
      </w:pPr>
      <w:r>
        <w:rPr>
          <w:rFonts w:ascii="Times New Roman" w:cs="Times New Roman" w:eastAsia="Times New Roman" w:hAnsi="Times New Roman"/>
          <w:sz w:val="18"/>
          <w:szCs w:val="18"/>
          <w:color w:val="auto"/>
        </w:rPr>
        <w:t>The Company makes contractual guarantees to deliver a specified number of impressions to view the customers’ advertising. If the contracted number of impressions are not delivered, the Company will run additional advertising to deliver the contracted impressions at a later date. The deferred portion of the revenue associated with undelivered impressions is referred to as a make-good provision. The Company defers the revenue associated with the make-good until the advertising airs to the theater attendance specified in the advertising contract. The make-good provision is recorded within accrued expenses in the unaudited Condensed Consolidated Balance Sheet. As of September 24, 2020 and December 26, 2019, the Company had a make-good provision of $6.4 million and $8.7 million, respectively.</w:t>
      </w:r>
    </w:p>
    <w:p>
      <w:pPr>
        <w:spacing w:after="0" w:line="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Company does not have any contracts with customers with terms in excess of one year that are noncancellable as of September 24,</w:t>
      </w:r>
    </w:p>
    <w:p>
      <w:pPr>
        <w:spacing w:after="0" w:line="2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2020. Agreements with a duration less than one year are not included within this disclosure as the Company elected to use the practical expedient in ASC 606-10-50-14 for those contracts. In addition, other of the Company’s contracts longer than one year that are cancellable are not included within this disclosure.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right="280" w:firstLine="526"/>
        <w:spacing w:after="0" w:line="282" w:lineRule="auto"/>
        <w:rPr>
          <w:sz w:val="20"/>
          <w:szCs w:val="20"/>
          <w:color w:val="auto"/>
        </w:rPr>
      </w:pPr>
      <w:r>
        <w:rPr>
          <w:rFonts w:ascii="Times New Roman" w:cs="Times New Roman" w:eastAsia="Times New Roman" w:hAnsi="Times New Roman"/>
          <w:sz w:val="18"/>
          <w:szCs w:val="18"/>
          <w:color w:val="auto"/>
        </w:rPr>
        <w:t>The Company disaggregates revenue based upon the type of customer: national and regional, local and beverage concessionaire. This method of disaggregation is in alignment with how revenue is reviewed by management and discussed with and historically disclosed to investors.</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2" w:name="page13"/>
    <w:bookmarkEnd w:id="12"/>
    <w:p>
      <w:pPr>
        <w:jc w:val="center"/>
        <w:ind w:left="340" w:right="266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353" w:lineRule="exact"/>
        <w:rPr>
          <w:sz w:val="20"/>
          <w:szCs w:val="20"/>
          <w:color w:val="auto"/>
        </w:rPr>
      </w:pPr>
    </w:p>
    <w:p>
      <w:pPr>
        <w:ind w:right="280" w:firstLine="526"/>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revenue from contracts with customers for the three months ended September 24, 2020 and September 26, 2019 and nine months ended September 24, 2020 and September 26, 2019 (in millions):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600" w:type="dxa"/>
            <w:vAlign w:val="bottom"/>
          </w:tcPr>
          <w:p>
            <w:pPr>
              <w:spacing w:after="0"/>
              <w:rPr>
                <w:sz w:val="16"/>
                <w:szCs w:val="16"/>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24, 2020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26, 2019</w:t>
            </w:r>
          </w:p>
        </w:tc>
        <w:tc>
          <w:tcPr>
            <w:tcW w:w="100" w:type="dxa"/>
            <w:vAlign w:val="bottom"/>
          </w:tcPr>
          <w:p>
            <w:pPr>
              <w:spacing w:after="0"/>
              <w:rPr>
                <w:sz w:val="16"/>
                <w:szCs w:val="16"/>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24, 2020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26, 2019</w:t>
            </w:r>
          </w:p>
        </w:tc>
        <w:tc>
          <w:tcPr>
            <w:tcW w:w="0" w:type="dxa"/>
            <w:vAlign w:val="bottom"/>
          </w:tcPr>
          <w:p>
            <w:pPr>
              <w:spacing w:after="0"/>
              <w:rPr>
                <w:sz w:val="1"/>
                <w:szCs w:val="1"/>
                <w:color w:val="auto"/>
              </w:rPr>
            </w:pPr>
          </w:p>
        </w:tc>
      </w:tr>
      <w:tr>
        <w:trPr>
          <w:trHeight w:val="223"/>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National and regional advertising revenue</w:t>
            </w:r>
          </w:p>
        </w:tc>
        <w:tc>
          <w:tcPr>
            <w:tcW w:w="42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Local advertising revenue</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175"/>
        </w:trPr>
        <w:tc>
          <w:tcPr>
            <w:tcW w:w="56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Founding member advertising revenue from beverage concessionaire</w:t>
            </w:r>
          </w:p>
        </w:tc>
        <w:tc>
          <w:tcPr>
            <w:tcW w:w="4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agreements</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4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19"/>
                <w:szCs w:val="19"/>
                <w:color w:val="auto"/>
              </w:rPr>
            </w:pPr>
          </w:p>
        </w:tc>
        <w:tc>
          <w:tcPr>
            <w:tcW w:w="7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0" w:type="dxa"/>
            <w:vAlign w:val="bottom"/>
          </w:tcPr>
          <w:p>
            <w:pPr>
              <w:spacing w:after="0"/>
              <w:rPr>
                <w:sz w:val="1"/>
                <w:szCs w:val="1"/>
                <w:color w:val="auto"/>
              </w:rPr>
            </w:pPr>
          </w:p>
        </w:tc>
      </w:tr>
      <w:tr>
        <w:trPr>
          <w:trHeight w:val="21"/>
        </w:trPr>
        <w:tc>
          <w:tcPr>
            <w:tcW w:w="5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 and Unbilled Accounts Receivable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deferred revenue for the nine months ended September 24, 2020 were as follows (in millions):</w:t>
      </w:r>
    </w:p>
    <w:p>
      <w:pPr>
        <w:spacing w:after="0" w:line="205"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24765</wp:posOffset>
            </wp:positionV>
            <wp:extent cx="18084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22"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4"/>
          <w:szCs w:val="14"/>
          <w:b w:val="1"/>
          <w:bCs w:val="1"/>
          <w:color w:val="auto"/>
        </w:rPr>
        <w:t>September 24,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Performance obligations satisfied</w:t>
      </w:r>
    </w:p>
    <w:p>
      <w:pPr>
        <w:spacing w:after="0" w:line="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New contract liabilities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end of period</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280" w:type="dxa"/>
            <w:vAlign w:val="bottom"/>
            <w:tcBorders>
              <w:top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tcPr>
          <w:p>
            <w:pPr>
              <w:jc w:val="center"/>
              <w:ind w:left="1070"/>
              <w:spacing w:after="0"/>
              <w:rPr>
                <w:sz w:val="20"/>
                <w:szCs w:val="20"/>
                <w:color w:val="auto"/>
              </w:rPr>
            </w:pPr>
            <w:r>
              <w:rPr>
                <w:rFonts w:ascii="Times New Roman" w:cs="Times New Roman" w:eastAsia="Times New Roman" w:hAnsi="Times New Roman"/>
                <w:sz w:val="18"/>
                <w:szCs w:val="18"/>
                <w:color w:val="auto"/>
              </w:rPr>
              <w:t>(7.6)</w:t>
            </w:r>
          </w:p>
        </w:tc>
      </w:tr>
      <w:tr>
        <w:trPr>
          <w:trHeight w:val="229"/>
        </w:trPr>
        <w:tc>
          <w:tcPr>
            <w:tcW w:w="1280" w:type="dxa"/>
            <w:vAlign w:val="bottom"/>
          </w:tcPr>
          <w:p>
            <w:pPr>
              <w:spacing w:after="0"/>
              <w:rPr>
                <w:sz w:val="19"/>
                <w:szCs w:val="19"/>
                <w:color w:val="auto"/>
              </w:rPr>
            </w:pPr>
          </w:p>
        </w:tc>
        <w:tc>
          <w:tcPr>
            <w:tcW w:w="156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7"/>
              </w:rPr>
              <w:t>6.1</w:t>
            </w:r>
          </w:p>
        </w:tc>
      </w:tr>
      <w:tr>
        <w:trPr>
          <w:trHeight w:val="234"/>
        </w:trPr>
        <w:tc>
          <w:tcPr>
            <w:tcW w:w="1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left="1070"/>
              <w:spacing w:after="0"/>
              <w:rPr>
                <w:sz w:val="20"/>
                <w:szCs w:val="20"/>
                <w:color w:val="auto"/>
              </w:rPr>
            </w:pPr>
            <w:r>
              <w:rPr>
                <w:rFonts w:ascii="Times New Roman" w:cs="Times New Roman" w:eastAsia="Times New Roman" w:hAnsi="Times New Roman"/>
                <w:sz w:val="18"/>
                <w:szCs w:val="18"/>
                <w:color w:val="auto"/>
              </w:rPr>
              <w:t>(5.5)</w:t>
            </w:r>
          </w:p>
        </w:tc>
      </w:tr>
      <w:tr>
        <w:trPr>
          <w:trHeight w:val="223"/>
        </w:trPr>
        <w:tc>
          <w:tcPr>
            <w:tcW w:w="128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center"/>
              <w:ind w:left="1070"/>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-333375</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80" w:space="720"/>
            <w:col w:w="2840"/>
          </w:cols>
          <w:pgMar w:left="320" w:top="117" w:right="339" w:bottom="1440" w:gutter="0" w:footer="0" w:header="0"/>
          <w:type w:val="continuous"/>
        </w:sectPr>
      </w:pPr>
    </w:p>
    <w:p>
      <w:pPr>
        <w:spacing w:after="0" w:line="38" w:lineRule="exact"/>
        <w:rPr>
          <w:sz w:val="20"/>
          <w:szCs w:val="20"/>
          <w:color w:val="auto"/>
        </w:rPr>
      </w:pPr>
    </w:p>
    <w:p>
      <w:pPr>
        <w:ind w:right="280" w:firstLine="526"/>
        <w:spacing w:after="0" w:line="344" w:lineRule="auto"/>
        <w:rPr>
          <w:sz w:val="20"/>
          <w:szCs w:val="20"/>
          <w:color w:val="auto"/>
        </w:rPr>
      </w:pPr>
      <w:r>
        <w:rPr>
          <w:rFonts w:ascii="Times New Roman" w:cs="Times New Roman" w:eastAsia="Times New Roman" w:hAnsi="Times New Roman"/>
          <w:sz w:val="18"/>
          <w:szCs w:val="18"/>
          <w:color w:val="auto"/>
        </w:rPr>
        <w:t xml:space="preserve">As of September 24, 2020 and December 26, 2019, the Company had $1.2 million and $8.0 million in unbilled accounts receivable, respectively. </w:t>
      </w:r>
      <w:r>
        <w:rPr>
          <w:rFonts w:ascii="Times New Roman" w:cs="Times New Roman" w:eastAsia="Times New Roman" w:hAnsi="Times New Roman"/>
          <w:sz w:val="18"/>
          <w:szCs w:val="18"/>
          <w:b w:val="1"/>
          <w:bCs w:val="1"/>
          <w:i w:val="1"/>
          <w:iCs w:val="1"/>
          <w:color w:val="auto"/>
        </w:rPr>
        <w:t>Allowance for Doubtful Accounts</w:t>
      </w:r>
    </w:p>
    <w:p>
      <w:pPr>
        <w:spacing w:after="0" w:line="1" w:lineRule="exact"/>
        <w:rPr>
          <w:sz w:val="20"/>
          <w:szCs w:val="20"/>
          <w:color w:val="auto"/>
        </w:rPr>
      </w:pPr>
    </w:p>
    <w:p>
      <w:pPr>
        <w:ind w:right="140" w:firstLine="567"/>
        <w:spacing w:after="0" w:line="266" w:lineRule="auto"/>
        <w:rPr>
          <w:sz w:val="20"/>
          <w:szCs w:val="20"/>
          <w:color w:val="auto"/>
        </w:rPr>
      </w:pPr>
      <w:r>
        <w:rPr>
          <w:rFonts w:ascii="Times New Roman" w:cs="Times New Roman" w:eastAsia="Times New Roman" w:hAnsi="Times New Roman"/>
          <w:sz w:val="18"/>
          <w:szCs w:val="18"/>
          <w:color w:val="auto"/>
        </w:rPr>
        <w:t>The allowance for doubtful accounts balance is determined separately for each pool of the Company's receivables with similar risk characteristics. The Company has determined that two pools, national customers and local/ regional customers, is appropriate. The changes within the allowance for doubtful accounts balances for the nine months ended September 24, 2020 were as follows (in millions):</w:t>
      </w:r>
    </w:p>
    <w:p>
      <w:pPr>
        <w:sectPr>
          <w:pgSz w:w="11900" w:h="16838" w:orient="portrait"/>
          <w:cols w:equalWidth="0" w:num="1">
            <w:col w:w="1124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Provision for bad debt</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Write-offs, net</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end of period</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(LOSS) EARNINGS PER SHARE</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24765</wp:posOffset>
            </wp:positionV>
            <wp:extent cx="39516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951605" cy="8890"/>
                    </a:xfrm>
                    <a:prstGeom prst="rect">
                      <a:avLst/>
                    </a:prstGeom>
                    <a:noFill/>
                  </pic:spPr>
                </pic:pic>
              </a:graphicData>
            </a:graphic>
          </wp:anchor>
        </w:drawing>
      </w:r>
    </w:p>
    <w:p>
      <w:pPr>
        <w:spacing w:after="0" w:line="22"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4"/>
          <w:szCs w:val="14"/>
          <w:b w:val="1"/>
          <w:bCs w:val="1"/>
          <w:color w:val="auto"/>
        </w:rPr>
        <w:t>September 24, 2020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00" w:type="dxa"/>
            <w:vAlign w:val="bottom"/>
            <w:tcBorders>
              <w:top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Allowance for National Customer Receivables</w:t>
            </w:r>
          </w:p>
        </w:tc>
        <w:tc>
          <w:tcPr>
            <w:tcW w:w="180" w:type="dxa"/>
            <w:vAlign w:val="bottom"/>
            <w:tcBorders>
              <w:top w:val="single" w:sz="8" w:color="auto"/>
            </w:tcBorders>
          </w:tcPr>
          <w:p>
            <w:pPr>
              <w:spacing w:after="0"/>
              <w:rPr>
                <w:sz w:val="12"/>
                <w:szCs w:val="12"/>
                <w:color w:val="auto"/>
              </w:rPr>
            </w:pPr>
          </w:p>
        </w:tc>
        <w:tc>
          <w:tcPr>
            <w:tcW w:w="2860" w:type="dxa"/>
            <w:vAlign w:val="bottom"/>
            <w:tcBorders>
              <w:top w:val="single" w:sz="8" w:color="auto"/>
            </w:tcBorders>
          </w:tcPr>
          <w:p>
            <w:pPr>
              <w:jc w:val="center"/>
              <w:ind w:right="116"/>
              <w:spacing w:after="0" w:line="139" w:lineRule="exact"/>
              <w:rPr>
                <w:sz w:val="20"/>
                <w:szCs w:val="20"/>
                <w:color w:val="auto"/>
              </w:rPr>
            </w:pPr>
            <w:r>
              <w:rPr>
                <w:rFonts w:ascii="Times New Roman" w:cs="Times New Roman" w:eastAsia="Times New Roman" w:hAnsi="Times New Roman"/>
                <w:sz w:val="14"/>
                <w:szCs w:val="14"/>
                <w:b w:val="1"/>
                <w:bCs w:val="1"/>
                <w:color w:val="auto"/>
              </w:rPr>
              <w:t>Allowance for Local/ Regional Customer</w:t>
            </w:r>
          </w:p>
        </w:tc>
        <w:tc>
          <w:tcPr>
            <w:tcW w:w="0" w:type="dxa"/>
            <w:vAlign w:val="bottom"/>
          </w:tcPr>
          <w:p>
            <w:pPr>
              <w:spacing w:after="0"/>
              <w:rPr>
                <w:sz w:val="1"/>
                <w:szCs w:val="1"/>
                <w:color w:val="auto"/>
              </w:rPr>
            </w:pPr>
          </w:p>
        </w:tc>
      </w:tr>
      <w:tr>
        <w:trPr>
          <w:trHeight w:val="189"/>
        </w:trPr>
        <w:tc>
          <w:tcPr>
            <w:tcW w:w="3200" w:type="dxa"/>
            <w:vAlign w:val="bottom"/>
            <w:tcBorders>
              <w:bottom w:val="single" w:sz="8" w:color="auto"/>
            </w:tcBorders>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0" w:type="dxa"/>
            <w:vAlign w:val="bottom"/>
          </w:tcPr>
          <w:p>
            <w:pPr>
              <w:spacing w:after="0"/>
              <w:rPr>
                <w:sz w:val="1"/>
                <w:szCs w:val="1"/>
                <w:color w:val="auto"/>
              </w:rPr>
            </w:pPr>
          </w:p>
        </w:tc>
      </w:tr>
      <w:tr>
        <w:trPr>
          <w:trHeight w:val="218"/>
        </w:trPr>
        <w:tc>
          <w:tcPr>
            <w:tcW w:w="1380" w:type="dxa"/>
            <w:vAlign w:val="bottom"/>
          </w:tcPr>
          <w:p>
            <w:pPr>
              <w:jc w:val="right"/>
              <w:ind w:right="1176"/>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7"/>
              </w:rPr>
              <w:t>1.1</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60" w:type="dxa"/>
            <w:vAlign w:val="bottom"/>
          </w:tcPr>
          <w:p>
            <w:pPr>
              <w:jc w:val="center"/>
              <w:ind w:left="2396"/>
              <w:spacing w:after="0"/>
              <w:rPr>
                <w:sz w:val="20"/>
                <w:szCs w:val="20"/>
                <w:color w:val="auto"/>
              </w:rPr>
            </w:pPr>
            <w:r>
              <w:rPr>
                <w:rFonts w:ascii="Times New Roman" w:cs="Times New Roman" w:eastAsia="Times New Roman" w:hAnsi="Times New Roman"/>
                <w:sz w:val="18"/>
                <w:szCs w:val="18"/>
                <w:color w:val="auto"/>
                <w:w w:val="97"/>
              </w:rPr>
              <w:t>1.9</w:t>
            </w:r>
          </w:p>
        </w:tc>
        <w:tc>
          <w:tcPr>
            <w:tcW w:w="0" w:type="dxa"/>
            <w:vAlign w:val="bottom"/>
          </w:tcPr>
          <w:p>
            <w:pPr>
              <w:spacing w:after="0"/>
              <w:rPr>
                <w:sz w:val="1"/>
                <w:szCs w:val="1"/>
                <w:color w:val="auto"/>
              </w:rPr>
            </w:pPr>
          </w:p>
        </w:tc>
      </w:tr>
      <w:tr>
        <w:trPr>
          <w:trHeight w:val="229"/>
        </w:trPr>
        <w:tc>
          <w:tcPr>
            <w:tcW w:w="1380" w:type="dxa"/>
            <w:vAlign w:val="bottom"/>
          </w:tcPr>
          <w:p>
            <w:pPr>
              <w:spacing w:after="0"/>
              <w:rPr>
                <w:sz w:val="19"/>
                <w:szCs w:val="19"/>
                <w:color w:val="auto"/>
              </w:rPr>
            </w:pPr>
          </w:p>
        </w:tc>
        <w:tc>
          <w:tcPr>
            <w:tcW w:w="166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8"/>
              </w:rPr>
              <w:t>(0.9)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60" w:type="dxa"/>
            <w:vAlign w:val="bottom"/>
          </w:tcPr>
          <w:p>
            <w:pPr>
              <w:jc w:val="center"/>
              <w:ind w:left="2396"/>
              <w:spacing w:after="0"/>
              <w:rPr>
                <w:sz w:val="20"/>
                <w:szCs w:val="20"/>
                <w:color w:val="auto"/>
              </w:rPr>
            </w:pPr>
            <w:r>
              <w:rPr>
                <w:rFonts w:ascii="Times New Roman" w:cs="Times New Roman" w:eastAsia="Times New Roman" w:hAnsi="Times New Roman"/>
                <w:sz w:val="18"/>
                <w:szCs w:val="18"/>
                <w:color w:val="auto"/>
                <w:w w:val="97"/>
              </w:rPr>
              <w:t>1.0</w:t>
            </w:r>
          </w:p>
        </w:tc>
        <w:tc>
          <w:tcPr>
            <w:tcW w:w="0" w:type="dxa"/>
            <w:vAlign w:val="bottom"/>
          </w:tcPr>
          <w:p>
            <w:pPr>
              <w:spacing w:after="0"/>
              <w:rPr>
                <w:sz w:val="1"/>
                <w:szCs w:val="1"/>
                <w:color w:val="auto"/>
              </w:rPr>
            </w:pPr>
          </w:p>
        </w:tc>
      </w:tr>
      <w:tr>
        <w:trPr>
          <w:trHeight w:val="234"/>
        </w:trPr>
        <w:tc>
          <w:tcPr>
            <w:tcW w:w="13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left="1150"/>
              <w:spacing w:after="0"/>
              <w:rPr>
                <w:sz w:val="20"/>
                <w:szCs w:val="20"/>
                <w:color w:val="auto"/>
              </w:rPr>
            </w:pPr>
            <w:r>
              <w:rPr>
                <w:rFonts w:ascii="Times New Roman" w:cs="Times New Roman" w:eastAsia="Times New Roman" w:hAnsi="Times New Roman"/>
                <w:sz w:val="18"/>
                <w:szCs w:val="18"/>
                <w:color w:val="auto"/>
                <w:w w:val="98"/>
              </w:rPr>
              <w:t>(0.1)</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jc w:val="center"/>
              <w:ind w:left="2356"/>
              <w:spacing w:after="0"/>
              <w:rPr>
                <w:sz w:val="20"/>
                <w:szCs w:val="20"/>
                <w:color w:val="auto"/>
              </w:rPr>
            </w:pPr>
            <w:r>
              <w:rPr>
                <w:rFonts w:ascii="Times New Roman" w:cs="Times New Roman" w:eastAsia="Times New Roman" w:hAnsi="Times New Roman"/>
                <w:sz w:val="18"/>
                <w:szCs w:val="18"/>
                <w:color w:val="auto"/>
                <w:w w:val="98"/>
              </w:rPr>
              <w:t>(0.6)</w:t>
            </w:r>
          </w:p>
        </w:tc>
        <w:tc>
          <w:tcPr>
            <w:tcW w:w="0" w:type="dxa"/>
            <w:vAlign w:val="bottom"/>
          </w:tcPr>
          <w:p>
            <w:pPr>
              <w:spacing w:after="0"/>
              <w:rPr>
                <w:sz w:val="1"/>
                <w:szCs w:val="1"/>
                <w:color w:val="auto"/>
              </w:rPr>
            </w:pPr>
          </w:p>
        </w:tc>
      </w:tr>
      <w:tr>
        <w:trPr>
          <w:trHeight w:val="223"/>
        </w:trPr>
        <w:tc>
          <w:tcPr>
            <w:tcW w:w="1380" w:type="dxa"/>
            <w:vAlign w:val="bottom"/>
            <w:tcBorders>
              <w:bottom w:val="single" w:sz="8" w:color="auto"/>
            </w:tcBorders>
          </w:tcPr>
          <w:p>
            <w:pPr>
              <w:jc w:val="right"/>
              <w:ind w:right="1176"/>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center"/>
              <w:ind w:left="1190"/>
              <w:spacing w:after="0"/>
              <w:rPr>
                <w:sz w:val="20"/>
                <w:szCs w:val="20"/>
                <w:color w:val="auto"/>
              </w:rPr>
            </w:pPr>
            <w:r>
              <w:rPr>
                <w:rFonts w:ascii="Times New Roman" w:cs="Times New Roman" w:eastAsia="Times New Roman" w:hAnsi="Times New Roman"/>
                <w:sz w:val="18"/>
                <w:szCs w:val="18"/>
                <w:color w:val="auto"/>
                <w:w w:val="97"/>
              </w:rPr>
              <w:t>0.1</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60" w:type="dxa"/>
            <w:vAlign w:val="bottom"/>
            <w:tcBorders>
              <w:bottom w:val="single" w:sz="8" w:color="auto"/>
            </w:tcBorders>
          </w:tcPr>
          <w:p>
            <w:pPr>
              <w:jc w:val="center"/>
              <w:ind w:left="2396"/>
              <w:spacing w:after="0"/>
              <w:rPr>
                <w:sz w:val="20"/>
                <w:szCs w:val="20"/>
                <w:color w:val="auto"/>
              </w:rPr>
            </w:pPr>
            <w:r>
              <w:rPr>
                <w:rFonts w:ascii="Times New Roman" w:cs="Times New Roman" w:eastAsia="Times New Roman" w:hAnsi="Times New Roman"/>
                <w:sz w:val="18"/>
                <w:szCs w:val="18"/>
                <w:color w:val="auto"/>
                <w:w w:val="97"/>
              </w:rPr>
              <w:t>2.3</w:t>
            </w:r>
          </w:p>
        </w:tc>
        <w:tc>
          <w:tcPr>
            <w:tcW w:w="0" w:type="dxa"/>
            <w:vAlign w:val="bottom"/>
          </w:tcPr>
          <w:p>
            <w:pPr>
              <w:spacing w:after="0"/>
              <w:rPr>
                <w:sz w:val="1"/>
                <w:szCs w:val="1"/>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-633730</wp:posOffset>
            </wp:positionV>
            <wp:extent cx="711517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-334010</wp:posOffset>
            </wp:positionV>
            <wp:extent cx="711517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548" w:lineRule="exact"/>
        <w:rPr>
          <w:sz w:val="20"/>
          <w:szCs w:val="20"/>
          <w:color w:val="auto"/>
        </w:rPr>
      </w:pPr>
    </w:p>
    <w:p>
      <w:pPr>
        <w:sectPr>
          <w:pgSz w:w="11900" w:h="16838" w:orient="portrait"/>
          <w:cols w:equalWidth="0" w:num="2">
            <w:col w:w="4260" w:space="720"/>
            <w:col w:w="6260"/>
          </w:cols>
          <w:pgMar w:left="320" w:top="117" w:right="339" w:bottom="1440" w:gutter="0" w:footer="0" w:header="0"/>
          <w:type w:val="continuous"/>
        </w:sectPr>
      </w:pPr>
    </w:p>
    <w:p>
      <w:pPr>
        <w:ind w:right="20" w:firstLine="526"/>
        <w:spacing w:after="0" w:line="266" w:lineRule="auto"/>
        <w:rPr>
          <w:sz w:val="20"/>
          <w:szCs w:val="20"/>
          <w:color w:val="auto"/>
        </w:rPr>
      </w:pPr>
      <w:r>
        <w:rPr>
          <w:rFonts w:ascii="Times New Roman" w:cs="Times New Roman" w:eastAsia="Times New Roman" w:hAnsi="Times New Roman"/>
          <w:sz w:val="18"/>
          <w:szCs w:val="18"/>
          <w:color w:val="auto"/>
        </w:rPr>
        <w:t>Basic loss per share is computed on the basis of the weighted average number of common shares outstanding. Diluted loss per share is computed on the basis of the weighted average number of common shares outstanding plus the effect of potentially dilutive common stock options, restricted stock and restricted stock units using the treasury stock method. The components of basic and diluted loss per NCM, Inc. share are as follows: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 w:name="page14"/>
    <w:bookmarkEnd w:id="13"/>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440" w:type="dxa"/>
            <w:vAlign w:val="bottom"/>
            <w:gridSpan w:val="4"/>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5740" w:type="dxa"/>
            <w:vAlign w:val="bottom"/>
          </w:tcPr>
          <w:p>
            <w:pPr>
              <w:spacing w:after="0"/>
              <w:rPr>
                <w:sz w:val="16"/>
                <w:szCs w:val="16"/>
                <w:color w:val="auto"/>
              </w:rPr>
            </w:pPr>
          </w:p>
        </w:tc>
        <w:tc>
          <w:tcPr>
            <w:tcW w:w="140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24, 2020</w:t>
            </w:r>
          </w:p>
        </w:tc>
        <w:tc>
          <w:tcPr>
            <w:tcW w:w="13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26, 2019</w:t>
            </w:r>
          </w:p>
        </w:tc>
        <w:tc>
          <w:tcPr>
            <w:tcW w:w="100" w:type="dxa"/>
            <w:vAlign w:val="bottom"/>
          </w:tcPr>
          <w:p>
            <w:pPr>
              <w:spacing w:after="0"/>
              <w:rPr>
                <w:sz w:val="16"/>
                <w:szCs w:val="16"/>
                <w:color w:val="auto"/>
              </w:rPr>
            </w:pPr>
          </w:p>
        </w:tc>
        <w:tc>
          <w:tcPr>
            <w:tcW w:w="140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24, 2020</w:t>
            </w:r>
          </w:p>
        </w:tc>
        <w:tc>
          <w:tcPr>
            <w:tcW w:w="13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26, 2019</w:t>
            </w:r>
          </w:p>
        </w:tc>
        <w:tc>
          <w:tcPr>
            <w:tcW w:w="0" w:type="dxa"/>
            <w:vAlign w:val="bottom"/>
          </w:tcPr>
          <w:p>
            <w:pPr>
              <w:spacing w:after="0"/>
              <w:rPr>
                <w:sz w:val="1"/>
                <w:szCs w:val="1"/>
                <w:color w:val="auto"/>
              </w:rPr>
            </w:pPr>
          </w:p>
        </w:tc>
      </w:tr>
      <w:tr>
        <w:trPr>
          <w:trHeight w:val="223"/>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NCM, Inc. (in millions)</w:t>
            </w: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78,016,737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77,356,833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77,925,552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77,293,234</w:t>
            </w:r>
          </w:p>
        </w:tc>
        <w:tc>
          <w:tcPr>
            <w:tcW w:w="0" w:type="dxa"/>
            <w:vAlign w:val="bottom"/>
          </w:tcPr>
          <w:p>
            <w:pPr>
              <w:spacing w:after="0"/>
              <w:rPr>
                <w:sz w:val="1"/>
                <w:szCs w:val="1"/>
                <w:color w:val="auto"/>
              </w:rPr>
            </w:pPr>
          </w:p>
        </w:tc>
      </w:tr>
      <w:tr>
        <w:trPr>
          <w:trHeight w:val="176"/>
        </w:trPr>
        <w:tc>
          <w:tcPr>
            <w:tcW w:w="57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Add: Dilutive effect of stock options, restricted stock and exchangeable</w:t>
            </w:r>
          </w:p>
        </w:tc>
        <w:tc>
          <w:tcPr>
            <w:tcW w:w="26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526,738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394,159</w:t>
            </w:r>
          </w:p>
        </w:tc>
        <w:tc>
          <w:tcPr>
            <w:tcW w:w="0" w:type="dxa"/>
            <w:vAlign w:val="bottom"/>
          </w:tcPr>
          <w:p>
            <w:pPr>
              <w:spacing w:after="0"/>
              <w:rPr>
                <w:sz w:val="1"/>
                <w:szCs w:val="1"/>
                <w:color w:val="auto"/>
              </w:rPr>
            </w:pPr>
          </w:p>
        </w:tc>
      </w:tr>
      <w:tr>
        <w:trPr>
          <w:trHeight w:val="229"/>
        </w:trPr>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membership units</w:t>
            </w:r>
          </w:p>
        </w:tc>
        <w:tc>
          <w:tcPr>
            <w:tcW w:w="2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7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78,016,737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77,883,571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77,925,552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77,687,393</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(Loss) earnings per NCM, Inc.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34"/>
        </w:trPr>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tcPr>
          <w:p>
            <w:pPr>
              <w:spacing w:after="0"/>
              <w:rPr>
                <w:sz w:val="20"/>
                <w:szCs w:val="20"/>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20"/>
                <w:szCs w:val="20"/>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Pr>
          <w:p>
            <w:pPr>
              <w:spacing w:after="0"/>
              <w:rPr>
                <w:sz w:val="20"/>
                <w:szCs w:val="20"/>
                <w:color w:val="auto"/>
              </w:rPr>
            </w:pPr>
          </w:p>
        </w:tc>
        <w:tc>
          <w:tcPr>
            <w:tcW w:w="2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40" w:firstLine="526"/>
        <w:spacing w:after="0" w:line="255" w:lineRule="auto"/>
        <w:rPr>
          <w:sz w:val="20"/>
          <w:szCs w:val="20"/>
          <w:color w:val="auto"/>
        </w:rPr>
      </w:pPr>
      <w:r>
        <w:rPr>
          <w:rFonts w:ascii="Times New Roman" w:cs="Times New Roman" w:eastAsia="Times New Roman" w:hAnsi="Times New Roman"/>
          <w:sz w:val="18"/>
          <w:szCs w:val="18"/>
          <w:color w:val="auto"/>
        </w:rPr>
        <w:t>The effect of 84,531,328, 81,705,487, 83,678,699 and 81,410,838 weighted average exchangeable NCM LLC common units held by the founding members for the three months ended September 24, 2020 and September 26, 2019 and nine months ended September 24, 2020 and September 26, 2019, respectively, have been excluded from the calculation of diluted weighted average shares and loss per NCM, Inc. share as they were anti-dilutive. NCM LLC common units do not participate in dividends paid on NCM, Inc.’s common stock. In addition, there were 4,484,702, 2,553,449, 4,484,702 and 2,593,231 stock options and non-vested (restricted) shares for the three months ended September 24, 2020 and September 26, 2019 and nine months ended September 24, 2020 and September 26, 2019, respectively, excluded from the calculation as they were anti-dilutive. The Company’s non-vested (restricted) shares do not meet the definition of a participating security as the dividends will not be paid if the shares do not vest.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INTANGIBLE ASSETS</w:t>
      </w:r>
    </w:p>
    <w:p>
      <w:pPr>
        <w:spacing w:after="0" w:line="121" w:lineRule="exact"/>
        <w:rPr>
          <w:sz w:val="20"/>
          <w:szCs w:val="20"/>
          <w:color w:val="auto"/>
        </w:rPr>
      </w:pPr>
    </w:p>
    <w:p>
      <w:pPr>
        <w:ind w:right="20" w:firstLine="526"/>
        <w:spacing w:after="0" w:line="252" w:lineRule="auto"/>
        <w:rPr>
          <w:sz w:val="20"/>
          <w:szCs w:val="20"/>
          <w:color w:val="auto"/>
        </w:rPr>
      </w:pPr>
      <w:r>
        <w:rPr>
          <w:rFonts w:ascii="Times New Roman" w:cs="Times New Roman" w:eastAsia="Times New Roman" w:hAnsi="Times New Roman"/>
          <w:sz w:val="18"/>
          <w:szCs w:val="18"/>
          <w:color w:val="auto"/>
        </w:rPr>
        <w:t xml:space="preserve">Intangible assets consist of contractual rights to provide the Company’s services within the theaters of the founding members and network affiliates and are stated at cost, net of accumulated amortization. The Company’s intangible assets with its founding members are recorded at fair market value of NCM, Inc.’s publicly traded stock as of the date on which the common membership units were issued. The NCM LLC common membership units are fully convertible into NCM, Inc.’s common stock. In addition, the Company records intangible assets for up-front fees paid to network affiliates upon commencement of a network affiliate agreement. The Company’s intangible assets have a finite useful life and the Company amortizes the assets over the remaining useful life corresponding with the ESAs or the term of the network affiliate agreement. The Company determined that recent adverse changes in macroeconomic trends, reduced cash flows as a consequence of the temporary closure of the theaters within the Company's network in response to the outbreak of the COVID-19 Pandemic, a decline in the fair value of NCM LLC’s debt and the further sustained decline in the market price of NCM, Inc.'s common stock as of September 24, 2020 constituted a triggering event for its intangible assets under </w:t>
      </w:r>
      <w:r>
        <w:rPr>
          <w:rFonts w:ascii="Times New Roman" w:cs="Times New Roman" w:eastAsia="Times New Roman" w:hAnsi="Times New Roman"/>
          <w:sz w:val="18"/>
          <w:szCs w:val="18"/>
          <w:i w:val="1"/>
          <w:iCs w:val="1"/>
          <w:color w:val="auto"/>
        </w:rPr>
        <w:t>Accounting Standards Certification No. 360,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Impairment and Disposal of Long-Lived Assets. </w:t>
      </w:r>
      <w:r>
        <w:rPr>
          <w:rFonts w:ascii="Times New Roman" w:cs="Times New Roman" w:eastAsia="Times New Roman" w:hAnsi="Times New Roman"/>
          <w:sz w:val="18"/>
          <w:szCs w:val="18"/>
          <w:color w:val="auto"/>
        </w:rPr>
        <w:t>Management considered possible scenarios in a probability-weighted estimated future undiscounted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flow analysis, including the potential of further delays in major motion picture releases, a recurrence of the temporary theater closures and other potential adverse impacts to NCM LLC's founding members' and affiliates' financial liquidity related to the COVID-19 Pandemic. The estimated future cash flows from the affiliate agreements and ESAs calculated within the probability-weighted analyses were in excess of the net book value of these intangible assets and no impairment charges were recorded for the three and nine months ended September 24, 2020. Such analysis required management to make estimates and assumptions based on historical data and consideration of future market conditions. Given the uncertainty inherent in any projection, heightened by the possibility of unforeseen additional effects of the COVID-19 Pandemic, including potential adverse impacts to NCM LLC's founding members' and affiliates' financial liquidity, actual results may differ from the estimates and assumptions used, or conditions may change, which could result in impairment charges in the future.</w:t>
      </w:r>
    </w:p>
    <w:p>
      <w:pPr>
        <w:spacing w:after="0" w:line="134" w:lineRule="exact"/>
        <w:rPr>
          <w:sz w:val="20"/>
          <w:szCs w:val="20"/>
          <w:color w:val="auto"/>
        </w:rPr>
      </w:pPr>
    </w:p>
    <w:p>
      <w:pPr>
        <w:ind w:right="120" w:firstLine="52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Common Unit Adjustments</w:t>
      </w:r>
      <w:r>
        <w:rPr>
          <w:rFonts w:ascii="Times New Roman" w:cs="Times New Roman" w:eastAsia="Times New Roman" w:hAnsi="Times New Roman"/>
          <w:sz w:val="18"/>
          <w:szCs w:val="18"/>
          <w:color w:val="auto"/>
        </w:rPr>
        <w:t>—In accordance with NCM LLC’s Common Unit Adjustment Agreement with its founding members, on an annual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basis NCM LLC determines the amount of common membership units to be issued to or returned by the founding members based on theater additions or dispositions during the previous year. In addition, NCM LLC’s Common Unit Adjustment Agreement requires that a Common Unit Adjustment occur for a specific founding member if its acquisition or disposition of theaters, in a single transaction or cumulatively since the most recent Common Unit Adjustment, results in an attendance increase or decrease in excess of two percent of the annual total attendance at the prior adjustment date.</w:t>
      </w:r>
    </w:p>
    <w:p>
      <w:pPr>
        <w:spacing w:after="0" w:line="129" w:lineRule="exact"/>
        <w:rPr>
          <w:sz w:val="20"/>
          <w:szCs w:val="20"/>
          <w:color w:val="auto"/>
        </w:rPr>
      </w:pPr>
    </w:p>
    <w:p>
      <w:pPr>
        <w:ind w:right="100" w:firstLine="526"/>
        <w:spacing w:after="0" w:line="282" w:lineRule="auto"/>
        <w:rPr>
          <w:sz w:val="20"/>
          <w:szCs w:val="20"/>
          <w:color w:val="auto"/>
        </w:rPr>
      </w:pPr>
      <w:r>
        <w:rPr>
          <w:rFonts w:ascii="Times New Roman" w:cs="Times New Roman" w:eastAsia="Times New Roman" w:hAnsi="Times New Roman"/>
          <w:sz w:val="18"/>
          <w:szCs w:val="18"/>
          <w:color w:val="auto"/>
        </w:rPr>
        <w:t>During the first quarter of 2020, NCM LLC issued 3,022,959 common membership units to its founding members for the rights to exclusive access to the theater screens and attendees added, net of dispositions by the founding members to NCM</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ind w:left="340" w:right="266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LLC’s network during the 2019 fiscal year and NCM LLC recorded a net intangible asset of $10.5 million during the first quarter of 2020 as a result of the Common Unit Adjustment.</w:t>
      </w:r>
    </w:p>
    <w:p>
      <w:pPr>
        <w:spacing w:after="0" w:line="108" w:lineRule="exact"/>
        <w:rPr>
          <w:sz w:val="20"/>
          <w:szCs w:val="20"/>
          <w:color w:val="auto"/>
        </w:rPr>
      </w:pPr>
    </w:p>
    <w:p>
      <w:pPr>
        <w:jc w:val="both"/>
        <w:ind w:firstLine="526"/>
        <w:spacing w:after="0" w:line="266" w:lineRule="auto"/>
        <w:rPr>
          <w:sz w:val="20"/>
          <w:szCs w:val="20"/>
          <w:color w:val="auto"/>
        </w:rPr>
      </w:pPr>
      <w:r>
        <w:rPr>
          <w:rFonts w:ascii="Times New Roman" w:cs="Times New Roman" w:eastAsia="Times New Roman" w:hAnsi="Times New Roman"/>
          <w:sz w:val="18"/>
          <w:szCs w:val="18"/>
          <w:color w:val="auto"/>
        </w:rPr>
        <w:t>During the first quarter of 2019, NCM LLC issued 1,044,665 common membership units to its founding members for the rights to exclusive access to the theater screens and attendees added, net of dispositions by the founding members to NCM LLC’s network during the 2018 fiscal year and NCM LLC recorded a net intangible asset of $7.6 million during the first quarter of 2019 as a result of the Common Unit Adjustment.</w:t>
      </w:r>
    </w:p>
    <w:p>
      <w:pPr>
        <w:spacing w:after="0" w:line="118" w:lineRule="exact"/>
        <w:rPr>
          <w:sz w:val="20"/>
          <w:szCs w:val="20"/>
          <w:color w:val="auto"/>
        </w:rPr>
      </w:pPr>
    </w:p>
    <w:p>
      <w:pPr>
        <w:ind w:firstLine="526"/>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Integration Payments and Other Encumbered Theater Payments</w:t>
      </w:r>
      <w:r>
        <w:rPr>
          <w:rFonts w:ascii="Times New Roman" w:cs="Times New Roman" w:eastAsia="Times New Roman" w:hAnsi="Times New Roman"/>
          <w:sz w:val="18"/>
          <w:szCs w:val="18"/>
          <w:color w:val="auto"/>
        </w:rPr>
        <w:t>—If an existing on-screen advertising agreement with an alternative provider is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place with respect to any acquired theaters (“encumbered theaters”), the founding members may elect to receive common membership units related to those encumbered theaters in connection with the Common Unit Adjustment. If the founding members make this election, then they are required to make payments on a quarterly basis in arrears in accordance with certain run-out provisions pursuant to the ESAs (“integration payments”). Because the Carmike Cinemas, Inc. (“Carmike”) theaters acquired by AMC are subject to an existing on-screen advertising agreement with an alternative provider, AMC will make integration payments to NCM LLC. The integration payments will continue until the earlier of (i) the date the theaters are transferred to NCM LLC’s network or (ii) the expiration of the ESA. In 2019, AMC and Cinemark also made integration payments to NCM LLC related to their respective acquisitions of theaters from Rave Cinemas. The advertising agreements with an alternative provider for these theaters ended during 2019 and the theaters were transferred to our network. Integration payments are no longer due related to these theaters. Integration payments are calculated based upon the advertising cash flow that the Company would have generated if it had exclusive access to sell advertising in the theaters with pre-existing advertising agreements. The ESAs additionally entitle NCM LLC to payments related to the founding members’ on-screen advertising commitments under their beverage concessionaire agreements for encumbered theaters. These payments are also accounted for as a reduction to the intangible assets. During the three months ended September 24, 2020 and September 26, 2019 and nine months ended September 24, 2020 and September 26, 2019, the Company recorded a reduction to net intangible assets of $0.0 million, $5.6 million, $1.4 million and $13.7 million, respectively, related to integration and other encumbered theater payments. No integrations payments were earned for the three and nine months ended September 24, 2020 because the Company generated negative Adjusted Operating Income Before Depreciation and Amortization (“Adjusted OIBDA”) during these periods. During the three months ended September 24, 2020 and September 26, 2019 and nine months ended September 24, 2020 and September 26, 2019, AMC and Cinemark paid a total of $0.0 million, $5.7 million, $9.7 million and $16.3 million respectively, in integration and other encumbered theater payments (as payments are made one quarter and one month in arrears, respectively). The payments received during the three and nine months ended September 24, 2020 primarily relate to AMC's acquisition of theaters from Carmike. The payments received during the three and nine months ended September 26, 2019 relate to AMC's acquisitions of theaters from Carmike and Rave Cinemas and from Cinemark related primarily to its acquisition of theaters from Rave Cinemas. If common membership units are issued to a founding member for newly acquired theaters that are subject to an existing on-screen advertising agreement with an alternative provider, the amortization of the intangible asset commences after the existing agreement expires and NCM LLC can utilize the theaters for all of its services.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5" w:name="page16"/>
    <w:bookmarkEnd w:id="15"/>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RELATED PARTY TRANSACTIONS</w:t>
      </w:r>
    </w:p>
    <w:p>
      <w:pPr>
        <w:spacing w:after="0" w:line="117" w:lineRule="exact"/>
        <w:rPr>
          <w:sz w:val="20"/>
          <w:szCs w:val="20"/>
          <w:color w:val="auto"/>
        </w:rPr>
      </w:pPr>
    </w:p>
    <w:p>
      <w:pPr>
        <w:ind w:right="80" w:firstLine="52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Founding Member Transactions</w:t>
      </w:r>
      <w:r>
        <w:rPr>
          <w:rFonts w:ascii="Times New Roman" w:cs="Times New Roman" w:eastAsia="Times New Roman" w:hAnsi="Times New Roman"/>
          <w:sz w:val="18"/>
          <w:szCs w:val="18"/>
          <w:color w:val="auto"/>
        </w:rPr>
        <w:t>—In connection with NCM, Inc.’s initial public offering (“IPO”), the Company entered into several agreements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define and regulate the relationships among NCM, Inc., NCM LLC and the founding members which are outlined below. As AMC owns less than 5% of NCM LLC as of September 24, 2020, AMC is no longer a related party. AMC remains a party to the ESA, Common Unit Adjustment Agreement, Tax Receivable Agreement (“TRA”) and certain other original agreements and is a member under the terms of the NCM LLC Operating Agreement, subject to fulfilling the requirements of Section 3.1 of the NCM LLC Operating Agreement. AMC will continue to participate in the annual Common Unit Adjustment and receive available cash distributions or allocation of earnings and losses in NCM LLC (as long as its ownership is greater than zero), TRA payments and theater access fees. Further, AMC will continue to pay beverage revenue, among other things. AMC's ownership percentage does not impact future integration payments and other encumbered theater payments owed to NCM LLC by AMC.</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material agreements with the founding members are as follows:</w:t>
      </w:r>
    </w:p>
    <w:p>
      <w:pPr>
        <w:spacing w:after="0" w:line="167" w:lineRule="exact"/>
        <w:rPr>
          <w:sz w:val="20"/>
          <w:szCs w:val="20"/>
          <w:color w:val="auto"/>
        </w:rPr>
      </w:pPr>
    </w:p>
    <w:p>
      <w:pPr>
        <w:ind w:left="1100" w:hanging="323"/>
        <w:spacing w:after="0" w:line="253" w:lineRule="auto"/>
        <w:tabs>
          <w:tab w:leader="none" w:pos="10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ESAs. </w:t>
      </w:r>
      <w:r>
        <w:rPr>
          <w:rFonts w:ascii="Times New Roman" w:cs="Times New Roman" w:eastAsia="Times New Roman" w:hAnsi="Times New Roman"/>
          <w:sz w:val="18"/>
          <w:szCs w:val="18"/>
          <w:color w:val="auto"/>
        </w:rPr>
        <w:t>Under the ESAs, NCM LLC is the exclusive provider within the United States of advertising services in the founding members’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theaters (subject to pre-existing contractual obligations and other limited exceptions for the benefit of the founding members). The advertising services include the use of the digital content network (“DCN”) equipment required to deliver the on-screen advertising and other content included in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use of the LEN and rights to sell and display certain lobby promotions. Further, 30 seconds to 60 seconds of advertising included in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is sold to NCM LLC’s founding members to satisfy the founding members’ on-screen advertising commitments under their beverage concessionaire agreements. In consideration for access to the founding members’ theaters, theater patrons, the network equipment required to display on-screen and LEN video advertising and the use of theaters for lobby promotions, the founding members receive a monthly theater access fee. In conjunction with the 2019 ESA Amendments, NCM LLC agreed to pay Cinemark and Regal incremental monthly theater access fees and, subject to NCM LLC's use of specified inventory, a revenue share in consideration for NCM LLC's access to certain on-screen advertising inventory after the advertised showtime of a feature film beginning November 1, 2019 and the underlying term of the ESAs were extended until 2041. The ESAs and 2019 ESA Amendments with Cinemark and Regal are considered leases with related parties under ASC 842.</w:t>
      </w:r>
    </w:p>
    <w:p>
      <w:pPr>
        <w:spacing w:after="0" w:line="135" w:lineRule="exact"/>
        <w:rPr>
          <w:rFonts w:ascii="Times New Roman" w:cs="Times New Roman" w:eastAsia="Times New Roman" w:hAnsi="Times New Roman"/>
          <w:sz w:val="18"/>
          <w:szCs w:val="18"/>
          <w:color w:val="auto"/>
        </w:rPr>
      </w:pPr>
    </w:p>
    <w:p>
      <w:pPr>
        <w:ind w:left="1100" w:right="60" w:hanging="323"/>
        <w:spacing w:after="0" w:line="268" w:lineRule="auto"/>
        <w:tabs>
          <w:tab w:leader="none" w:pos="10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Common Unit Adjustment Agreement. </w:t>
      </w:r>
      <w:r>
        <w:rPr>
          <w:rFonts w:ascii="Times New Roman" w:cs="Times New Roman" w:eastAsia="Times New Roman" w:hAnsi="Times New Roman"/>
          <w:sz w:val="18"/>
          <w:szCs w:val="18"/>
          <w:color w:val="auto"/>
        </w:rPr>
        <w:t>The Common Unit Adjustment Agreement provides a mechanism for increasing or decreasing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membership units held by the founding members based on the acquisition or construction of new theaters or sale or closure of theaters that are operated by each founding member and included in NCM LLC’s network.</w:t>
      </w:r>
    </w:p>
    <w:p>
      <w:pPr>
        <w:spacing w:after="0" w:line="116" w:lineRule="exact"/>
        <w:rPr>
          <w:rFonts w:ascii="Times New Roman" w:cs="Times New Roman" w:eastAsia="Times New Roman" w:hAnsi="Times New Roman"/>
          <w:sz w:val="18"/>
          <w:szCs w:val="18"/>
          <w:color w:val="auto"/>
        </w:rPr>
      </w:pPr>
    </w:p>
    <w:p>
      <w:pPr>
        <w:ind w:left="1100" w:right="100" w:hanging="323"/>
        <w:spacing w:after="0" w:line="268" w:lineRule="auto"/>
        <w:tabs>
          <w:tab w:leader="none" w:pos="10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Tax Receivable Agreement. </w:t>
      </w:r>
      <w:r>
        <w:rPr>
          <w:rFonts w:ascii="Times New Roman" w:cs="Times New Roman" w:eastAsia="Times New Roman" w:hAnsi="Times New Roman"/>
          <w:sz w:val="18"/>
          <w:szCs w:val="18"/>
          <w:color w:val="auto"/>
        </w:rPr>
        <w:t>The TRA provides for the effective payment by NCM, Inc. to the founding members of 90% of the amount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savings, if any, in U.S. federal, state and local income tax or franchise tax that is actually realized as a result of certain increases in NCM, Inc.’s proportionate share of tax basis in NCM LLC’s tangible and intangible assets resulting from the IPO and related transactions.</w:t>
      </w:r>
    </w:p>
    <w:p>
      <w:pPr>
        <w:spacing w:after="0" w:line="116" w:lineRule="exact"/>
        <w:rPr>
          <w:rFonts w:ascii="Times New Roman" w:cs="Times New Roman" w:eastAsia="Times New Roman" w:hAnsi="Times New Roman"/>
          <w:sz w:val="18"/>
          <w:szCs w:val="18"/>
          <w:color w:val="auto"/>
        </w:rPr>
      </w:pPr>
    </w:p>
    <w:p>
      <w:pPr>
        <w:ind w:left="1100" w:right="100" w:hanging="323"/>
        <w:spacing w:after="0" w:line="282" w:lineRule="auto"/>
        <w:tabs>
          <w:tab w:leader="none" w:pos="109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Software License Agreement. </w:t>
      </w:r>
      <w:r>
        <w:rPr>
          <w:rFonts w:ascii="Times New Roman" w:cs="Times New Roman" w:eastAsia="Times New Roman" w:hAnsi="Times New Roman"/>
          <w:sz w:val="17"/>
          <w:szCs w:val="17"/>
          <w:color w:val="auto"/>
        </w:rPr>
        <w:t>At the date of the Company’s IPO, NCM LLC was granted a perpetual, royalty-free license from NCM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LLC’s founding members to use certain proprietary software that existed at the time for the delivery of digital advertising and other content through the DCN to screens in the U.S. NCM LLC has made improvements to this software since the IPO date and NCM LLC owns those improvements, except for improvements that were developed jointly by NCM LLC and NCM LLC’s founding members, if any.</w:t>
      </w:r>
    </w:p>
    <w:p>
      <w:pPr>
        <w:spacing w:after="0" w:line="1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tables provide summaries of the transactions between the Company and the founding members (in millions):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238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34"/>
        </w:trPr>
        <w:tc>
          <w:tcPr>
            <w:tcW w:w="606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Included in the unaudited Condensed Consolidated Statements of Income:</w:t>
            </w: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September 24,</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5"/>
              <w:spacing w:after="0" w:line="134"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rPr>
              <w:t>September 24,</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5"/>
              <w:spacing w:after="0" w:line="134"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0" w:type="dxa"/>
            <w:vAlign w:val="bottom"/>
          </w:tcPr>
          <w:p>
            <w:pPr>
              <w:spacing w:after="0"/>
              <w:rPr>
                <w:sz w:val="1"/>
                <w:szCs w:val="1"/>
                <w:color w:val="auto"/>
              </w:rPr>
            </w:pPr>
          </w:p>
        </w:tc>
      </w:tr>
      <w:tr>
        <w:trPr>
          <w:trHeight w:val="189"/>
        </w:trPr>
        <w:tc>
          <w:tcPr>
            <w:tcW w:w="6060" w:type="dxa"/>
            <w:vAlign w:val="bottom"/>
            <w:tcBorders>
              <w:bottom w:val="single" w:sz="8" w:color="CCEEFF"/>
            </w:tcBorders>
            <w:gridSpan w:val="5"/>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69"/>
        </w:trPr>
        <w:tc>
          <w:tcPr>
            <w:tcW w:w="6060" w:type="dxa"/>
            <w:vAlign w:val="bottom"/>
            <w:gridSpan w:val="5"/>
            <w:shd w:val="clear" w:color="auto" w:fill="CCEEFF"/>
          </w:tcPr>
          <w:p>
            <w:pPr>
              <w:ind w:left="220"/>
              <w:spacing w:after="0" w:line="169" w:lineRule="exact"/>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20" w:type="dxa"/>
            <w:vAlign w:val="bottom"/>
          </w:tcPr>
          <w:p>
            <w:pPr>
              <w:spacing w:after="0"/>
              <w:rPr>
                <w:sz w:val="19"/>
                <w:szCs w:val="19"/>
                <w:color w:val="auto"/>
              </w:rPr>
            </w:pPr>
          </w:p>
        </w:tc>
        <w:tc>
          <w:tcPr>
            <w:tcW w:w="58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xml:space="preserve">Beverage concessionaire revenue (included in advertising revenue) </w:t>
            </w:r>
            <w:r>
              <w:rPr>
                <w:rFonts w:ascii="Times New Roman" w:cs="Times New Roman" w:eastAsia="Times New Roman" w:hAnsi="Times New Roman"/>
                <w:sz w:val="18"/>
                <w:szCs w:val="18"/>
                <w:i w:val="1"/>
                <w:iCs w:val="1"/>
                <w:color w:val="auto"/>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189"/>
        </w:trPr>
        <w:tc>
          <w:tcPr>
            <w:tcW w:w="6060" w:type="dxa"/>
            <w:vAlign w:val="bottom"/>
            <w:gridSpan w:val="5"/>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20" w:type="dxa"/>
            <w:vAlign w:val="bottom"/>
          </w:tcPr>
          <w:p>
            <w:pPr>
              <w:spacing w:after="0"/>
              <w:rPr>
                <w:sz w:val="19"/>
                <w:szCs w:val="19"/>
                <w:color w:val="auto"/>
              </w:rPr>
            </w:pPr>
          </w:p>
        </w:tc>
        <w:tc>
          <w:tcPr>
            <w:tcW w:w="58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xml:space="preserve">Theater access fee and revenue share to founding members </w:t>
            </w:r>
            <w:r>
              <w:rPr>
                <w:rFonts w:ascii="Times New Roman" w:cs="Times New Roman" w:eastAsia="Times New Roman" w:hAnsi="Times New Roman"/>
                <w:sz w:val="18"/>
                <w:szCs w:val="18"/>
                <w:i w:val="1"/>
                <w:iCs w:val="1"/>
                <w:color w:val="auto"/>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29"/>
        </w:trPr>
        <w:tc>
          <w:tcPr>
            <w:tcW w:w="220" w:type="dxa"/>
            <w:vAlign w:val="bottom"/>
            <w:shd w:val="clear" w:color="auto" w:fill="CCEEFF"/>
          </w:tcPr>
          <w:p>
            <w:pPr>
              <w:spacing w:after="0"/>
              <w:rPr>
                <w:sz w:val="19"/>
                <w:szCs w:val="19"/>
                <w:color w:val="auto"/>
              </w:rPr>
            </w:pPr>
          </w:p>
        </w:tc>
        <w:tc>
          <w:tcPr>
            <w:tcW w:w="584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Selling and marketing costs </w:t>
            </w:r>
            <w:r>
              <w:rPr>
                <w:rFonts w:ascii="Times New Roman" w:cs="Times New Roman" w:eastAsia="Times New Roman" w:hAnsi="Times New Roman"/>
                <w:sz w:val="18"/>
                <w:szCs w:val="18"/>
                <w:i w:val="1"/>
                <w:iCs w:val="1"/>
                <w:color w:val="auto"/>
              </w:rPr>
              <w:t>(3)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58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xml:space="preserve">Advertising operating costs </w:t>
            </w:r>
            <w:r>
              <w:rPr>
                <w:rFonts w:ascii="Times New Roman" w:cs="Times New Roman" w:eastAsia="Times New Roman" w:hAnsi="Times New Roman"/>
                <w:sz w:val="18"/>
                <w:szCs w:val="18"/>
                <w:i w:val="1"/>
                <w:iCs w:val="1"/>
                <w:color w:val="auto"/>
              </w:rPr>
              <w:t>(3)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189"/>
        </w:trPr>
        <w:tc>
          <w:tcPr>
            <w:tcW w:w="6060" w:type="dxa"/>
            <w:vAlign w:val="bottom"/>
            <w:gridSpan w:val="5"/>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Non-operating expenses:</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40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20" w:type="dxa"/>
            <w:vAlign w:val="bottom"/>
          </w:tcPr>
          <w:p>
            <w:pPr>
              <w:spacing w:after="0"/>
              <w:rPr>
                <w:sz w:val="15"/>
                <w:szCs w:val="15"/>
                <w:color w:val="auto"/>
              </w:rPr>
            </w:pPr>
          </w:p>
        </w:tc>
        <w:tc>
          <w:tcPr>
            <w:tcW w:w="5840" w:type="dxa"/>
            <w:vAlign w:val="bottom"/>
            <w:gridSpan w:val="4"/>
          </w:tcPr>
          <w:p>
            <w:pPr>
              <w:ind w:left="180"/>
              <w:spacing w:after="0" w:line="176" w:lineRule="exact"/>
              <w:rPr>
                <w:sz w:val="20"/>
                <w:szCs w:val="20"/>
                <w:color w:val="auto"/>
              </w:rPr>
            </w:pPr>
            <w:r>
              <w:rPr>
                <w:rFonts w:ascii="Times New Roman" w:cs="Times New Roman" w:eastAsia="Times New Roman" w:hAnsi="Times New Roman"/>
                <w:sz w:val="18"/>
                <w:szCs w:val="18"/>
                <w:color w:val="auto"/>
              </w:rPr>
              <w:t>Interest income from notes receivable (included in interest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6"/>
        </w:trPr>
        <w:tc>
          <w:tcPr>
            <w:tcW w:w="220" w:type="dxa"/>
            <w:vAlign w:val="bottom"/>
          </w:tcPr>
          <w:p>
            <w:pPr>
              <w:spacing w:after="0"/>
              <w:rPr>
                <w:sz w:val="20"/>
                <w:szCs w:val="20"/>
                <w:color w:val="auto"/>
              </w:rPr>
            </w:pPr>
          </w:p>
        </w:tc>
        <w:tc>
          <w:tcPr>
            <w:tcW w:w="584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 xml:space="preserve">income) </w:t>
            </w:r>
            <w:r>
              <w:rPr>
                <w:rFonts w:ascii="Times New Roman" w:cs="Times New Roman" w:eastAsia="Times New Roman" w:hAnsi="Times New Roman"/>
                <w:sz w:val="18"/>
                <w:szCs w:val="18"/>
                <w:i w:val="1"/>
                <w:iCs w:val="1"/>
                <w:color w:val="auto"/>
              </w:rPr>
              <w:t>(4)</w:t>
            </w:r>
          </w:p>
        </w:tc>
        <w:tc>
          <w:tcPr>
            <w:tcW w:w="140" w:type="dxa"/>
            <w:vAlign w:val="bottom"/>
            <w:vMerge w:val="continue"/>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171" w:lineRule="exact"/>
        <w:rPr>
          <w:sz w:val="20"/>
          <w:szCs w:val="20"/>
          <w:color w:val="auto"/>
        </w:rPr>
      </w:pPr>
    </w:p>
    <w:p>
      <w:pPr>
        <w:jc w:val="both"/>
        <w:ind w:left="340" w:right="20" w:hanging="332"/>
        <w:spacing w:after="0" w:line="255" w:lineRule="auto"/>
        <w:tabs>
          <w:tab w:leader="none" w:pos="334"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For the three and nine months ended September 24, 2020 and September 26, 2019, Cinemark and Regal purchased 60 seconds of on-screen advertising time from NCM LLC to satisfy their obligations under their beverage concessionaire agreements at a 30 seconds equivalent CPM rate specified by the ESA. No beverage revenue was generated for the period of time that the theaters within NCM LLC's network were temporarily closed as there were no attendees upon which beverage revenue is generated.</w:t>
      </w:r>
    </w:p>
    <w:p>
      <w:pPr>
        <w:spacing w:after="0" w:line="2" w:lineRule="exact"/>
        <w:rPr>
          <w:rFonts w:ascii="Times New Roman" w:cs="Times New Roman" w:eastAsia="Times New Roman" w:hAnsi="Times New Roman"/>
          <w:sz w:val="18"/>
          <w:szCs w:val="18"/>
          <w:i w:val="1"/>
          <w:iCs w:val="1"/>
          <w:color w:val="auto"/>
        </w:rPr>
      </w:pPr>
    </w:p>
    <w:p>
      <w:pPr>
        <w:ind w:left="340" w:right="120" w:hanging="332"/>
        <w:spacing w:after="0" w:line="250" w:lineRule="auto"/>
        <w:tabs>
          <w:tab w:leader="none" w:pos="334"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Comprised of payments per theater attendee, payments per digital screen with respect to the founding member theaters included in the Company’s network and payments for access to higher quality digital cinema equipment. Following the 2019 ESA Amendments in September of 2019 this also includes payments to Cinemark and Regal for their share of the revenue from the sale of an additional single unit that is either 30 or 60 seconds of the </w:t>
      </w:r>
      <w:r>
        <w:rPr>
          <w:rFonts w:ascii="Times New Roman" w:cs="Times New Roman" w:eastAsia="Times New Roman" w:hAnsi="Times New Roman"/>
          <w:sz w:val="18"/>
          <w:szCs w:val="18"/>
          <w:i w:val="1"/>
          <w:iCs w:val="1"/>
          <w:color w:val="auto"/>
        </w:rPr>
        <w:t xml:space="preserve">Noovie </w:t>
      </w:r>
      <w:r>
        <w:rPr>
          <w:rFonts w:ascii="Times New Roman" w:cs="Times New Roman" w:eastAsia="Times New Roman" w:hAnsi="Times New Roman"/>
          <w:sz w:val="18"/>
          <w:szCs w:val="18"/>
          <w:color w:val="auto"/>
        </w:rPr>
        <w:t>pre-show in the trailer position directly prior to the “attached” trailers preceding the feature film (the “Platinum Spot”). There was no theater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 fee or revenue share expense for the period of time that the theaters within NCM LLC's network were temporarily closed.</w:t>
      </w:r>
    </w:p>
    <w:p>
      <w:pPr>
        <w:spacing w:after="0" w:line="1" w:lineRule="exact"/>
        <w:rPr>
          <w:rFonts w:ascii="Times New Roman" w:cs="Times New Roman" w:eastAsia="Times New Roman" w:hAnsi="Times New Roman"/>
          <w:sz w:val="18"/>
          <w:szCs w:val="18"/>
          <w:i w:val="1"/>
          <w:iCs w:val="1"/>
          <w:color w:val="auto"/>
        </w:rPr>
      </w:pPr>
    </w:p>
    <w:p>
      <w:pPr>
        <w:ind w:left="340" w:right="240" w:hanging="332"/>
        <w:spacing w:after="0" w:line="235" w:lineRule="auto"/>
        <w:tabs>
          <w:tab w:leader="none" w:pos="334"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Includes purchase of movie tickets, concession products, rental of theater space primarily for marketing to NCM LLC’s advertising clients and other payments made to the founding members in the ordinary course of business.</w:t>
      </w:r>
    </w:p>
    <w:p>
      <w:pPr>
        <w:spacing w:after="0" w:line="1" w:lineRule="exact"/>
        <w:rPr>
          <w:rFonts w:ascii="Times New Roman" w:cs="Times New Roman" w:eastAsia="Times New Roman" w:hAnsi="Times New Roman"/>
          <w:sz w:val="18"/>
          <w:szCs w:val="18"/>
          <w:i w:val="1"/>
          <w:iCs w:val="1"/>
          <w:color w:val="auto"/>
        </w:rPr>
      </w:pPr>
    </w:p>
    <w:p>
      <w:pPr>
        <w:ind w:left="340" w:right="20" w:hanging="332"/>
        <w:spacing w:after="0" w:line="252" w:lineRule="auto"/>
        <w:tabs>
          <w:tab w:leader="none" w:pos="334"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On December 26, 2013, NCM LLC sold its Fathom Events business to a newly formed limited liability company (AC JV, LLC) owned 32% by each of the founding members and 4% by NCM LLC. In consideration for the sale, NCM LLC received a total of $25.0 million in promissory notes from its founding members (one-third or approximately $8.3 million from each founding member). The notes bear interest at a fixed rate of 5.0% per annum, compounded annually. Interest and principal payments were due annually in six equal installments commencing on the first anniversary of the closing and ended on December 26, 2019.</w:t>
      </w:r>
    </w:p>
    <w:p>
      <w:pPr>
        <w:spacing w:after="0" w:line="115" w:lineRule="exact"/>
        <w:rPr>
          <w:sz w:val="20"/>
          <w:szCs w:val="20"/>
          <w:color w:val="auto"/>
        </w:rPr>
      </w:pPr>
    </w:p>
    <w:tbl>
      <w:tblPr>
        <w:tblLayout w:type="fixed"/>
        <w:tblInd w:w="340" w:type="dxa"/>
        <w:tblCellMar>
          <w:top w:w="0" w:type="dxa"/>
          <w:left w:w="0" w:type="dxa"/>
          <w:bottom w:w="0" w:type="dxa"/>
          <w:right w:w="0" w:type="dxa"/>
        </w:tblCellMar>
      </w:tblPr>
      <w:tr>
        <w:trPr>
          <w:trHeight w:val="194"/>
        </w:trPr>
        <w:tc>
          <w:tcPr>
            <w:tcW w:w="80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Included in the unaudited Condensed Consolidated Balance Sheets:</w:t>
            </w: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24, 2020</w:t>
            </w:r>
          </w:p>
        </w:tc>
        <w:tc>
          <w:tcPr>
            <w:tcW w:w="120" w:type="dxa"/>
            <w:vAlign w:val="bottom"/>
          </w:tcPr>
          <w:p>
            <w:pPr>
              <w:spacing w:after="0"/>
              <w:rPr>
                <w:sz w:val="16"/>
                <w:szCs w:val="16"/>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December 26, 2019</w:t>
            </w:r>
          </w:p>
        </w:tc>
        <w:tc>
          <w:tcPr>
            <w:tcW w:w="0" w:type="dxa"/>
            <w:vAlign w:val="bottom"/>
          </w:tcPr>
          <w:p>
            <w:pPr>
              <w:spacing w:after="0"/>
              <w:rPr>
                <w:sz w:val="1"/>
                <w:szCs w:val="1"/>
                <w:color w:val="auto"/>
              </w:rPr>
            </w:pPr>
          </w:p>
        </w:tc>
      </w:tr>
      <w:tr>
        <w:trPr>
          <w:trHeight w:val="155"/>
        </w:trPr>
        <w:tc>
          <w:tcPr>
            <w:tcW w:w="8020" w:type="dxa"/>
            <w:vAlign w:val="bottom"/>
            <w:tcBorders>
              <w:top w:val="single" w:sz="8" w:color="CCEEFF"/>
            </w:tcBorders>
            <w:shd w:val="clear" w:color="auto" w:fill="CCEEFF"/>
          </w:tcPr>
          <w:p>
            <w:pPr>
              <w:ind w:left="260"/>
              <w:spacing w:after="0" w:line="156" w:lineRule="exact"/>
              <w:rPr>
                <w:sz w:val="20"/>
                <w:szCs w:val="20"/>
                <w:color w:val="auto"/>
              </w:rPr>
            </w:pPr>
            <w:r>
              <w:rPr>
                <w:rFonts w:ascii="Times New Roman" w:cs="Times New Roman" w:eastAsia="Times New Roman" w:hAnsi="Times New Roman"/>
                <w:sz w:val="18"/>
                <w:szCs w:val="18"/>
                <w:color w:val="auto"/>
              </w:rPr>
              <w:t>Common unit adjustments and ESA extension costs, net of amortization and integration payments</w:t>
            </w:r>
          </w:p>
        </w:tc>
        <w:tc>
          <w:tcPr>
            <w:tcW w:w="500" w:type="dxa"/>
            <w:vAlign w:val="bottom"/>
            <w:tcBorders>
              <w:top w:val="single" w:sz="8" w:color="auto"/>
            </w:tcBorders>
            <w:vMerge w:val="restart"/>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xml:space="preserve">(included in intangible assets) </w:t>
            </w:r>
            <w:r>
              <w:rPr>
                <w:rFonts w:ascii="Times New Roman" w:cs="Times New Roman" w:eastAsia="Times New Roman" w:hAnsi="Times New Roman"/>
                <w:sz w:val="18"/>
                <w:szCs w:val="18"/>
                <w:i w:val="1"/>
                <w:iCs w:val="1"/>
                <w:color w:val="auto"/>
              </w:rPr>
              <w:t>(1)</w:t>
            </w:r>
          </w:p>
        </w:tc>
        <w:tc>
          <w:tcPr>
            <w:tcW w:w="50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Current payable to founding members under tax receivable agreement </w:t>
            </w:r>
            <w:r>
              <w:rPr>
                <w:rFonts w:ascii="Times New Roman" w:cs="Times New Roman" w:eastAsia="Times New Roman" w:hAnsi="Times New Roman"/>
                <w:sz w:val="18"/>
                <w:szCs w:val="18"/>
                <w:i w:val="1"/>
                <w:iCs w:val="1"/>
                <w:color w:val="auto"/>
              </w:rPr>
              <w:t>(2)</w:t>
            </w: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Long-term payable to founding members under tax receivable agreement </w:t>
            </w:r>
            <w:r>
              <w:rPr>
                <w:rFonts w:ascii="Times New Roman" w:cs="Times New Roman" w:eastAsia="Times New Roman" w:hAnsi="Times New Roman"/>
                <w:sz w:val="18"/>
                <w:szCs w:val="18"/>
                <w:i w:val="1"/>
                <w:iCs w:val="1"/>
                <w:color w:val="auto"/>
              </w:rPr>
              <w:t>(2)</w:t>
            </w: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0" w:type="dxa"/>
            <w:vAlign w:val="bottom"/>
          </w:tcPr>
          <w:p>
            <w:pPr>
              <w:spacing w:after="0"/>
              <w:rPr>
                <w:sz w:val="1"/>
                <w:szCs w:val="1"/>
                <w:color w:val="auto"/>
              </w:rPr>
            </w:pPr>
          </w:p>
        </w:tc>
      </w:tr>
      <w:tr>
        <w:trPr>
          <w:trHeight w:val="236"/>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Other payables to founding members </w:t>
            </w:r>
            <w:r>
              <w:rPr>
                <w:rFonts w:ascii="Times New Roman" w:cs="Times New Roman" w:eastAsia="Times New Roman" w:hAnsi="Times New Roman"/>
                <w:sz w:val="18"/>
                <w:szCs w:val="18"/>
                <w:i w:val="1"/>
                <w:iCs w:val="1"/>
                <w:color w:val="auto"/>
              </w:rPr>
              <w:t>(3)</w:t>
            </w: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980" w:right="380" w:hanging="324"/>
        <w:spacing w:after="0" w:line="258" w:lineRule="auto"/>
        <w:tabs>
          <w:tab w:leader="none" w:pos="974"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Refer to Note 4—</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xml:space="preserve"> for further information on common unit adjustments and integration payments. This balance includes common unit adjustments issued to all of the founding members (including AMC) as the Company's intangible balance is considered one asset inclusive of all common unit adjustment activity.</w:t>
      </w:r>
    </w:p>
    <w:p>
      <w:pPr>
        <w:ind w:left="980" w:right="40" w:hanging="324"/>
        <w:spacing w:after="0" w:line="250" w:lineRule="auto"/>
        <w:tabs>
          <w:tab w:leader="none" w:pos="974"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 paid Cinemark and Regal $3.2 million and $5.8 million, respectively, in payments pursuant to the TRA during 2020 which was for the 2019 tax year. The Company paid Cinemark and Regal $3.7 million and $6.7 million, respectively, in payments pursuant to the TRA during 2019 which was for the 2018 tax year.</w:t>
      </w:r>
    </w:p>
    <w:p>
      <w:pPr>
        <w:spacing w:after="0" w:line="1"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Includes other payments made to the founding members in the ordinary course of business.</w:t>
      </w:r>
    </w:p>
    <w:p>
      <w:pPr>
        <w:spacing w:after="0" w:line="234" w:lineRule="exact"/>
        <w:rPr>
          <w:sz w:val="20"/>
          <w:szCs w:val="20"/>
          <w:color w:val="auto"/>
        </w:rPr>
      </w:pPr>
    </w:p>
    <w:p>
      <w:pPr>
        <w:jc w:val="both"/>
        <w:ind w:right="140" w:firstLine="526"/>
        <w:spacing w:after="0" w:line="261" w:lineRule="auto"/>
        <w:rPr>
          <w:sz w:val="20"/>
          <w:szCs w:val="20"/>
          <w:color w:val="auto"/>
        </w:rPr>
      </w:pPr>
      <w:r>
        <w:rPr>
          <w:rFonts w:ascii="Times New Roman" w:cs="Times New Roman" w:eastAsia="Times New Roman" w:hAnsi="Times New Roman"/>
          <w:sz w:val="18"/>
          <w:szCs w:val="18"/>
          <w:color w:val="auto"/>
        </w:rPr>
        <w:t>Pursuant to the terms of the NCM LLC Operating Agreement in place since the completion of the Company’s IPO, NCM LLC is required to make mandatory distributions on a proportionate basis to its members of available cash, as defined in the NCM LLC Operating Agreement, on a quarterly basis in arrears. Mandatory distributions of available cash for the three and nine months ended September 24, 2020 and September 26, 2019 were as follows (in millions):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80" w:type="dxa"/>
            <w:vAlign w:val="bottom"/>
            <w:tcBorders>
              <w:bottom w:val="single" w:sz="8" w:color="auto"/>
            </w:tcBorders>
          </w:tcPr>
          <w:p>
            <w:pPr>
              <w:spacing w:after="0"/>
              <w:rPr>
                <w:sz w:val="16"/>
                <w:szCs w:val="16"/>
                <w:color w:val="auto"/>
              </w:rPr>
            </w:pPr>
          </w:p>
        </w:tc>
      </w:tr>
      <w:tr>
        <w:trPr>
          <w:trHeight w:val="187"/>
        </w:trPr>
        <w:tc>
          <w:tcPr>
            <w:tcW w:w="5600" w:type="dxa"/>
            <w:vAlign w:val="bottom"/>
          </w:tcPr>
          <w:p>
            <w:pPr>
              <w:spacing w:after="0"/>
              <w:rPr>
                <w:sz w:val="16"/>
                <w:szCs w:val="16"/>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24, 2020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26, 2019</w:t>
            </w:r>
          </w:p>
        </w:tc>
        <w:tc>
          <w:tcPr>
            <w:tcW w:w="100" w:type="dxa"/>
            <w:vAlign w:val="bottom"/>
          </w:tcPr>
          <w:p>
            <w:pPr>
              <w:spacing w:after="0"/>
              <w:rPr>
                <w:sz w:val="16"/>
                <w:szCs w:val="16"/>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24, 2020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26, 2019</w:t>
            </w:r>
          </w:p>
        </w:tc>
      </w:tr>
      <w:tr>
        <w:trPr>
          <w:trHeight w:val="223"/>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Cinemark</w:t>
            </w:r>
          </w:p>
        </w:tc>
        <w:tc>
          <w:tcPr>
            <w:tcW w:w="42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Regal</w:t>
            </w:r>
          </w:p>
        </w:tc>
        <w:tc>
          <w:tcPr>
            <w:tcW w:w="42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23"/>
        </w:trPr>
        <w:tc>
          <w:tcPr>
            <w:tcW w:w="56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distributions to related parties</w:t>
            </w:r>
          </w:p>
        </w:tc>
        <w:tc>
          <w:tcPr>
            <w:tcW w:w="4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NCM, Inc.</w:t>
            </w:r>
          </w:p>
        </w:tc>
        <w:tc>
          <w:tcPr>
            <w:tcW w:w="42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48"/>
        </w:trPr>
        <w:tc>
          <w:tcPr>
            <w:tcW w:w="560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firstLine="567"/>
        <w:spacing w:after="0" w:line="254" w:lineRule="auto"/>
        <w:rPr>
          <w:sz w:val="20"/>
          <w:szCs w:val="20"/>
          <w:color w:val="auto"/>
        </w:rPr>
      </w:pPr>
      <w:r>
        <w:rPr>
          <w:rFonts w:ascii="Times New Roman" w:cs="Times New Roman" w:eastAsia="Times New Roman" w:hAnsi="Times New Roman"/>
          <w:sz w:val="18"/>
          <w:szCs w:val="18"/>
          <w:color w:val="auto"/>
        </w:rPr>
        <w:t xml:space="preserve">Due to the temporary closure of the theaters within NCM LLC's network during a portion of the three months ended September 24, 2020, the mandatory distributions of available cash by NCM LLC to its related party founding members and NCM, Inc. for the three months ended September 24, 2020 were calculated as negative $24.3 million (including negative $6.1 million for Cinemark, negative $6.4 million for Regal and negative $11.8 million for NCM, Inc.). Therefore, there will be no payment made for the third quarter of 2020. The mandatory distributions of available cash by NCM LLC for the three months ended June 25, 2020 and the three months ended September 24, 2020 were calculated as negative $54.1 million (including negative $13.7 million for Cinemark, negative $14.2 million for Regal and negative $26.2 million for NCM, Inc.). Under the terms of the NCM LLC Operating Agreement, this negative amount will be netted against the available cash distributions for the second quarter of 2021, which would be paid in the third quarter of 2021, contingent upon the Company's compliance with the covenants outlined within the Credit Agreement Amendment defined within Note 6— </w:t>
      </w:r>
      <w:r>
        <w:rPr>
          <w:rFonts w:ascii="Times New Roman" w:cs="Times New Roman" w:eastAsia="Times New Roman" w:hAnsi="Times New Roman"/>
          <w:sz w:val="18"/>
          <w:szCs w:val="18"/>
          <w:i w:val="1"/>
          <w:iCs w:val="1"/>
          <w:color w:val="auto"/>
        </w:rPr>
        <w:t xml:space="preserve">Borrowings </w:t>
      </w:r>
      <w:r>
        <w:rPr>
          <w:rFonts w:ascii="Times New Roman" w:cs="Times New Roman" w:eastAsia="Times New Roman" w:hAnsi="Times New Roman"/>
          <w:sz w:val="18"/>
          <w:szCs w:val="18"/>
          <w:color w:val="auto"/>
        </w:rPr>
        <w:t>and the Company's generation of future positive available cash to which the above negative amounts above can be applied.</w:t>
      </w:r>
    </w:p>
    <w:p>
      <w:pPr>
        <w:spacing w:after="0" w:line="13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Amounts due to related party founding members, net as of September 24, 2020 were comprised of the following (in millions):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Cinemark</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Regal</w:t>
            </w:r>
          </w:p>
        </w:tc>
        <w:tc>
          <w:tcPr>
            <w:tcW w:w="280" w:type="dxa"/>
            <w:vAlign w:val="bottom"/>
          </w:tcPr>
          <w:p>
            <w:pPr>
              <w:spacing w:after="0"/>
              <w:rPr>
                <w:sz w:val="16"/>
                <w:szCs w:val="16"/>
                <w:color w:val="auto"/>
              </w:rPr>
            </w:pPr>
          </w:p>
        </w:tc>
        <w:tc>
          <w:tcPr>
            <w:tcW w:w="98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718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Theater access fees and revenue share, net of beverage revenues and other encumbered theater</w:t>
            </w:r>
          </w:p>
        </w:tc>
        <w:tc>
          <w:tcPr>
            <w:tcW w:w="960" w:type="dxa"/>
            <w:vAlign w:val="bottom"/>
            <w:tcBorders>
              <w:top w:val="single" w:sz="8" w:color="auto"/>
            </w:tcBorders>
            <w:vMerge w:val="restart"/>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0.3</w:t>
            </w: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960" w:type="dxa"/>
            <w:vAlign w:val="bottom"/>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and other reimbursement</w:t>
            </w:r>
          </w:p>
        </w:tc>
        <w:tc>
          <w:tcPr>
            <w:tcW w:w="9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8"/>
        </w:trPr>
        <w:tc>
          <w:tcPr>
            <w:tcW w:w="71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amounts due to founding members, net</w:t>
            </w:r>
          </w:p>
        </w:tc>
        <w:tc>
          <w:tcPr>
            <w:tcW w:w="96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Amounts due to related party founding members, net as of December 26, 2019 were comprised of the following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Cinemark</w:t>
            </w:r>
          </w:p>
        </w:tc>
        <w:tc>
          <w:tcPr>
            <w:tcW w:w="280" w:type="dxa"/>
            <w:vAlign w:val="bottom"/>
          </w:tcPr>
          <w:p>
            <w:pPr>
              <w:spacing w:after="0"/>
              <w:rPr>
                <w:sz w:val="16"/>
                <w:szCs w:val="16"/>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Regal</w:t>
            </w:r>
          </w:p>
        </w:tc>
        <w:tc>
          <w:tcPr>
            <w:tcW w:w="280" w:type="dxa"/>
            <w:vAlign w:val="bottom"/>
          </w:tcPr>
          <w:p>
            <w:pPr>
              <w:spacing w:after="0"/>
              <w:rPr>
                <w:sz w:val="16"/>
                <w:szCs w:val="16"/>
                <w:color w:val="auto"/>
              </w:rPr>
            </w:pPr>
          </w:p>
        </w:tc>
        <w:tc>
          <w:tcPr>
            <w:tcW w:w="9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718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Theater access fees and revenue share, net of beverage revenues and other encumbered theater</w:t>
            </w:r>
          </w:p>
        </w:tc>
        <w:tc>
          <w:tcPr>
            <w:tcW w:w="220" w:type="dxa"/>
            <w:vAlign w:val="bottom"/>
            <w:tcBorders>
              <w:top w:val="single" w:sz="8" w:color="auto"/>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2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payable to founding members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Integration payments due from founding members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amounts due to founding members,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1"/>
        </w:trPr>
        <w:tc>
          <w:tcPr>
            <w:tcW w:w="7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right="40" w:firstLine="52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Network Affiliate Transactions</w:t>
      </w:r>
      <w:r>
        <w:rPr>
          <w:rFonts w:ascii="Times New Roman" w:cs="Times New Roman" w:eastAsia="Times New Roman" w:hAnsi="Times New Roman"/>
          <w:sz w:val="18"/>
          <w:szCs w:val="18"/>
          <w:color w:val="auto"/>
        </w:rPr>
        <w:t>—NCM LLC paid a network affiliate owned by a family member of a director on the Company's Board of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$0.1 million, $0.2 million, $0.4 million and $0.4 million, in circuit share payments during the three months ended September 24, 2020 and September 26, 2019 and nine months ended September 24, 2020 and September 26, 2019, respectively.</w:t>
      </w:r>
    </w:p>
    <w:p>
      <w:pPr>
        <w:spacing w:after="0" w:line="117" w:lineRule="exact"/>
        <w:rPr>
          <w:sz w:val="20"/>
          <w:szCs w:val="20"/>
          <w:color w:val="auto"/>
        </w:rPr>
      </w:pPr>
    </w:p>
    <w:p>
      <w:pPr>
        <w:ind w:right="120" w:firstLine="52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AC JV, LLC Transactions</w:t>
      </w:r>
      <w:r>
        <w:rPr>
          <w:rFonts w:ascii="Times New Roman" w:cs="Times New Roman" w:eastAsia="Times New Roman" w:hAnsi="Times New Roman"/>
          <w:sz w:val="18"/>
          <w:szCs w:val="18"/>
          <w:color w:val="auto"/>
        </w:rPr>
        <w:t>—In December 2013, NCM LLC sold its Fathom Events business to a newly formed limited liability company, AC JV,</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LLC, owned 32% by each of the founding members and 4% by NCM LLC. The Company accounts for its investment in AC JV, LLC under the equity method of accounting in accordance with ASC 323-30, </w:t>
      </w:r>
      <w:r>
        <w:rPr>
          <w:rFonts w:ascii="Times New Roman" w:cs="Times New Roman" w:eastAsia="Times New Roman" w:hAnsi="Times New Roman"/>
          <w:sz w:val="18"/>
          <w:szCs w:val="18"/>
          <w:i w:val="1"/>
          <w:iCs w:val="1"/>
          <w:color w:val="auto"/>
        </w:rPr>
        <w:t>Investments—Equity Method and Joint Ventures</w:t>
      </w:r>
      <w:r>
        <w:rPr>
          <w:rFonts w:ascii="Times New Roman" w:cs="Times New Roman" w:eastAsia="Times New Roman" w:hAnsi="Times New Roman"/>
          <w:sz w:val="18"/>
          <w:szCs w:val="18"/>
          <w:color w:val="auto"/>
        </w:rPr>
        <w:t xml:space="preserve"> (“ASC 323-30”) because AC JV, LLC is a limited liability company with the characteristics of a limited partnership and ASC 323-30 requires the use of equity method accounting unless the Company’s interest is so minor that it would have virtually no influence over partnership operating and financial policies. Although NCM LLC does not have a representative on AC JV, LLC’s Board of Directors or any voting, consent or blocking rights with respect to the governance or operations of AC JV, LLC, the Company concluded that its interest was more than minor under the accounting guidance. The Company’s investment in AC JV, LLC was $0.8 million and $0.9 million as of September 24, 2020 and December 26, 2019, respectively. Equity in (losses) earnings from AC JV, LLC of $(0.1) million, $0.0 million, $(0.1) million and $0.3 million for the three months ended September 24, 2020 and September 26, 2019 and nine months ended September 24, 2020 and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ind w:left="340" w:right="266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26, 2019, respectively, is included in “Other non-operating income” in the unaudited Condensed Consolidated Statements of Income.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BORROWINGS</w:t>
      </w:r>
    </w:p>
    <w:p>
      <w:pPr>
        <w:spacing w:after="0" w:line="121" w:lineRule="exact"/>
        <w:rPr>
          <w:sz w:val="20"/>
          <w:szCs w:val="20"/>
          <w:color w:val="auto"/>
        </w:rPr>
      </w:pPr>
    </w:p>
    <w:p>
      <w:pPr>
        <w:ind w:right="140" w:firstLine="526"/>
        <w:spacing w:after="0" w:line="282" w:lineRule="auto"/>
        <w:rPr>
          <w:sz w:val="20"/>
          <w:szCs w:val="20"/>
          <w:color w:val="auto"/>
        </w:rPr>
      </w:pPr>
      <w:r>
        <w:rPr>
          <w:rFonts w:ascii="Times New Roman" w:cs="Times New Roman" w:eastAsia="Times New Roman" w:hAnsi="Times New Roman"/>
          <w:sz w:val="18"/>
          <w:szCs w:val="18"/>
          <w:color w:val="auto"/>
        </w:rPr>
        <w:t>The following table summarizes NCM LLC’s total outstanding debt as of September 24, 2020 and December 26, 2019 and the significant terms of its borrowing arrangements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Outstanding Balance as of</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20"/>
        </w:trPr>
        <w:tc>
          <w:tcPr>
            <w:tcW w:w="4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1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24, 2020</w:t>
            </w: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26, 2019</w:t>
            </w:r>
          </w:p>
        </w:tc>
        <w:tc>
          <w:tcPr>
            <w:tcW w:w="120" w:type="dxa"/>
            <w:vAlign w:val="bottom"/>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980" w:type="dxa"/>
            <w:vAlign w:val="bottom"/>
            <w:gridSpan w:val="2"/>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223"/>
        </w:trPr>
        <w:tc>
          <w:tcPr>
            <w:tcW w:w="4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20, 2023</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rPr>
              <w:t>(1)</w:t>
            </w:r>
          </w:p>
        </w:tc>
        <w:tc>
          <w:tcPr>
            <w:tcW w:w="0" w:type="dxa"/>
            <w:vAlign w:val="bottom"/>
          </w:tcPr>
          <w:p>
            <w:pPr>
              <w:spacing w:after="0"/>
              <w:rPr>
                <w:sz w:val="1"/>
                <w:szCs w:val="1"/>
                <w:color w:val="auto"/>
              </w:rPr>
            </w:pPr>
          </w:p>
        </w:tc>
      </w:tr>
      <w:tr>
        <w:trPr>
          <w:trHeight w:val="229"/>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 loans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266.6</w:t>
            </w:r>
          </w:p>
        </w:tc>
        <w:tc>
          <w:tcPr>
            <w:tcW w:w="120" w:type="dxa"/>
            <w:vAlign w:val="bottom"/>
          </w:tcPr>
          <w:p>
            <w:pPr>
              <w:spacing w:after="0"/>
              <w:rPr>
                <w:sz w:val="19"/>
                <w:szCs w:val="19"/>
                <w:color w:val="auto"/>
              </w:rPr>
            </w:pP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June 20, 2025</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(1)</w:t>
            </w:r>
          </w:p>
        </w:tc>
        <w:tc>
          <w:tcPr>
            <w:tcW w:w="0" w:type="dxa"/>
            <w:vAlign w:val="bottom"/>
          </w:tcPr>
          <w:p>
            <w:pPr>
              <w:spacing w:after="0"/>
              <w:rPr>
                <w:sz w:val="1"/>
                <w:szCs w:val="1"/>
                <w:color w:val="auto"/>
              </w:rPr>
            </w:pPr>
          </w:p>
        </w:tc>
      </w:tr>
      <w:tr>
        <w:trPr>
          <w:trHeight w:val="230"/>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 due 2026</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230.0</w:t>
            </w:r>
          </w:p>
        </w:tc>
        <w:tc>
          <w:tcPr>
            <w:tcW w:w="1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August 15, 2026</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5.750%</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Senior secured notes due 2028</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400.0</w:t>
            </w:r>
          </w:p>
        </w:tc>
        <w:tc>
          <w:tcPr>
            <w:tcW w:w="12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April 15, 2028</w:t>
            </w:r>
          </w:p>
        </w:tc>
        <w:tc>
          <w:tcPr>
            <w:tcW w:w="10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7"/>
              </w:rPr>
              <w:t>5.875%</w:t>
            </w:r>
          </w:p>
        </w:tc>
        <w:tc>
          <w:tcPr>
            <w:tcW w:w="0" w:type="dxa"/>
            <w:vAlign w:val="bottom"/>
          </w:tcPr>
          <w:p>
            <w:pPr>
              <w:spacing w:after="0"/>
              <w:rPr>
                <w:sz w:val="1"/>
                <w:szCs w:val="1"/>
                <w:color w:val="auto"/>
              </w:rPr>
            </w:pPr>
          </w:p>
        </w:tc>
      </w:tr>
      <w:tr>
        <w:trPr>
          <w:trHeight w:val="223"/>
        </w:trPr>
        <w:tc>
          <w:tcPr>
            <w:tcW w:w="4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borrowings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935.6</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9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debt issuance costs related to term loans and</w:t>
            </w: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borrowings,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926.6</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Less: current portion of debt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Carrying value of long-term debt</w:t>
            </w: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1,050.5</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923.9</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___________________________________________________</w:t>
      </w:r>
    </w:p>
    <w:p>
      <w:pPr>
        <w:spacing w:after="0" w:line="171" w:lineRule="exact"/>
        <w:rPr>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interest rates on the revolving credit facility and term loan are described below.</w:t>
      </w:r>
    </w:p>
    <w:p>
      <w:pPr>
        <w:spacing w:after="0" w:line="167" w:lineRule="exact"/>
        <w:rPr>
          <w:sz w:val="20"/>
          <w:szCs w:val="20"/>
          <w:color w:val="auto"/>
        </w:rPr>
      </w:pPr>
    </w:p>
    <w:p>
      <w:pPr>
        <w:ind w:firstLine="52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Senior Secured Credit Facility</w:t>
      </w:r>
      <w:r>
        <w:rPr>
          <w:rFonts w:ascii="Times New Roman" w:cs="Times New Roman" w:eastAsia="Times New Roman" w:hAnsi="Times New Roman"/>
          <w:sz w:val="18"/>
          <w:szCs w:val="18"/>
          <w:color w:val="auto"/>
        </w:rPr>
        <w:t>—On June 20, 2018, NCM LLC entered into a credit agreement (the “Credit Agreement”) to replace NCM LLC's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senior secured credit facility, dated as of February 13, 2007, as amended (the “previous facility”). Consistent with the structure of the previous facility, the Credit Agreement consists of a term loan facility and a revolving credit facility. As of September 24, 2020, NCM LLC’s senior secured credit facility consisted of a $175.0 million revolving credit facility and a $264.6 million term loan. The obligations under the senior secured credit facility are secured by a lien on substantially all of the assets of NCM LLC.</w:t>
      </w:r>
    </w:p>
    <w:p>
      <w:pPr>
        <w:spacing w:after="0" w:line="129" w:lineRule="exact"/>
        <w:rPr>
          <w:sz w:val="20"/>
          <w:szCs w:val="20"/>
          <w:color w:val="auto"/>
        </w:rPr>
      </w:pPr>
    </w:p>
    <w:p>
      <w:pPr>
        <w:ind w:right="60" w:firstLine="526"/>
        <w:spacing w:after="0" w:line="254" w:lineRule="auto"/>
        <w:rPr>
          <w:sz w:val="20"/>
          <w:szCs w:val="20"/>
          <w:color w:val="auto"/>
        </w:rPr>
      </w:pPr>
      <w:r>
        <w:rPr>
          <w:rFonts w:ascii="Times New Roman" w:cs="Times New Roman" w:eastAsia="Times New Roman" w:hAnsi="Times New Roman"/>
          <w:sz w:val="18"/>
          <w:szCs w:val="18"/>
          <w:color w:val="auto"/>
        </w:rPr>
        <w:t>On April 30, 2020, NCM LLC amended the Credit Agreement (the “Credit Agreement Amendment”) to allow for the automatic waiver of any non-compliance with its Consolidated Net Senior Secured Leverage Ratio and Consolidated Total Leverage Ratio financial covenants occurring from the quarter ending June 25, 2020 until and including the quarter ending July 1, 2021 (the “Covenant Holiday Period”). The Credit Agreement Amendment requires that, until the fiscal quarter ending July 1, 2021, NCM LLC must not permit the sum of unrestricted cash on hand at NCM LLC and availability under its Revolving Credit Facility to be less than $55.0 million. Further, NCM LLC can make available cash distributions to its members (AMC, Cinemark, Regal and NCM, Inc.) during the Covenant Holiday Period only if trailing 12-month Consolidated EBITDA (as defined in the Credit Agreement) equals or exceeds $277.0 million and outstanding loans under the Revolving Credit Facility are equal to or less than $39.0 million. NCM LLC can make available cash distributions to its members outside of the Covenant Holiday Period so long as NCM LLC’s Consolidated Net Senior Secured Leverage Ratio is equal to or less than 5.00 to 1.00 and no default or event of default under the Credit Agreement has occurred and is continuing.</w:t>
      </w:r>
    </w:p>
    <w:p>
      <w:pPr>
        <w:spacing w:after="0" w:line="132" w:lineRule="exact"/>
        <w:rPr>
          <w:sz w:val="20"/>
          <w:szCs w:val="20"/>
          <w:color w:val="auto"/>
        </w:rPr>
      </w:pPr>
    </w:p>
    <w:p>
      <w:pPr>
        <w:ind w:right="20" w:firstLine="526"/>
        <w:spacing w:after="0" w:line="254" w:lineRule="auto"/>
        <w:rPr>
          <w:sz w:val="20"/>
          <w:szCs w:val="20"/>
          <w:color w:val="auto"/>
        </w:rPr>
      </w:pPr>
      <w:r>
        <w:rPr>
          <w:rFonts w:ascii="Times New Roman" w:cs="Times New Roman" w:eastAsia="Times New Roman" w:hAnsi="Times New Roman"/>
          <w:sz w:val="18"/>
          <w:szCs w:val="18"/>
          <w:i w:val="1"/>
          <w:iCs w:val="1"/>
          <w:color w:val="auto"/>
        </w:rPr>
        <w:t>Revolving Credit Facility</w:t>
      </w:r>
      <w:r>
        <w:rPr>
          <w:rFonts w:ascii="Times New Roman" w:cs="Times New Roman" w:eastAsia="Times New Roman" w:hAnsi="Times New Roman"/>
          <w:sz w:val="18"/>
          <w:szCs w:val="18"/>
          <w:color w:val="auto"/>
        </w:rPr>
        <w:t>—The revolving credit facility portion of NCM LLC’s total borrowings is available, subject to certain conditions,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corporate purposes of NCM LLC in the ordinary course of business and for other transactions permitted under the senior secured credit facility, and a portion is available for letters of credit. During March 2020, NCM LLC drew down an additional $110.0 million on the revolving credit facility to fund operations during the period of expected disrupted cash flows due to the temporary closure of the theaters within NCM LLC's network to address the COVID-19 Pandemic. As of September 24, 2020, NCM LLC’s total availability under the $175.0 million revolving credit facility was $4.4 million, net of $167.0 million outstanding and $3.6 million in letters of credit. The unused line fee is 0.50% per annum which is consistent with the previous</w:t>
      </w:r>
    </w:p>
    <w:p>
      <w:pPr>
        <w:spacing w:after="0" w:line="2"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8"/>
          <w:szCs w:val="18"/>
          <w:color w:val="auto"/>
        </w:rPr>
        <w:t>facility. Borrowings under the revolving credit facility bear interest at NCM LLC’s option of either the LIBOR index plus an applicable margin ranging from 1.75% to 2.25% or the base rate plus an applicable margin ranging from 0.75% to 1.25%. The applicable margin for the revolving credit facility is determined quarterly and is subject to adjustment based upon a consolidated net senior secured leverage ratio for NCM LLC (the ratio of secured funded debt less unrestricted cash and cash equivalents of up to $100.0 million, divided by Adjusted EBITDA for debt purposes, defined as NCM LLC's net income before depreciation and amortization expense adjusted to also exclude non-cash share based compensation costs for NCM LLC plus integration payments received). The revolving credit facility will mature on June 20, 2023. The weighted-average interest rate on the revolving credit facility as of September 24, 2020 was 3.00%.</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9" w:name="page20"/>
    <w:bookmarkEnd w:id="19"/>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78" w:lineRule="exact"/>
        <w:rPr>
          <w:sz w:val="20"/>
          <w:szCs w:val="20"/>
          <w:color w:val="auto"/>
        </w:rPr>
      </w:pPr>
    </w:p>
    <w:p>
      <w:pPr>
        <w:ind w:right="140" w:firstLine="526"/>
        <w:spacing w:after="0" w:line="261" w:lineRule="auto"/>
        <w:rPr>
          <w:sz w:val="20"/>
          <w:szCs w:val="20"/>
          <w:color w:val="auto"/>
        </w:rPr>
      </w:pPr>
      <w:r>
        <w:rPr>
          <w:rFonts w:ascii="Times New Roman" w:cs="Times New Roman" w:eastAsia="Times New Roman" w:hAnsi="Times New Roman"/>
          <w:sz w:val="18"/>
          <w:szCs w:val="18"/>
          <w:i w:val="1"/>
          <w:iCs w:val="1"/>
          <w:color w:val="auto"/>
        </w:rPr>
        <w:t>Term Loans</w:t>
      </w:r>
      <w:r>
        <w:rPr>
          <w:rFonts w:ascii="Times New Roman" w:cs="Times New Roman" w:eastAsia="Times New Roman" w:hAnsi="Times New Roman"/>
          <w:sz w:val="18"/>
          <w:szCs w:val="18"/>
          <w:color w:val="auto"/>
        </w:rPr>
        <w:t>—The interest rate on the term loans is a rate chosen at NCM LLC’s option of either the LIBOR index plus 3.00% or the base rate plus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 The interest rate on the term loans as of September 24, 2020 was 4.00%. The term loans amortize at a rate equal to 1.00% annually, to be paid in equal quarterly installments. As of September 24, 2020, NCM LLC has paid principal of $5.4 million, reducing the outstanding balance to $264.6 million. The term loans will mature on June 20, 2025.</w:t>
      </w:r>
    </w:p>
    <w:p>
      <w:pPr>
        <w:spacing w:after="0" w:line="128" w:lineRule="exact"/>
        <w:rPr>
          <w:sz w:val="20"/>
          <w:szCs w:val="20"/>
          <w:color w:val="auto"/>
        </w:rPr>
      </w:pPr>
    </w:p>
    <w:p>
      <w:pPr>
        <w:ind w:right="60" w:firstLine="526"/>
        <w:spacing w:after="0" w:line="254" w:lineRule="auto"/>
        <w:rPr>
          <w:sz w:val="20"/>
          <w:szCs w:val="20"/>
          <w:color w:val="auto"/>
        </w:rPr>
      </w:pPr>
      <w:r>
        <w:rPr>
          <w:rFonts w:ascii="Times New Roman" w:cs="Times New Roman" w:eastAsia="Times New Roman" w:hAnsi="Times New Roman"/>
          <w:sz w:val="18"/>
          <w:szCs w:val="18"/>
          <w:color w:val="auto"/>
        </w:rPr>
        <w:t>The senior secured credit facility contains a number of covenants and various financial ratio requirements, including, (i) a consolidated net total leverage ratio covenant of 6.25 times for each quarterly period and (ii) with respect to the revolving credit facility, maintaining a consolidated net senior secured leverage ratio of equal to or less than 4.50 times on a quarterly basis for each quarterly period in which a balance is outstanding on the revolving credit facility. In addition, NCM LLC is permitted to make quarterly dividend payments and other restricted payments with its available cash as long as NCM LLC’s consolidated net senior secured leverage ratio (after giving effect to any such payment) is below 5.50 times and no default or event of default has occurred and continues to occur under the senior secured credit facility. As of September 24, 2020, NCM LLC’s consolidated net senior secured leverage ratio was 7.93 times (versus the dividend payment restriction of 5.50 times and the covenant of 4.50 times) and NCM LLC's consolidated net total leverage ratio was 10.43 times (versus the covenant of 6.25 times). As of September 24, 2020, NCM LLC was in compliance with the requirements of the Credit Agreement Amendment described above and the noncompliance with the financial covenants was automatically waived.</w:t>
      </w:r>
    </w:p>
    <w:p>
      <w:pPr>
        <w:spacing w:after="0" w:line="130" w:lineRule="exact"/>
        <w:rPr>
          <w:sz w:val="20"/>
          <w:szCs w:val="20"/>
          <w:color w:val="auto"/>
        </w:rPr>
      </w:pPr>
    </w:p>
    <w:p>
      <w:pPr>
        <w:ind w:right="20" w:firstLine="52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Senior Unsecured Notes due 2026</w:t>
      </w:r>
      <w:r>
        <w:rPr>
          <w:rFonts w:ascii="Times New Roman" w:cs="Times New Roman" w:eastAsia="Times New Roman" w:hAnsi="Times New Roman"/>
          <w:sz w:val="18"/>
          <w:szCs w:val="18"/>
          <w:color w:val="auto"/>
        </w:rPr>
        <w:t>—On August 19, 2016, NCM LLC completed a private placement of $250.0 million in aggregate principal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 of 5.750% Senior Unsecured Notes (the “Notes due 2026”) for which the registered exchange offering was completed on November 8, 2016. The Notes due 2026 pay interest semi-annually in arrears on February 15 and August 15 of each year, which commenced on February 15, 2017. The Notes due 2026 were issued at 100% of the face amount thereof and are the senior unsecured obligations of NCM LLC. NCM LLC repurchased and canceled a total of $5.0 million and $15.0 million of the Notes due 2026 during 2019 and 2018, respectively, reducing the principal amount to $230.0 million as of September 24, 2020. These repurchases were treated as partial debt extinguishments and resulted in the realization of a non-operating gain, net of written off debt issuance costs, of $0.0 million, $0.0 million, $0.0 million and $0.3 million during the three months and nine months ended September 24, 2020 and September 26, 2019, respectively.</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Senior Secured Notes due 2028</w:t>
      </w:r>
      <w:r>
        <w:rPr>
          <w:rFonts w:ascii="Times New Roman" w:cs="Times New Roman" w:eastAsia="Times New Roman" w:hAnsi="Times New Roman"/>
          <w:sz w:val="18"/>
          <w:szCs w:val="18"/>
          <w:color w:val="auto"/>
        </w:rPr>
        <w:t>—On October 8, 2019, NCM LLC completed a private offering of $400.0 million aggregate principal amount</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of 5.875% Senior Secured Notes due 2028 (the “Notes due 2028”) to eligible purchasers. The Notes due 2028 will mature on April 15, 2028. Interest on the Notes due 2028 accrues at a rate of 5.875% per annum and is payable semi-annually in arrears on April 15 and October 15 of each year, commencing on April 15, 2020. The Notes due 2028 were issued at 100% of the face amount thereof and share in the same collateral that secures NCM LLC's obligations under the senior secured credit facility.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117" w:lineRule="exact"/>
        <w:rPr>
          <w:sz w:val="20"/>
          <w:szCs w:val="20"/>
          <w:color w:val="auto"/>
        </w:rPr>
      </w:pPr>
    </w:p>
    <w:p>
      <w:pPr>
        <w:ind w:right="140" w:firstLine="52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Changes in the Company’s Effective Tax Rate</w:t>
      </w:r>
      <w:r>
        <w:rPr>
          <w:rFonts w:ascii="Times New Roman" w:cs="Times New Roman" w:eastAsia="Times New Roman" w:hAnsi="Times New Roman"/>
          <w:sz w:val="18"/>
          <w:szCs w:val="18"/>
          <w:color w:val="auto"/>
        </w:rPr>
        <w:t>—The Company recorded an income tax benefit of $7.7 million for the nine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24, 2020 compared to income tax expense of $6.0 million for the nine months ended September 26, 2019 resulting in an effective tax rate of 20.4% for the nine months ended September 24, 2020 as compared to 26.9% for the nine months ended September 26, 2019. The decrease in the effective tax rate was primarily due to the relative impact of the tax benefit recorded on pretax book losses attributable to NCM Inc. of $37.8 million for the nine months ended September 24, 2020 compared to tax expense recorded on pretax book income of $22.5 million for the nine months ended September 26, 2019. The Company's current blended state and federal rate (net of federal benefit) was 24.4% as of September 24, 2020 and 24.3% as of September 26, 2019.</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17" w:lineRule="exact"/>
        <w:rPr>
          <w:sz w:val="20"/>
          <w:szCs w:val="20"/>
          <w:color w:val="auto"/>
        </w:rPr>
      </w:pPr>
    </w:p>
    <w:p>
      <w:pPr>
        <w:ind w:right="60" w:firstLine="52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Legal Actions</w:t>
      </w:r>
      <w:r>
        <w:rPr>
          <w:rFonts w:ascii="Times New Roman" w:cs="Times New Roman" w:eastAsia="Times New Roman" w:hAnsi="Times New Roman"/>
          <w:sz w:val="18"/>
          <w:szCs w:val="18"/>
          <w:color w:val="auto"/>
        </w:rPr>
        <w:t>—The Company is subject to claims and legal actions in the ordinary course of business. The Company believes such claims will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a material effect individually or in the aggregate on its financial position, results of operations or cash flows.</w:t>
      </w:r>
    </w:p>
    <w:p>
      <w:pPr>
        <w:spacing w:after="0" w:line="47" w:lineRule="exact"/>
        <w:rPr>
          <w:sz w:val="20"/>
          <w:szCs w:val="20"/>
          <w:color w:val="auto"/>
        </w:rPr>
      </w:pPr>
    </w:p>
    <w:p>
      <w:pPr>
        <w:ind w:right="40" w:firstLine="52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Operating Commitments - Facilities</w:t>
      </w:r>
      <w:r>
        <w:rPr>
          <w:rFonts w:ascii="Times New Roman" w:cs="Times New Roman" w:eastAsia="Times New Roman" w:hAnsi="Times New Roman"/>
          <w:sz w:val="18"/>
          <w:szCs w:val="18"/>
          <w:color w:val="auto"/>
        </w:rPr>
        <w:t>—The Company has entered into operating lease agreements for its corporate headquarters and other regional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offices. The Company has right-of-use (“ROU”) assets of $20.9 million and short-term and long-term lease liabilities of $1.8 million and $23.2 million, respectively, on the balance sheet as of September 24, 2020 for all material leases with terms longer than twelve months. These balances are included within “Other assets”, “Other current liabilities” and “Other liabilities”, respectively, on the unaudited Condensed Consolidated Balance Sheets. As of September 24, 2020, the Company had a weighted average remaining lease term of 9.4 years on these leases. When measuring the ROU assets and lease liabilities recorded, the Company utilized its incremental borrowing rate in order to determine the present value of the lease payments as the leases do not provide an implicit rate. The Company used the rate of interest that it would have paid to borrow on a collateralized basis over a similar term for an amount equal to the lease payments in a similar economic</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environment. As of September 24, 2020, the Company’s weighted average annual discount rate used to establish the ROU assets and lease liabilities was 7.34%.</w:t>
      </w:r>
    </w:p>
    <w:p>
      <w:pPr>
        <w:spacing w:after="0" w:line="54" w:lineRule="exact"/>
        <w:rPr>
          <w:sz w:val="20"/>
          <w:szCs w:val="20"/>
          <w:color w:val="auto"/>
        </w:rPr>
      </w:pPr>
    </w:p>
    <w:p>
      <w:pPr>
        <w:ind w:right="120" w:firstLine="567"/>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24, 2020 and September 26, 2019, the Company recognized the following components of total lease cost (in millions). These costs are presented within “Selling and marketing costs” and “Administrative and other costs” within the unaudited Condensed Consolidated Statements of Income depending upon the nature of the use of the facility.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220" w:type="dxa"/>
            <w:vAlign w:val="bottom"/>
            <w:gridSpan w:val="4"/>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33"/>
        </w:trPr>
        <w:tc>
          <w:tcPr>
            <w:tcW w:w="57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spacing w:after="0" w:line="134" w:lineRule="exact"/>
              <w:rPr>
                <w:sz w:val="20"/>
                <w:szCs w:val="20"/>
                <w:color w:val="auto"/>
              </w:rPr>
            </w:pPr>
            <w:r>
              <w:rPr>
                <w:rFonts w:ascii="Times New Roman" w:cs="Times New Roman" w:eastAsia="Times New Roman" w:hAnsi="Times New Roman"/>
                <w:sz w:val="14"/>
                <w:szCs w:val="14"/>
                <w:b w:val="1"/>
                <w:bCs w:val="1"/>
                <w:color w:val="auto"/>
              </w:rPr>
              <w:t>September 24,</w:t>
            </w: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16"/>
              <w:spacing w:after="0" w:line="134"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rPr>
              <w:t>September 24,</w:t>
            </w: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36"/>
              <w:spacing w:after="0" w:line="134" w:lineRule="exact"/>
              <w:rPr>
                <w:sz w:val="20"/>
                <w:szCs w:val="20"/>
                <w:color w:val="auto"/>
              </w:rPr>
            </w:pPr>
            <w:r>
              <w:rPr>
                <w:rFonts w:ascii="Times New Roman" w:cs="Times New Roman" w:eastAsia="Times New Roman" w:hAnsi="Times New Roman"/>
                <w:sz w:val="14"/>
                <w:szCs w:val="14"/>
                <w:b w:val="1"/>
                <w:bCs w:val="1"/>
                <w:color w:val="auto"/>
              </w:rPr>
              <w:t>September 26,</w:t>
            </w:r>
          </w:p>
        </w:tc>
      </w:tr>
      <w:tr>
        <w:trPr>
          <w:trHeight w:val="189"/>
        </w:trPr>
        <w:tc>
          <w:tcPr>
            <w:tcW w:w="57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5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40" w:firstLine="177"/>
        <w:spacing w:after="0" w:line="266" w:lineRule="auto"/>
        <w:rPr>
          <w:sz w:val="20"/>
          <w:szCs w:val="20"/>
          <w:color w:val="auto"/>
        </w:rPr>
      </w:pPr>
      <w:r>
        <w:rPr>
          <w:rFonts w:ascii="Times New Roman" w:cs="Times New Roman" w:eastAsia="Times New Roman" w:hAnsi="Times New Roman"/>
          <w:sz w:val="18"/>
          <w:szCs w:val="18"/>
          <w:color w:val="auto"/>
        </w:rPr>
        <w:t>The Company made total lease payments of $0.9 million, $0.9 million, $2.7 million and $2.5 million during the three months ended September 24, 2020 and September 26, 2019 and nine months ended September 24, 2020 and September 26, 2019, respectively. These payments are included within cash flows from operating activities within the unaudited Condensed Consolidated Statement of Cash Flows.</w:t>
      </w:r>
    </w:p>
    <w:p>
      <w:pPr>
        <w:spacing w:after="0" w:line="64" w:lineRule="exact"/>
        <w:rPr>
          <w:sz w:val="20"/>
          <w:szCs w:val="20"/>
          <w:color w:val="auto"/>
        </w:rPr>
      </w:pPr>
    </w:p>
    <w:p>
      <w:pPr>
        <w:ind w:firstLine="52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Operating Commitments - ESAs and Affiliate Agreements</w:t>
      </w:r>
      <w:r>
        <w:rPr>
          <w:rFonts w:ascii="Times New Roman" w:cs="Times New Roman" w:eastAsia="Times New Roman" w:hAnsi="Times New Roman"/>
          <w:sz w:val="18"/>
          <w:szCs w:val="18"/>
          <w:color w:val="auto"/>
        </w:rPr>
        <w:t xml:space="preserve">—The Company has entered into long-term ESAs with the founding members and multi-year agreements with certain network affiliates, or third-party theater circuits. The ESAs and network affiliate agreements grant NCM LLC exclusive rights in their theaters to sell advertising, subject to limited exceptions. The Company recognizes intangible assets upon issuance of membership units to the founding members in accordance with NCM LLC’s Common Unit Adjustment Agreement and upfront cash payments to the affiliates for the contractual rights to provide the Company’s services within their theaters as further discussed within Note 4 -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These ESAs and network affiliate agreements are considered leases under ASC 842 once the asset is identified and the period of control is determined upon the scheduling of the showtimes by the exhibitors, typically one week prior to the showtime. As such, the leases are considered short-term in nature, specifically less than one month. Within ASC 842, leases with terms of less than one month are exempt from the majority of the accounting and disclosure requirements, including disclosure of short-term lease expense. No ROU assets or lease liabilities were recognized for these agreements and no change to the balance sheet presentation of the intangible assets was necessary. However, the amortization of these intangible assets is considered lease expense and is presented within “Amortization of intangibles recorded for network theater screen leases” within the unaudited Condensed Consolidated Statement of Income.</w:t>
      </w:r>
    </w:p>
    <w:p>
      <w:pPr>
        <w:spacing w:after="0" w:line="132" w:lineRule="exact"/>
        <w:rPr>
          <w:sz w:val="20"/>
          <w:szCs w:val="20"/>
          <w:color w:val="auto"/>
        </w:rPr>
      </w:pPr>
    </w:p>
    <w:p>
      <w:pPr>
        <w:ind w:right="20" w:firstLine="526"/>
        <w:spacing w:after="0" w:line="254" w:lineRule="auto"/>
        <w:rPr>
          <w:sz w:val="20"/>
          <w:szCs w:val="20"/>
          <w:color w:val="auto"/>
        </w:rPr>
      </w:pPr>
      <w:r>
        <w:rPr>
          <w:rFonts w:ascii="Times New Roman" w:cs="Times New Roman" w:eastAsia="Times New Roman" w:hAnsi="Times New Roman"/>
          <w:sz w:val="18"/>
          <w:szCs w:val="18"/>
          <w:color w:val="auto"/>
        </w:rPr>
        <w:t>In consideration for NCM LLC’s access to the founding members’ theater attendees for on-screen advertising and use of lobbies and other space within the founding members’ theaters for the LEN and lobby promotions, the founding members receive a monthly theater access fee under the ESAs. The theater access fee is composed of a fixed payment per patron, a fixed payment per digital screen (connected to the DCN) and a fee for access to higher quality digital cinema equipment. The payment per theater patron increases by 8% every five years, with this next increase occurring in fiscal year 2022, and the payment per digital screen and for digital cinema equipment increases annually by 5%. The theater access fee paid in the aggregate to all founding members cannot be less than 12% of NCM LLC’s aggregate advertising revenue (as defined in the ESA), or it will be adjusted upward to reach this minimum payment. As of September 24, 2020 and December 26, 2019, the Company had no liabilities recorded for the minimum payment, as the theater access fee was in excess of the minimum.</w:t>
      </w:r>
    </w:p>
    <w:p>
      <w:pPr>
        <w:spacing w:after="0" w:line="138" w:lineRule="exact"/>
        <w:rPr>
          <w:sz w:val="20"/>
          <w:szCs w:val="20"/>
          <w:color w:val="auto"/>
        </w:rPr>
      </w:pPr>
    </w:p>
    <w:p>
      <w:pPr>
        <w:ind w:right="60" w:firstLine="526"/>
        <w:spacing w:after="0" w:line="253" w:lineRule="auto"/>
        <w:rPr>
          <w:sz w:val="20"/>
          <w:szCs w:val="20"/>
          <w:color w:val="auto"/>
        </w:rPr>
      </w:pPr>
      <w:r>
        <w:rPr>
          <w:rFonts w:ascii="Times New Roman" w:cs="Times New Roman" w:eastAsia="Times New Roman" w:hAnsi="Times New Roman"/>
          <w:sz w:val="18"/>
          <w:szCs w:val="18"/>
          <w:color w:val="auto"/>
        </w:rPr>
        <w:t xml:space="preserve">Following the 2019 ESA Amendments, Cinemark and Regal receive an additional monthly theater access fee that began on November 1, 2019 in consideration for NCM LLC's access to certain on-screen advertising inventory after the advertised showtime of a feature film. These fees are also based upon a fixed payment per patron: (i) beginning at $0.025 per patron on November 1, 2019, (ii) $0.0375 per patron beginning on November 1, 2020, (iii) $0.05 per patron beginning on November 1, 2021, (iv) $0.052 per patron beginning on November 1, 2022 and (v) increase 8% every five years beginning November 1, 2027. Additionally, following the 2019 ESA Amendments, beginning on November 1, 2019, NCM LLC is entitled to display the Platinum Spot, an additional single unit that is either 30 or 60 seconds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in the trailer position directly prior to the “attached” trailers preceding the feature film. The “attached” trailers are those provided by studios to Cinemark and Regal that are with the feature film, which is at least one trailer, but sometimes two or more trailers. In consideration for the utilization of the theaters for the Platinum Spots, Cinemark and Regal are entitled to receive 25% of all revenue generated for the actual display of Platinum Spots in their applicable theaters, subject to a specified minimum. If NCM LLC runs advertising in more than one concurrent advertisers’ Platinum Spot for any portion of the network over a period of time, then NCM LLC will be required to satisfy a minimum average CPM for that period of time. The Company does not owe the founding members any theater access fees or any Platinum Spot revenue share when the theaters are not displaying the Company's pre-show or</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when the Company does not have access to the theaters. As such, the Company did not and will not owe these fees for the period of time the founding members' theaters were temporarily closed due to the COVID-19 Pandemic and future fees will be reduced if attendance remains lower than historical levels. The digital screen fee is calculated based upon average screens in use during each month. No digital screen fees were or will be incurred for the period of time the founding member's theaters were temporarily closed due to the COVID-19 Pandemic and future fees will be reduced for months where screens are in use for only part of the month.</w:t>
      </w:r>
    </w:p>
    <w:p>
      <w:pPr>
        <w:spacing w:after="0" w:line="129" w:lineRule="exact"/>
        <w:rPr>
          <w:sz w:val="20"/>
          <w:szCs w:val="20"/>
          <w:color w:val="auto"/>
        </w:rPr>
      </w:pPr>
    </w:p>
    <w:p>
      <w:pPr>
        <w:ind w:right="60" w:firstLine="177"/>
        <w:spacing w:after="0" w:line="253" w:lineRule="auto"/>
        <w:rPr>
          <w:sz w:val="20"/>
          <w:szCs w:val="20"/>
          <w:color w:val="auto"/>
        </w:rPr>
      </w:pPr>
      <w:r>
        <w:rPr>
          <w:rFonts w:ascii="Times New Roman" w:cs="Times New Roman" w:eastAsia="Times New Roman" w:hAnsi="Times New Roman"/>
          <w:sz w:val="18"/>
          <w:szCs w:val="18"/>
          <w:color w:val="auto"/>
        </w:rPr>
        <w:t>The network affiliates compensation is considered variable lease expense and varies by circuit depending upon the agreed upon terms of the network affiliate agreement. The majority of agreements are centered around a revenue share where an agreed upon percentage of the advertising revenue received from a theater’s attendance is paid to the circuit. As part of the network affiliate agreements entered into in the ordinary course of business under which the Company sells advertising for display in various network affiliate theater chains, the Company has agreed to certain minimum revenue guarantees on a per attendee basis. If a network affiliate achieves the attendance set forth in their respective agreement, the Company has guaranteed minimum revenue for the network affiliate per attendee if such amount paid under the revenue share arrangement is less than its guaranteed amount. As of September 24, 2020, the maximum potential amount of future payments the Company could be required to make pursuant to the minimum revenue guarantees is $64.0 million over the remaining terms of the network affiliate agreements. These minimum guarantees relate to various affiliate agreements ranging in term from three years to twenty years, prior to any renewal periods of which some are at the option of the Company. The Company accrued $0.2 million and $0.5 million related to affiliate agreements with guaranteed minimums in excess of the revenue share agreement as of September 24, 2020 and December 26, 2019, respectively. As the guaranteed minimums are based upon agreed upon minimum attendance or affiliate revenue levels, the Company did not incur minimum revenue share fees during the period of time the respective affiliate's theaters were temporarily closed due to the COVID-19 Pandemic and will not for the remaining duration an affiliate's theater attendance or revenue levels are low as the minimum levels must first be met by the affiliate.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MEASUREMENTS</w:t>
      </w:r>
    </w:p>
    <w:p>
      <w:pPr>
        <w:spacing w:after="0" w:line="121" w:lineRule="exact"/>
        <w:rPr>
          <w:sz w:val="20"/>
          <w:szCs w:val="20"/>
          <w:color w:val="auto"/>
        </w:rPr>
      </w:pPr>
    </w:p>
    <w:p>
      <w:pPr>
        <w:ind w:firstLine="526"/>
        <w:spacing w:after="0" w:line="266" w:lineRule="auto"/>
        <w:rPr>
          <w:sz w:val="20"/>
          <w:szCs w:val="20"/>
          <w:color w:val="auto"/>
        </w:rPr>
      </w:pPr>
      <w:r>
        <w:rPr>
          <w:rFonts w:ascii="Times New Roman" w:cs="Times New Roman" w:eastAsia="Times New Roman" w:hAnsi="Times New Roman"/>
          <w:sz w:val="18"/>
          <w:szCs w:val="18"/>
          <w:color w:val="auto"/>
        </w:rPr>
        <w:t>Fair value is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—Quoted prices in active markets for identical assets or liabilities.</w:t>
      </w:r>
    </w:p>
    <w:p>
      <w:pPr>
        <w:spacing w:after="0" w:line="171" w:lineRule="exact"/>
        <w:rPr>
          <w:sz w:val="20"/>
          <w:szCs w:val="20"/>
          <w:color w:val="auto"/>
        </w:rPr>
      </w:pPr>
    </w:p>
    <w:p>
      <w:pPr>
        <w:ind w:right="60" w:firstLine="526"/>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—Observable inputs other than quoted prices in active markets for identical assets and liabilities, quoted prices for identical or similar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liabilities in inactive markets, or other inputs that are observable or can be corroborated by observable market data for substantially the full term of the assets or liabilities.</w:t>
      </w:r>
    </w:p>
    <w:p>
      <w:pPr>
        <w:spacing w:after="0" w:line="119" w:lineRule="exact"/>
        <w:rPr>
          <w:sz w:val="20"/>
          <w:szCs w:val="20"/>
          <w:color w:val="auto"/>
        </w:rPr>
      </w:pPr>
    </w:p>
    <w:p>
      <w:pPr>
        <w:ind w:right="200" w:firstLine="526"/>
        <w:spacing w:after="0" w:line="284"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—Inputs that are generally unobservable and typically reflect management’s estimate of assumptions that market participants would use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the asset or liability.</w:t>
      </w:r>
    </w:p>
    <w:p>
      <w:pPr>
        <w:spacing w:after="0" w:line="102" w:lineRule="exact"/>
        <w:rPr>
          <w:sz w:val="20"/>
          <w:szCs w:val="20"/>
          <w:color w:val="auto"/>
        </w:rPr>
      </w:pPr>
    </w:p>
    <w:p>
      <w:pPr>
        <w:ind w:right="180" w:firstLine="52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Non-Recurring Measurements</w:t>
      </w:r>
      <w:r>
        <w:rPr>
          <w:rFonts w:ascii="Times New Roman" w:cs="Times New Roman" w:eastAsia="Times New Roman" w:hAnsi="Times New Roman"/>
          <w:sz w:val="18"/>
          <w:szCs w:val="18"/>
          <w:color w:val="auto"/>
        </w:rPr>
        <w:t>—Certain assets are measured at fair value on a non-recurring basis. These assets are not measured at fair value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ongoing basis but are subject to fair value adjustments in certain circumstances. These assets include long-lived assets, intangible assets, other investments, notes receivable and borrowings.</w:t>
      </w:r>
    </w:p>
    <w:p>
      <w:pPr>
        <w:spacing w:after="0" w:line="119" w:lineRule="exact"/>
        <w:rPr>
          <w:sz w:val="20"/>
          <w:szCs w:val="20"/>
          <w:color w:val="auto"/>
        </w:rPr>
      </w:pPr>
    </w:p>
    <w:p>
      <w:pPr>
        <w:ind w:right="80" w:firstLine="526"/>
        <w:spacing w:after="0" w:line="261" w:lineRule="auto"/>
        <w:rPr>
          <w:sz w:val="20"/>
          <w:szCs w:val="20"/>
          <w:color w:val="auto"/>
        </w:rPr>
      </w:pPr>
      <w:r>
        <w:rPr>
          <w:rFonts w:ascii="Times New Roman" w:cs="Times New Roman" w:eastAsia="Times New Roman" w:hAnsi="Times New Roman"/>
          <w:sz w:val="18"/>
          <w:szCs w:val="18"/>
          <w:i w:val="1"/>
          <w:iCs w:val="1"/>
          <w:color w:val="auto"/>
        </w:rPr>
        <w:t>Long-Lived Assets, Intangible Assets and Other Investments</w:t>
      </w:r>
      <w:r>
        <w:rPr>
          <w:rFonts w:ascii="Times New Roman" w:cs="Times New Roman" w:eastAsia="Times New Roman" w:hAnsi="Times New Roman"/>
          <w:sz w:val="18"/>
          <w:szCs w:val="18"/>
          <w:color w:val="auto"/>
        </w:rPr>
        <w:t>—The Company regularly reviews long-lived assets (primarily property, plant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intangible assets and investments accounted for under the cost or equity method for impairment whenever certain qualitative factors, events or changes in circumstances indicate that the carrying amounts of the assets may not be fully recoverable. When the estimated fair value is determined to be lower than the carrying value of the asset, an impairment charge is recorded to write the asset down to its estimated fair value.</w:t>
      </w:r>
    </w:p>
    <w:p>
      <w:pPr>
        <w:spacing w:after="0" w:line="1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Other investments consisted of the following (in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20" w:type="dxa"/>
            <w:vAlign w:val="bottom"/>
            <w:tcBorders>
              <w:bottom w:val="single" w:sz="8" w:color="auto"/>
            </w:tcBorders>
          </w:tcPr>
          <w:p>
            <w:pPr>
              <w:spacing w:after="0"/>
              <w:rPr>
                <w:sz w:val="16"/>
                <w:szCs w:val="16"/>
                <w:color w:val="auto"/>
              </w:rPr>
            </w:pPr>
          </w:p>
        </w:tc>
      </w:tr>
      <w:tr>
        <w:trPr>
          <w:trHeight w:val="188"/>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24, 2020</w:t>
            </w:r>
          </w:p>
        </w:tc>
        <w:tc>
          <w:tcPr>
            <w:tcW w:w="120" w:type="dxa"/>
            <w:vAlign w:val="bottom"/>
          </w:tcPr>
          <w:p>
            <w:pPr>
              <w:spacing w:after="0"/>
              <w:rPr>
                <w:sz w:val="16"/>
                <w:szCs w:val="16"/>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December 26, 2019</w:t>
            </w:r>
          </w:p>
        </w:tc>
      </w:tr>
      <w:tr>
        <w:trPr>
          <w:trHeight w:val="223"/>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Investment in AC JV, LLC </w:t>
            </w:r>
            <w:r>
              <w:rPr>
                <w:rFonts w:ascii="Times New Roman" w:cs="Times New Roman" w:eastAsia="Times New Roman" w:hAnsi="Times New Roman"/>
                <w:sz w:val="18"/>
                <w:szCs w:val="18"/>
                <w:i w:val="1"/>
                <w:iCs w:val="1"/>
                <w:color w:val="auto"/>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8"/>
        </w:trPr>
        <w:tc>
          <w:tcPr>
            <w:tcW w:w="8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w:t>
      </w:r>
    </w:p>
    <w:p>
      <w:pPr>
        <w:spacing w:after="0" w:line="10" w:lineRule="exact"/>
        <w:rPr>
          <w:sz w:val="20"/>
          <w:szCs w:val="20"/>
          <w:color w:val="auto"/>
        </w:rPr>
      </w:pPr>
    </w:p>
    <w:p>
      <w:pPr>
        <w:ind w:left="5540" w:right="3180" w:hanging="5532"/>
        <w:spacing w:after="0" w:line="900" w:lineRule="auto"/>
        <w:tabs>
          <w:tab w:leader="none" w:pos="332"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Refer to Note 5—</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This investment is accounted for utilizing the equity method.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ind w:left="340" w:right="266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4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During the three months ended September 24, 2020 and September 26, 2019 and the nine months ended September 24, 2020 and September 26, 2019, the Company recorded impairment charges of $0.0 million, $2.0 million, $0.0 million and $2.0 million, respectively, on certain of its investments due to a significant deterioration in the business prospects of the investee or new information regarding the fair value of the investee, which brought the total remaining value of the respective impaired investments to $0.0 million as of September 24, 2020 and September 26, 2019. As of September 24, 2020, no observable price changes or impairments have been recorded as a result of the Company’s qualitative assessment of identified events or changes in the circumstances of the remaining investments. The investment in AC JV, LLC was initially valued using comparative market multiples. The other investments were recorded based upon the fair value of the services provided in exchange for the investment. As the inputs to the determination of fair value are based upon non-identical assets and use significant unobservable inputs, they have been classified as Level 3 in the fair value hierarchy.</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—The carrying amount of the revolving credit facility is considered a reasonable estimate of fair value due to its floating-rate terms.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values of the Company’s financial instruments where carrying values do not approximate fair value were as follows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As of September 24, 2020</w:t>
            </w:r>
          </w:p>
        </w:tc>
        <w:tc>
          <w:tcPr>
            <w:tcW w:w="120" w:type="dxa"/>
            <w:vAlign w:val="bottom"/>
          </w:tcPr>
          <w:p>
            <w:pPr>
              <w:spacing w:after="0"/>
              <w:rPr>
                <w:sz w:val="16"/>
                <w:szCs w:val="16"/>
                <w:color w:val="auto"/>
              </w:rPr>
            </w:pPr>
          </w:p>
        </w:tc>
        <w:tc>
          <w:tcPr>
            <w:tcW w:w="2500" w:type="dxa"/>
            <w:vAlign w:val="bottom"/>
            <w:gridSpan w:val="4"/>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As of December 26, 2019</w:t>
            </w:r>
          </w:p>
        </w:tc>
      </w:tr>
      <w:tr>
        <w:trPr>
          <w:trHeight w:val="188"/>
        </w:trPr>
        <w:tc>
          <w:tcPr>
            <w:tcW w:w="58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4"/>
                <w:szCs w:val="14"/>
                <w:b w:val="1"/>
                <w:bCs w:val="1"/>
                <w:i w:val="1"/>
                <w:iCs w:val="1"/>
                <w:color w:val="auto"/>
              </w:rPr>
              <w:t>(1)</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4"/>
                <w:szCs w:val="14"/>
                <w:b w:val="1"/>
                <w:bCs w:val="1"/>
                <w:i w:val="1"/>
                <w:iCs w:val="1"/>
                <w:color w:val="auto"/>
              </w:rPr>
              <w:t>(1)</w:t>
            </w:r>
          </w:p>
        </w:tc>
      </w:tr>
      <w:tr>
        <w:trPr>
          <w:trHeight w:val="223"/>
        </w:trPr>
        <w:tc>
          <w:tcPr>
            <w:tcW w:w="5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w:t>
            </w:r>
          </w:p>
        </w:tc>
      </w:tr>
      <w:tr>
        <w:trPr>
          <w:trHeight w:val="22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2026</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w:t>
            </w: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due 2028</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w:t>
      </w:r>
    </w:p>
    <w:p>
      <w:pPr>
        <w:spacing w:after="0" w:line="10" w:lineRule="exact"/>
        <w:rPr>
          <w:sz w:val="20"/>
          <w:szCs w:val="20"/>
          <w:color w:val="auto"/>
        </w:rPr>
      </w:pPr>
    </w:p>
    <w:p>
      <w:pPr>
        <w:ind w:left="340" w:hanging="332"/>
        <w:spacing w:after="0" w:line="258" w:lineRule="auto"/>
        <w:tabs>
          <w:tab w:leader="none" w:pos="334"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If the Company were to measure the borrowings in the above table at fair value on the balance sheet they would be classified as Level 2 based upon the inputs utilized.</w:t>
      </w:r>
    </w:p>
    <w:p>
      <w:pPr>
        <w:spacing w:after="0" w:line="125" w:lineRule="exact"/>
        <w:rPr>
          <w:sz w:val="20"/>
          <w:szCs w:val="20"/>
          <w:color w:val="auto"/>
        </w:rPr>
      </w:pPr>
    </w:p>
    <w:p>
      <w:pPr>
        <w:ind w:right="320" w:firstLine="52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Recurring Measurements</w:t>
      </w:r>
      <w:r>
        <w:rPr>
          <w:rFonts w:ascii="Times New Roman" w:cs="Times New Roman" w:eastAsia="Times New Roman" w:hAnsi="Times New Roman"/>
          <w:sz w:val="18"/>
          <w:szCs w:val="18"/>
          <w:color w:val="auto"/>
        </w:rPr>
        <w:t>—The fair values of the Company’s assets and liabilities measured on a recurring basis pursuant to ASC 820-10,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Fair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Value Measurements and Disclosures </w:t>
      </w:r>
      <w:r>
        <w:rPr>
          <w:rFonts w:ascii="Times New Roman" w:cs="Times New Roman" w:eastAsia="Times New Roman" w:hAnsi="Times New Roman"/>
          <w:sz w:val="18"/>
          <w:szCs w:val="18"/>
          <w:color w:val="auto"/>
        </w:rPr>
        <w:t>are as follows (in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320" w:type="dxa"/>
            <w:vAlign w:val="bottom"/>
            <w:tcBorders>
              <w:bottom w:val="single" w:sz="8" w:color="auto"/>
            </w:tcBorders>
            <w:gridSpan w:val="6"/>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160" w:type="dxa"/>
            <w:vAlign w:val="bottom"/>
            <w:vMerge w:val="restart"/>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Fair Value as of</w:t>
            </w:r>
          </w:p>
        </w:tc>
        <w:tc>
          <w:tcPr>
            <w:tcW w:w="160" w:type="dxa"/>
            <w:vAlign w:val="bottom"/>
          </w:tcPr>
          <w:p>
            <w:pPr>
              <w:spacing w:after="0"/>
              <w:rPr>
                <w:sz w:val="11"/>
                <w:szCs w:val="11"/>
                <w:color w:val="auto"/>
              </w:rPr>
            </w:pPr>
          </w:p>
        </w:tc>
        <w:tc>
          <w:tcPr>
            <w:tcW w:w="15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1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1"/>
                <w:szCs w:val="11"/>
                <w:color w:val="auto"/>
              </w:rPr>
            </w:pPr>
          </w:p>
        </w:tc>
        <w:tc>
          <w:tcPr>
            <w:tcW w:w="14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24, 2020</w:t>
            </w:r>
          </w:p>
        </w:tc>
        <w:tc>
          <w:tcPr>
            <w:tcW w:w="16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60" w:type="dxa"/>
            <w:vAlign w:val="bottom"/>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Cash equivalents </w:t>
            </w:r>
            <w:r>
              <w:rPr>
                <w:rFonts w:ascii="Times New Roman" w:cs="Times New Roman" w:eastAsia="Times New Roman" w:hAnsi="Times New Roman"/>
                <w:sz w:val="18"/>
                <w:szCs w:val="18"/>
                <w:i w:val="1"/>
                <w:iCs w:val="1"/>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Short-term marketable securities </w:t>
            </w:r>
            <w:r>
              <w:rPr>
                <w:rFonts w:ascii="Times New Roman" w:cs="Times New Roman" w:eastAsia="Times New Roman" w:hAnsi="Times New Roman"/>
                <w:sz w:val="18"/>
                <w:szCs w:val="18"/>
                <w:i w:val="1"/>
                <w:iCs w:val="1"/>
                <w:color w:val="auto"/>
              </w:rPr>
              <w:t>(2)</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Long-term marketable securities </w:t>
            </w:r>
            <w:r>
              <w:rPr>
                <w:rFonts w:ascii="Times New Roman" w:cs="Times New Roman" w:eastAsia="Times New Roman" w:hAnsi="Times New Roman"/>
                <w:sz w:val="18"/>
                <w:szCs w:val="18"/>
                <w:i w:val="1"/>
                <w:iCs w:val="1"/>
                <w:color w:val="auto"/>
              </w:rPr>
              <w:t>(2)</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82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9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gridSpan w:val="6"/>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160" w:type="dxa"/>
            <w:vAlign w:val="bottom"/>
            <w:vMerge w:val="restart"/>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Fair Value as of</w:t>
            </w:r>
          </w:p>
        </w:tc>
        <w:tc>
          <w:tcPr>
            <w:tcW w:w="160" w:type="dxa"/>
            <w:vAlign w:val="bottom"/>
          </w:tcPr>
          <w:p>
            <w:pPr>
              <w:spacing w:after="0"/>
              <w:rPr>
                <w:sz w:val="11"/>
                <w:szCs w:val="11"/>
                <w:color w:val="auto"/>
              </w:rPr>
            </w:pPr>
          </w:p>
        </w:tc>
        <w:tc>
          <w:tcPr>
            <w:tcW w:w="15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1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1"/>
                <w:szCs w:val="11"/>
                <w:color w:val="auto"/>
              </w:rPr>
            </w:pPr>
          </w:p>
        </w:tc>
        <w:tc>
          <w:tcPr>
            <w:tcW w:w="14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26, 2019</w:t>
            </w:r>
          </w:p>
        </w:tc>
        <w:tc>
          <w:tcPr>
            <w:tcW w:w="16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60" w:type="dxa"/>
            <w:vAlign w:val="bottom"/>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Cash equivalents </w:t>
            </w:r>
            <w:r>
              <w:rPr>
                <w:rFonts w:ascii="Times New Roman" w:cs="Times New Roman" w:eastAsia="Times New Roman" w:hAnsi="Times New Roman"/>
                <w:sz w:val="18"/>
                <w:szCs w:val="18"/>
                <w:i w:val="1"/>
                <w:iCs w:val="1"/>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1160" w:type="dxa"/>
            <w:vAlign w:val="bottom"/>
          </w:tcPr>
          <w:p>
            <w:pPr>
              <w:jc w:val="right"/>
              <w:ind w:right="9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Short-term marketable securities </w:t>
            </w:r>
            <w:r>
              <w:rPr>
                <w:rFonts w:ascii="Times New Roman" w:cs="Times New Roman" w:eastAsia="Times New Roman" w:hAnsi="Times New Roman"/>
                <w:sz w:val="18"/>
                <w:szCs w:val="18"/>
                <w:i w:val="1"/>
                <w:iCs w:val="1"/>
                <w:color w:val="auto"/>
              </w:rPr>
              <w:t>(2)</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Long-term marketable securities </w:t>
            </w:r>
            <w:r>
              <w:rPr>
                <w:rFonts w:ascii="Times New Roman" w:cs="Times New Roman" w:eastAsia="Times New Roman" w:hAnsi="Times New Roman"/>
                <w:sz w:val="18"/>
                <w:szCs w:val="18"/>
                <w:i w:val="1"/>
                <w:iCs w:val="1"/>
                <w:color w:val="auto"/>
              </w:rPr>
              <w:t>(2)</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82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9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27" w:lineRule="exact"/>
        <w:rPr>
          <w:sz w:val="20"/>
          <w:szCs w:val="20"/>
          <w:color w:val="auto"/>
        </w:rPr>
      </w:pPr>
    </w:p>
    <w:p>
      <w:pPr>
        <w:ind w:left="660" w:right="20" w:hanging="328"/>
        <w:spacing w:after="0" w:line="250" w:lineRule="auto"/>
        <w:tabs>
          <w:tab w:leader="none" w:pos="654"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Cash Equivalents</w:t>
      </w:r>
      <w:r>
        <w:rPr>
          <w:rFonts w:ascii="Times New Roman" w:cs="Times New Roman" w:eastAsia="Times New Roman" w:hAnsi="Times New Roman"/>
          <w:sz w:val="18"/>
          <w:szCs w:val="18"/>
          <w:color w:val="auto"/>
        </w:rPr>
        <w:t>—The Company’s cash equivalents are carried at estimated fair value following the Company's election of the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Cash equivalents consist of money market accounts which the Company has classified as Level 1 given the active market for these accounts and commercial paper with original maturities of three months or less, which are classified as Level 2 and are valued as described below.</w:t>
      </w:r>
    </w:p>
    <w:p>
      <w:pPr>
        <w:spacing w:after="0" w:line="1" w:lineRule="exact"/>
        <w:rPr>
          <w:rFonts w:ascii="Times New Roman" w:cs="Times New Roman" w:eastAsia="Times New Roman" w:hAnsi="Times New Roman"/>
          <w:sz w:val="18"/>
          <w:szCs w:val="18"/>
          <w:i w:val="1"/>
          <w:iCs w:val="1"/>
          <w:color w:val="auto"/>
        </w:rPr>
      </w:pPr>
    </w:p>
    <w:p>
      <w:pPr>
        <w:ind w:left="660" w:right="20" w:hanging="328"/>
        <w:spacing w:after="0" w:line="255" w:lineRule="auto"/>
        <w:tabs>
          <w:tab w:leader="none" w:pos="654"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Short-Term and Long-Term Marketable Securities</w:t>
      </w:r>
      <w:r>
        <w:rPr>
          <w:rFonts w:ascii="Times New Roman" w:cs="Times New Roman" w:eastAsia="Times New Roman" w:hAnsi="Times New Roman"/>
          <w:sz w:val="18"/>
          <w:szCs w:val="18"/>
          <w:color w:val="auto"/>
        </w:rPr>
        <w:t>—The carrying amount and fair value of the marketable securities are equivalent since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accounts for these instruments at fair value. The Company’s government agency bonds, commercial paper and certificates of deposit are valued using third party broker quotes. The value of the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3" w:name="page24"/>
    <w:bookmarkEnd w:id="23"/>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80" w:lineRule="exact"/>
        <w:rPr>
          <w:sz w:val="20"/>
          <w:szCs w:val="20"/>
          <w:color w:val="auto"/>
        </w:rPr>
      </w:pPr>
    </w:p>
    <w:p>
      <w:pPr>
        <w:ind w:left="660"/>
        <w:spacing w:after="0" w:line="254" w:lineRule="auto"/>
        <w:rPr>
          <w:sz w:val="20"/>
          <w:szCs w:val="20"/>
          <w:color w:val="auto"/>
        </w:rPr>
      </w:pPr>
      <w:r>
        <w:rPr>
          <w:rFonts w:ascii="Times New Roman" w:cs="Times New Roman" w:eastAsia="Times New Roman" w:hAnsi="Times New Roman"/>
          <w:sz w:val="18"/>
          <w:szCs w:val="18"/>
          <w:color w:val="auto"/>
        </w:rPr>
        <w:t>Company’s government agency bonds is derived from quoted market information. The inputs in the valuation are classified as Level 1 if there is an active market for these securities; however, if an active market does not exist, the inputs are recorded at a lower level in the fair value hierarchy. The value of commercial paper and certificates of deposit is derived from pricing models using inputs based upon market information, including contractual terms, market prices and yield curves. The inputs to the valuation pricing models are observable in the market, and as such are generally classified as Level 2 in the fair value hierarchy. As of September 24, 2020, there was $2.8 million of available-for-sale debt securities in unrealized loss positions without an allowance for credit losses. The Company has not recorded an allowance for credit losses for the marketable securities balance as of September 24, 2020 given the immaterial difference between the amortized cost basis and the aggregate fair value of the Company's securities.</w:t>
      </w:r>
    </w:p>
    <w:p>
      <w:pPr>
        <w:spacing w:after="0" w:line="13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amortized cost basis, aggregate fair value and maturities of the marketable securities the Company held as of September 24, 2020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26, 2019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September 24, 2020</w:t>
            </w: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75"/>
              <w:spacing w:after="0" w:line="134"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300"/>
              <w:spacing w:after="0" w:line="134" w:lineRule="exact"/>
              <w:rPr>
                <w:sz w:val="20"/>
                <w:szCs w:val="20"/>
                <w:color w:val="auto"/>
              </w:rPr>
            </w:pPr>
            <w:r>
              <w:rPr>
                <w:rFonts w:ascii="Times New Roman" w:cs="Times New Roman" w:eastAsia="Times New Roman" w:hAnsi="Times New Roman"/>
                <w:sz w:val="14"/>
                <w:szCs w:val="14"/>
                <w:b w:val="1"/>
                <w:bCs w:val="1"/>
                <w:color w:val="auto"/>
              </w:rPr>
              <w:t>Aggregate Fair</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Maturities </w:t>
            </w:r>
            <w:r>
              <w:rPr>
                <w:rFonts w:ascii="Times New Roman" w:cs="Times New Roman" w:eastAsia="Times New Roman" w:hAnsi="Times New Roman"/>
                <w:sz w:val="14"/>
                <w:szCs w:val="14"/>
                <w:b w:val="1"/>
                <w:bCs w:val="1"/>
                <w:i w:val="1"/>
                <w:iCs w:val="1"/>
                <w:color w:val="auto"/>
              </w:rPr>
              <w:t>(1)</w:t>
            </w:r>
          </w:p>
        </w:tc>
        <w:tc>
          <w:tcPr>
            <w:tcW w:w="0" w:type="dxa"/>
            <w:vAlign w:val="bottom"/>
          </w:tcPr>
          <w:p>
            <w:pPr>
              <w:spacing w:after="0"/>
              <w:rPr>
                <w:sz w:val="1"/>
                <w:szCs w:val="1"/>
                <w:color w:val="auto"/>
              </w:rPr>
            </w:pPr>
          </w:p>
        </w:tc>
      </w:tr>
      <w:tr>
        <w:trPr>
          <w:trHeight w:val="135"/>
        </w:trPr>
        <w:tc>
          <w:tcPr>
            <w:tcW w:w="6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55"/>
              <w:spacing w:after="0" w:line="135" w:lineRule="exact"/>
              <w:rPr>
                <w:sz w:val="20"/>
                <w:szCs w:val="20"/>
                <w:color w:val="auto"/>
              </w:rPr>
            </w:pPr>
            <w:r>
              <w:rPr>
                <w:rFonts w:ascii="Times New Roman" w:cs="Times New Roman" w:eastAsia="Times New Roman" w:hAnsi="Times New Roman"/>
                <w:sz w:val="14"/>
                <w:szCs w:val="14"/>
                <w:b w:val="1"/>
                <w:bCs w:val="1"/>
                <w:color w:val="auto"/>
              </w:rPr>
              <w:t>Basis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09"/>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certificates of deposit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660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certificates of deposit</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Total long-term marketable securities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6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26, 2019</w:t>
            </w: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75"/>
              <w:spacing w:after="0" w:line="134"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300"/>
              <w:spacing w:after="0" w:line="134" w:lineRule="exact"/>
              <w:rPr>
                <w:sz w:val="20"/>
                <w:szCs w:val="20"/>
                <w:color w:val="auto"/>
              </w:rPr>
            </w:pPr>
            <w:r>
              <w:rPr>
                <w:rFonts w:ascii="Times New Roman" w:cs="Times New Roman" w:eastAsia="Times New Roman" w:hAnsi="Times New Roman"/>
                <w:sz w:val="14"/>
                <w:szCs w:val="14"/>
                <w:b w:val="1"/>
                <w:bCs w:val="1"/>
                <w:color w:val="auto"/>
              </w:rPr>
              <w:t>Aggregate Fair</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Maturities </w:t>
            </w:r>
            <w:r>
              <w:rPr>
                <w:rFonts w:ascii="Times New Roman" w:cs="Times New Roman" w:eastAsia="Times New Roman" w:hAnsi="Times New Roman"/>
                <w:sz w:val="14"/>
                <w:szCs w:val="14"/>
                <w:b w:val="1"/>
                <w:bCs w:val="1"/>
                <w:i w:val="1"/>
                <w:iCs w:val="1"/>
                <w:color w:val="auto"/>
              </w:rPr>
              <w:t>(1)</w:t>
            </w:r>
          </w:p>
        </w:tc>
        <w:tc>
          <w:tcPr>
            <w:tcW w:w="0" w:type="dxa"/>
            <w:vAlign w:val="bottom"/>
          </w:tcPr>
          <w:p>
            <w:pPr>
              <w:spacing w:after="0"/>
              <w:rPr>
                <w:sz w:val="1"/>
                <w:szCs w:val="1"/>
                <w:color w:val="auto"/>
              </w:rPr>
            </w:pPr>
          </w:p>
        </w:tc>
      </w:tr>
      <w:tr>
        <w:trPr>
          <w:trHeight w:val="135"/>
        </w:trPr>
        <w:tc>
          <w:tcPr>
            <w:tcW w:w="6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55"/>
              <w:spacing w:after="0" w:line="135" w:lineRule="exact"/>
              <w:rPr>
                <w:sz w:val="20"/>
                <w:szCs w:val="20"/>
                <w:color w:val="auto"/>
              </w:rPr>
            </w:pPr>
            <w:r>
              <w:rPr>
                <w:rFonts w:ascii="Times New Roman" w:cs="Times New Roman" w:eastAsia="Times New Roman" w:hAnsi="Times New Roman"/>
                <w:sz w:val="14"/>
                <w:szCs w:val="14"/>
                <w:b w:val="1"/>
                <w:bCs w:val="1"/>
                <w:color w:val="auto"/>
              </w:rPr>
              <w:t>Basis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10"/>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U.S. government agency bonds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certificates of deposit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municipal bonds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commercial paper:</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Financial</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Industrial</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6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U.S. government agency bonds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certificates of deposit</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long-term marketable securities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7" w:lineRule="exact"/>
        <w:rPr>
          <w:sz w:val="20"/>
          <w:szCs w:val="20"/>
          <w:color w:val="auto"/>
        </w:rPr>
      </w:pPr>
    </w:p>
    <w:p>
      <w:pPr>
        <w:ind w:left="1140" w:right="340" w:hanging="322"/>
        <w:spacing w:after="0" w:line="260" w:lineRule="auto"/>
        <w:tabs>
          <w:tab w:leader="none" w:pos="1134" w:val="left"/>
        </w:tabs>
        <w:numPr>
          <w:ilvl w:val="1"/>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Maturities</w:t>
      </w:r>
      <w:r>
        <w:rPr>
          <w:rFonts w:ascii="Times New Roman" w:cs="Times New Roman" w:eastAsia="Times New Roman" w:hAnsi="Times New Roman"/>
          <w:sz w:val="18"/>
          <w:szCs w:val="18"/>
          <w:color w:val="auto"/>
        </w:rPr>
        <w:t>—Securities available for sale include obligations with various contractual maturity dates some of which are greater than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The Company considers the securities to be liquid and convertible to cash within 30 days.</w:t>
      </w:r>
    </w:p>
    <w:p>
      <w:pPr>
        <w:spacing w:after="0" w:line="123"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w:t>
      </w:r>
    </w:p>
    <w:p>
      <w:pPr>
        <w:spacing w:after="0" w:line="121" w:lineRule="exact"/>
        <w:rPr>
          <w:sz w:val="20"/>
          <w:szCs w:val="20"/>
          <w:color w:val="auto"/>
        </w:rPr>
      </w:pPr>
    </w:p>
    <w:p>
      <w:pPr>
        <w:jc w:val="both"/>
        <w:ind w:right="160" w:firstLine="180"/>
        <w:spacing w:after="0" w:line="266" w:lineRule="auto"/>
        <w:rPr>
          <w:sz w:val="20"/>
          <w:szCs w:val="20"/>
          <w:color w:val="auto"/>
        </w:rPr>
      </w:pPr>
      <w:r>
        <w:rPr>
          <w:rFonts w:ascii="Times New Roman" w:cs="Times New Roman" w:eastAsia="Times New Roman" w:hAnsi="Times New Roman"/>
          <w:sz w:val="18"/>
          <w:szCs w:val="18"/>
          <w:color w:val="auto"/>
        </w:rPr>
        <w:t>On October 30, 2020, the Company declared a cash dividend of $0.07 per share (approximately $5.5 million) on each share of the Company’s common stock (not including outstanding restricted stock which will accrue dividends until the shares vest) to stockholders of record on November 16, 2020 to be paid on December 1, 2020.</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p>
    <w:p>
      <w:pPr>
        <w:spacing w:after="0" w:line="173" w:lineRule="exact"/>
        <w:rPr>
          <w:sz w:val="20"/>
          <w:szCs w:val="20"/>
          <w:color w:val="auto"/>
        </w:rPr>
      </w:pPr>
    </w:p>
    <w:p>
      <w:pPr>
        <w:ind w:right="40" w:firstLine="526"/>
        <w:spacing w:after="0" w:line="268" w:lineRule="auto"/>
        <w:rPr>
          <w:sz w:val="20"/>
          <w:szCs w:val="20"/>
          <w:color w:val="auto"/>
        </w:rPr>
      </w:pPr>
      <w:r>
        <w:rPr>
          <w:rFonts w:ascii="Times New Roman" w:cs="Times New Roman" w:eastAsia="Times New Roman" w:hAnsi="Times New Roman"/>
          <w:sz w:val="17"/>
          <w:szCs w:val="17"/>
          <w:i w:val="1"/>
          <w:iCs w:val="1"/>
          <w:color w:val="auto"/>
        </w:rPr>
        <w:t>Some of the information in this Quarterly Report on Form 10-Q includes “forward-looking statements” within the meaning of Section 27A of the Securities Act of 1933, as amended, and Section 21E of the Securities Exchange Act of 1934 (the “Exchange Act”), as amended. All statements other than statements of historical facts included in this Form 10-Q, including, without limitation, certain statements under “Management’s Discussion and Analysis of Financial Condition and Results of Operations” and statements related to the impact of the current COVID-19 Pandemic on our business and results, may constitute forward-looking statements. In some cases, you can identify these “forward-looking statements” by the specific words, including but not limited to “may,” “should,” “expects,” “plans,” “anticipates,” “believes,” “estimates,” “predicts,” “potential” or “continue” or the negative of those words and other comparable words. These forward-looking statements involve risks and uncertainties. Our actual results could differ materially from those indicated in these statements as a result of certain factors as more fully discussed under the heading “Risk Factors” below and in our annual report on Form 10-K for the Company’s fiscal year ended December 26, 2019 and as updated within our quarterly report on Form 10-Q filed with the SEC on May 5, 2020 for the quarter ended March 26, 2020. Among other risks, we face significant risk and volatility related to the COVID-19 Pandemic as discussed in this report. Investors are cautioned not to place undue reliance on any such forward-looking statements, which speak only as of the date they are made. We undertake no obligation to update any forward-looking statement, whether as a result of new information, future events or otherwise, except as required by law. The following discussion and analysis should be read in conjunction with the unaudited Condensed Consolidated Financial Statements and notes thereto included herein and the audited financial statements and other disclosure included in our annual report on Form 10-K for the Company’s fiscal year ended December 26, 2019. In the following discussion and analysis, the term net income refers to net income attributable to NCM, Inc.</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firstLine="526"/>
        <w:spacing w:after="0" w:line="254" w:lineRule="auto"/>
        <w:rPr>
          <w:sz w:val="20"/>
          <w:szCs w:val="20"/>
          <w:color w:val="auto"/>
        </w:rPr>
      </w:pPr>
      <w:r>
        <w:rPr>
          <w:rFonts w:ascii="Times New Roman" w:cs="Times New Roman" w:eastAsia="Times New Roman" w:hAnsi="Times New Roman"/>
          <w:sz w:val="18"/>
          <w:szCs w:val="18"/>
          <w:color w:val="auto"/>
        </w:rPr>
        <w:t xml:space="preserve">We are America's Movie Network. As the largest cinema advertising network in the U.S., we unite brands with the power of movies and engage movie fans anytime and anywhere. We currently derive revenue principally from the sale of advertising to national, regional and local businesses in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our cinema advertising and entertainment pre-show seen on movie screens across the U.S. Beginning in mid-March 2020, each of our founding members and all of our network affiliates announced that their theaters would be temporarily closed to address the COVID-19 Pandemic and almost all of the theaters within our network remained closed until late August 2020. On September 4, 2020 the Company resumed in-theater advertising and as of September 24, 2020, approximately two-thirds of the theaters within our network were open. As of October 30, approximately 53% of theaters within our network are open. Refer to the “Recent Developments” section below for further information regarding the impact of and the Company's response to the COVID-19 Pandemic.</w:t>
      </w:r>
    </w:p>
    <w:p>
      <w:pPr>
        <w:spacing w:after="0" w:line="136" w:lineRule="exact"/>
        <w:rPr>
          <w:sz w:val="20"/>
          <w:szCs w:val="20"/>
          <w:color w:val="auto"/>
        </w:rPr>
      </w:pPr>
    </w:p>
    <w:p>
      <w:pPr>
        <w:ind w:right="200" w:firstLine="526"/>
        <w:spacing w:after="0" w:line="271" w:lineRule="auto"/>
        <w:rPr>
          <w:sz w:val="20"/>
          <w:szCs w:val="20"/>
          <w:color w:val="auto"/>
        </w:rPr>
      </w:pPr>
      <w:r>
        <w:rPr>
          <w:rFonts w:ascii="Times New Roman" w:cs="Times New Roman" w:eastAsia="Times New Roman" w:hAnsi="Times New Roman"/>
          <w:sz w:val="17"/>
          <w:szCs w:val="17"/>
          <w:color w:val="auto"/>
        </w:rPr>
        <w:t xml:space="preserve">Beginning in November 2019 following the completion of the 2019 ESA Amendments, we now present two different formats of our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pre-show depending on the theater circuit in which it runs. In Regal and Cinemark and 14 of our network affiliates' theaters,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now includes advertising inventory after the advertised showtime consisting of (1) the lights down segment that runs for five minutes after the advertised showtime with trailer lighting and (2) the 30- or 60-second Platinum Spot (together, the “Post-Showtime Inventory”). As of September 24, 2020, theaters presenting the</w:t>
      </w:r>
    </w:p>
    <w:p>
      <w:pPr>
        <w:spacing w:after="0" w:line="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new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format with Post-Showtime Inventory made up approximately 58% of our network based upon 2019 attendance. All other NCM network theater circuits, which make up the remaining 42% of our network, present the Classic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which ends approximately at the advertised movie showtime when the movie trailers begin. The movie trailers that run before the feature film are not part of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ind w:right="40" w:firstLine="526"/>
        <w:spacing w:after="0" w:line="237" w:lineRule="auto"/>
        <w:rPr>
          <w:sz w:val="20"/>
          <w:szCs w:val="20"/>
          <w:color w:val="auto"/>
        </w:rPr>
      </w:pPr>
      <w:r>
        <w:rPr>
          <w:rFonts w:ascii="Times New Roman" w:cs="Times New Roman" w:eastAsia="Times New Roman" w:hAnsi="Times New Roman"/>
          <w:sz w:val="18"/>
          <w:szCs w:val="18"/>
          <w:color w:val="auto"/>
        </w:rPr>
        <w:t xml:space="preserve">We also sell advertising on our LEN, a series of strategically placed screens located in movie theater lobbies, as well as other forms of advertising and promotions in theater lobbies. In addition, we sell online and mobile advertising through our </w:t>
      </w:r>
      <w:r>
        <w:rPr>
          <w:rFonts w:ascii="Times New Roman" w:cs="Times New Roman" w:eastAsia="Times New Roman" w:hAnsi="Times New Roman"/>
          <w:sz w:val="18"/>
          <w:szCs w:val="18"/>
          <w:i w:val="1"/>
          <w:iCs w:val="1"/>
          <w:color w:val="auto"/>
        </w:rPr>
        <w:t>Cinema Accelerator</w:t>
      </w:r>
      <w:r>
        <w:rPr>
          <w:rFonts w:ascii="Times New Roman" w:cs="Times New Roman" w:eastAsia="Times New Roman" w:hAnsi="Times New Roman"/>
          <w:sz w:val="18"/>
          <w:szCs w:val="18"/>
          <w:color w:val="auto"/>
        </w:rPr>
        <w:t xml:space="preserve"> and across our suite of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digital properties, including </w:t>
      </w:r>
      <w:r>
        <w:rPr>
          <w:rFonts w:ascii="Times New Roman" w:cs="Times New Roman" w:eastAsia="Times New Roman" w:hAnsi="Times New Roman"/>
          <w:sz w:val="18"/>
          <w:szCs w:val="18"/>
          <w:i w:val="1"/>
          <w:iCs w:val="1"/>
          <w:color w:val="auto"/>
        </w:rPr>
        <w:t>Noovie.com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Noovie Shuffle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Name That Movie, Noovie Arcade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Fantasy Movie League</w:t>
      </w:r>
      <w:r>
        <w:rPr>
          <w:rFonts w:ascii="Times New Roman" w:cs="Times New Roman" w:eastAsia="Times New Roman" w:hAnsi="Times New Roman"/>
          <w:sz w:val="18"/>
          <w:szCs w:val="18"/>
          <w:color w:val="auto"/>
        </w:rPr>
        <w:t xml:space="preserve"> in order to reach entertainment audiences beyond the theater. As of September 24, 2020, approximately 4.2 million moviegoers have downloaded our mobile apps. These downloads and the acquisition of second party data have resulted in first- and second-party data sets of over 146 million as of September 24, 2020. We have long-term ESAs (approximately 19.0 weighted average years remaining based on 2019 attendance) with the founding members and multi-year agreements with our network affiliates, which expire at various dates between January 2021 and July 2031. The weighted average remaining term (based on 2019 attendance) of the ESAs and the network affiliate agreements is 16.5 years as of September 24, 2020. The ESAs and network affiliate agreements grant NCM LLC exclusive rights in their theaters to sell advertising, subject to limited exceptions. Our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and LEN programming are distributed predominantly via satellite through our proprietary DCN. Approximately 99% of the aggregate founding member and network affiliate theater attendance is generated by theaters connected to our DCN (the remaining screens receive advertisements on USB drives) and 100%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is projected on digital projectors (96% digital cinema projectors and 4% LCD projectors) as of September 24, 2020.</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5" w:name="page26"/>
    <w:bookmarkEnd w:id="25"/>
    <w:p>
      <w:pPr>
        <w:ind w:firstLine="526"/>
        <w:spacing w:after="0" w:line="253" w:lineRule="auto"/>
        <w:rPr>
          <w:sz w:val="20"/>
          <w:szCs w:val="20"/>
          <w:color w:val="auto"/>
        </w:rPr>
      </w:pPr>
      <w:r>
        <w:rPr>
          <w:rFonts w:ascii="Times New Roman" w:cs="Times New Roman" w:eastAsia="Times New Roman" w:hAnsi="Times New Roman"/>
          <w:sz w:val="18"/>
          <w:szCs w:val="18"/>
          <w:color w:val="auto"/>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Senior executives hold meetings at least once per quarter with members of management to discuss and analyze operating results and address significant variances to budget and prior year in an effort to identify trends and changes in our business. We focus on operating metrics including changes in revenue, Adjusted OIBDA and Adjusted OIBDA margin, as defined and discussed below, as some of our primary measurement metrics. In addition, we monitor our monthly advertising performance measurements, including advertising inventory utilization, national and regional advertising pricing (CPM), local advertising rate per screen per week, national and local and regional and total advertising revenue per attendee. We also monitor free cash flow, the dividend coverage ratio, financial leverage ratio (net debt divided by Adjusted OIBDA plus integration payments and other encumbered theater payments), cash balances and revolving credit facility availability to ensure financial debt covenant compliance and that there is adequate cash availability to fund our working capital needs and debt obligations and current and future dividends declared by our Board of Directors.</w:t>
      </w:r>
    </w:p>
    <w:p>
      <w:pPr>
        <w:spacing w:after="0" w:line="356" w:lineRule="exact"/>
        <w:rPr>
          <w:sz w:val="20"/>
          <w:szCs w:val="20"/>
          <w:color w:val="auto"/>
        </w:rPr>
      </w:pPr>
    </w:p>
    <w:p>
      <w:pPr>
        <w:jc w:val="both"/>
        <w:ind w:right="480" w:firstLine="526"/>
        <w:spacing w:after="0" w:line="266" w:lineRule="auto"/>
        <w:rPr>
          <w:sz w:val="20"/>
          <w:szCs w:val="20"/>
          <w:color w:val="auto"/>
        </w:rPr>
      </w:pPr>
      <w:r>
        <w:rPr>
          <w:rFonts w:ascii="Times New Roman" w:cs="Times New Roman" w:eastAsia="Times New Roman" w:hAnsi="Times New Roman"/>
          <w:sz w:val="18"/>
          <w:szCs w:val="18"/>
          <w:color w:val="auto"/>
        </w:rPr>
        <w:t>Our operating results may be affected by a variety of internal and external factors and trends described more fully in the section entitled “Risk Factors” below and in our annual report on Form 10-K filed with the SEC on February 20, 2020 for our fiscal year ended December 26, 2019 and as updated within our quarterly report on Form 10-Q filed with the SEC on May 5, 2020 for the quarter ended March 26, 2020.</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58" w:lineRule="exact"/>
        <w:rPr>
          <w:sz w:val="20"/>
          <w:szCs w:val="20"/>
          <w:color w:val="auto"/>
        </w:rPr>
      </w:pPr>
    </w:p>
    <w:p>
      <w:pPr>
        <w:ind w:right="60" w:firstLine="526"/>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COVID-19</w:t>
      </w:r>
      <w:r>
        <w:rPr>
          <w:rFonts w:ascii="Times New Roman" w:cs="Times New Roman" w:eastAsia="Times New Roman" w:hAnsi="Times New Roman"/>
          <w:sz w:val="18"/>
          <w:szCs w:val="18"/>
          <w:color w:val="auto"/>
        </w:rPr>
        <w:t>— Following the World Health Organization’s declaration of the COVID-19 virus as a pandemic, the United States’ government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state and local governments issued precautionary restrictions on travel, public gatherings and other events and issued social distancing guidelines. Beginning in mid-March 2020, each of our founding members and all of our network affiliates announced that their theaters would be temporarily closed and almost all of the theaters within our network remained closed until late August 2020. The Company generated no in-theater advertising revenue for the approximate six months that the theaters were closed. Major motion picture releases expected to occur during the temporary closure period were delayed until late 2020 or into 2021 or have been released directly to alternative delivery methods bypassing the theater entirely.</w:t>
      </w:r>
    </w:p>
    <w:p>
      <w:pPr>
        <w:spacing w:after="0" w:line="129" w:lineRule="exact"/>
        <w:rPr>
          <w:sz w:val="20"/>
          <w:szCs w:val="20"/>
          <w:color w:val="auto"/>
        </w:rPr>
      </w:pPr>
    </w:p>
    <w:p>
      <w:pPr>
        <w:ind w:right="80" w:firstLine="526"/>
        <w:spacing w:after="0" w:line="245" w:lineRule="auto"/>
        <w:rPr>
          <w:sz w:val="20"/>
          <w:szCs w:val="20"/>
          <w:color w:val="auto"/>
        </w:rPr>
      </w:pPr>
      <w:r>
        <w:rPr>
          <w:rFonts w:ascii="Times New Roman" w:cs="Times New Roman" w:eastAsia="Times New Roman" w:hAnsi="Times New Roman"/>
          <w:sz w:val="18"/>
          <w:szCs w:val="18"/>
          <w:color w:val="auto"/>
        </w:rPr>
        <w:t>On September 4, 2020 the Company resumed advertising within the theaters that were open in our network; however in-theater advertising revenue continues to be adversely impacted as attendance at the reopened theaters has been less than normal given COVID-19 restrictions around patron capacity limitations and a continued lack of new major motion picture releases. As of September 24, 2020, approximately two-thirds of the theaters within our network had reopened. The results of the three and nine months ended September 24, 2020 were significantly impacted by the COVID-19 Pandemic.</w:t>
      </w:r>
    </w:p>
    <w:p>
      <w:pPr>
        <w:spacing w:after="0" w:line="73" w:lineRule="exact"/>
        <w:rPr>
          <w:sz w:val="20"/>
          <w:szCs w:val="20"/>
          <w:color w:val="auto"/>
        </w:rPr>
      </w:pPr>
    </w:p>
    <w:p>
      <w:pPr>
        <w:ind w:firstLine="526"/>
        <w:spacing w:after="0" w:line="242" w:lineRule="auto"/>
        <w:rPr>
          <w:sz w:val="20"/>
          <w:szCs w:val="20"/>
          <w:color w:val="auto"/>
        </w:rPr>
      </w:pPr>
      <w:r>
        <w:rPr>
          <w:rFonts w:ascii="Times New Roman" w:cs="Times New Roman" w:eastAsia="Times New Roman" w:hAnsi="Times New Roman"/>
          <w:sz w:val="18"/>
          <w:szCs w:val="18"/>
          <w:color w:val="auto"/>
        </w:rPr>
        <w:t>In October 2020, Regal announced the re-closure of its theaters in the United States and as of the date of this filing, approximately 53% of theaters within our network are open. Many of the open theaters are operating at reduced hours and offering a limited number of movie showtimes and attendance at open theaters has not reached historical levels. As of the filing date, the COVID-19 virus continues to spread in the United States, and there can be no assurance when theaters within our network will return to normal operations, that the theaters that have reopened will remain open or that patrons will return to the theaters at historical levels.</w:t>
      </w:r>
    </w:p>
    <w:p>
      <w:pPr>
        <w:spacing w:after="0" w:line="77" w:lineRule="exact"/>
        <w:rPr>
          <w:sz w:val="20"/>
          <w:szCs w:val="20"/>
          <w:color w:val="auto"/>
        </w:rPr>
      </w:pPr>
    </w:p>
    <w:p>
      <w:pPr>
        <w:ind w:right="100" w:firstLine="526"/>
        <w:spacing w:after="0" w:line="239" w:lineRule="auto"/>
        <w:rPr>
          <w:sz w:val="20"/>
          <w:szCs w:val="20"/>
          <w:color w:val="auto"/>
        </w:rPr>
      </w:pPr>
      <w:r>
        <w:rPr>
          <w:rFonts w:ascii="Times New Roman" w:cs="Times New Roman" w:eastAsia="Times New Roman" w:hAnsi="Times New Roman"/>
          <w:sz w:val="18"/>
          <w:szCs w:val="18"/>
          <w:color w:val="auto"/>
        </w:rPr>
        <w:t>The Company's ability to advertise has been and will continue to be limited due to the portion of our network that remains closed or has re-closed, reduced movie schedules and patron capacities at many network theaters and the timing and frequency of major motion picture releases as compared to prior years due to the COVID-19 Pandemic. Our theater access fees, network affiliate payments and Platinum Spot revenue share payments are driven by attendance, active screens and/or in-theater advertising revenue, and therefore, were not incurred for the duration of time that the theaters were closed and attendance-based fees will be reduced for the period of time that attendance is lower than historical levels. Even though our ability to generate in-theater advertising revenue will be negatively impacted by government mandated capacity restrictions and the limited new content currently available, we are still required to pay these screen-based fees when theaters are open, which may be reduced for months where screens are in use for only part of the month. We have been working to preserve cash and ensure sufficient liquidity to endure the impacts of the COVID-19 Pandemic, even if prolonged.</w:t>
      </w:r>
    </w:p>
    <w:p>
      <w:pPr>
        <w:spacing w:after="0" w:line="66" w:lineRule="exact"/>
        <w:rPr>
          <w:sz w:val="20"/>
          <w:szCs w:val="20"/>
          <w:color w:val="auto"/>
        </w:rPr>
      </w:pPr>
    </w:p>
    <w:p>
      <w:pPr>
        <w:ind w:right="40" w:firstLine="526"/>
        <w:spacing w:after="0" w:line="229" w:lineRule="auto"/>
        <w:rPr>
          <w:sz w:val="20"/>
          <w:szCs w:val="20"/>
          <w:color w:val="auto"/>
        </w:rPr>
      </w:pPr>
      <w:r>
        <w:rPr>
          <w:rFonts w:ascii="Times New Roman" w:cs="Times New Roman" w:eastAsia="Times New Roman" w:hAnsi="Times New Roman"/>
          <w:sz w:val="18"/>
          <w:szCs w:val="18"/>
          <w:color w:val="auto"/>
        </w:rPr>
        <w:t>During the temporary theater closures, when we were not running advertising, we temporarily furloughed approximately 30% of our staff and temporarily reduced the pay of the remaining employees by up to 50%, which in aggregate reduced our compensation expense by 50% (“Temporary Salary and Wage Reductions”). In response to the reopening of a portion of our network, we brought back most of our staff from furlough by September 24, 2020 and lifted some of the Temporary Salary and Wage Reductions. All full-time employees are still at salary reductions of up to 20%, although the Company expects to restore all salaries for full-time employees over its next two quarters.</w:t>
      </w:r>
    </w:p>
    <w:p>
      <w:pPr>
        <w:spacing w:after="0" w:line="66" w:lineRule="exact"/>
        <w:rPr>
          <w:sz w:val="20"/>
          <w:szCs w:val="20"/>
          <w:color w:val="auto"/>
        </w:rPr>
      </w:pPr>
    </w:p>
    <w:p>
      <w:pPr>
        <w:ind w:right="160" w:firstLine="526"/>
        <w:spacing w:after="0" w:line="236" w:lineRule="auto"/>
        <w:rPr>
          <w:sz w:val="20"/>
          <w:szCs w:val="20"/>
          <w:color w:val="auto"/>
        </w:rPr>
      </w:pPr>
      <w:r>
        <w:rPr>
          <w:rFonts w:ascii="Times New Roman" w:cs="Times New Roman" w:eastAsia="Times New Roman" w:hAnsi="Times New Roman"/>
          <w:sz w:val="18"/>
          <w:szCs w:val="18"/>
          <w:color w:val="auto"/>
        </w:rPr>
        <w:t>In November 2020, given the limited attendance levels and expected delay in new movie releases, we re-implemented a combination of temporary furloughs, permanent layoffs and further salary reductions. In total, we have permanently reduced our total headcount by approximately 20% from pre-COVID-19 Pandemic headcount levels.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 w:name="page27"/>
    <w:bookmarkEnd w:id="26"/>
    <w:p>
      <w:pPr>
        <w:ind w:right="340" w:firstLine="526"/>
        <w:spacing w:after="0" w:line="266" w:lineRule="auto"/>
        <w:rPr>
          <w:sz w:val="20"/>
          <w:szCs w:val="20"/>
          <w:color w:val="auto"/>
        </w:rPr>
      </w:pPr>
      <w:r>
        <w:rPr>
          <w:rFonts w:ascii="Times New Roman" w:cs="Times New Roman" w:eastAsia="Times New Roman" w:hAnsi="Times New Roman"/>
          <w:sz w:val="18"/>
          <w:szCs w:val="18"/>
          <w:color w:val="auto"/>
        </w:rPr>
        <w:t>Since the start of the COVID-19 Pandemic, we have also taken the following cash preservation actions that the Company anticipates continuing until the Company’s operations normalize:</w:t>
      </w:r>
    </w:p>
    <w:p>
      <w:pPr>
        <w:spacing w:after="0" w:line="189"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some of the temporary reductions in cash compensation of employees by up to 20%;</w:t>
      </w:r>
    </w:p>
    <w:p>
      <w:pPr>
        <w:spacing w:after="0" w:line="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Temporarily reduced cash compensation of the Company's Board of Directors by 20%;</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Suspended certain non-essential operating expenditures, including marketing, research, employee travel and consulting services;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a hiring freeze on non-essential positions;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Temporarily suspended the 401K employee match program;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Terminated or deferred certain non-essential capital expenditures;</w:t>
      </w:r>
    </w:p>
    <w:p>
      <w:pPr>
        <w:spacing w:after="0" w:line="9" w:lineRule="exact"/>
        <w:rPr>
          <w:rFonts w:ascii="Times New Roman" w:cs="Times New Roman" w:eastAsia="Times New Roman" w:hAnsi="Times New Roman"/>
          <w:sz w:val="18"/>
          <w:szCs w:val="18"/>
          <w:color w:val="auto"/>
        </w:rPr>
      </w:pPr>
    </w:p>
    <w:p>
      <w:pPr>
        <w:ind w:left="660" w:right="24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Strategically worked with our landlords, vendors, and other business partners to manage, defer, and/or abate certain costs during the disruptions caused by the COVID-19 Pandemic;</w:t>
      </w:r>
    </w:p>
    <w:p>
      <w:pPr>
        <w:ind w:left="660" w:right="20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our quarterly dividend to $0.07 per share beginning in the first quarter of 2020 from $0.19 per share in the fourth quarter of 2019. When compared to the fourth quarter of 2019 this results in quarterly cash savings of $9.3 million and year to date cash savings of $27.9 million for NCM, Inc.;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Introduced an active cash management process, which, among other things, requires CEO approval of all outgoing payments.</w:t>
      </w:r>
    </w:p>
    <w:p>
      <w:pPr>
        <w:spacing w:after="0" w:line="153" w:lineRule="exact"/>
        <w:rPr>
          <w:sz w:val="20"/>
          <w:szCs w:val="20"/>
          <w:color w:val="auto"/>
        </w:rPr>
      </w:pPr>
    </w:p>
    <w:p>
      <w:pPr>
        <w:jc w:val="both"/>
        <w:ind w:right="140" w:firstLine="526"/>
        <w:spacing w:after="0" w:line="266" w:lineRule="auto"/>
        <w:rPr>
          <w:sz w:val="20"/>
          <w:szCs w:val="20"/>
          <w:color w:val="auto"/>
        </w:rPr>
      </w:pPr>
      <w:r>
        <w:rPr>
          <w:rFonts w:ascii="Times New Roman" w:cs="Times New Roman" w:eastAsia="Times New Roman" w:hAnsi="Times New Roman"/>
          <w:sz w:val="18"/>
          <w:szCs w:val="18"/>
          <w:color w:val="auto"/>
        </w:rPr>
        <w:t>The Company's ability to normalize operations is dependent upon the reopening of the remaining theaters within our network, the release of major motion pictures to the theaters, and the attendance of theater patrons. However, there can be no assurance that theater patrons will return to movie theaters or the overall attendance will return to levels comparable to those prior to the COVID-19 Pandemic.</w:t>
      </w:r>
    </w:p>
    <w:p>
      <w:pPr>
        <w:spacing w:after="0" w:line="122" w:lineRule="exact"/>
        <w:rPr>
          <w:sz w:val="20"/>
          <w:szCs w:val="20"/>
          <w:color w:val="auto"/>
        </w:rPr>
      </w:pPr>
    </w:p>
    <w:p>
      <w:pPr>
        <w:ind w:right="20" w:firstLine="526"/>
        <w:spacing w:after="0" w:line="255" w:lineRule="auto"/>
        <w:rPr>
          <w:sz w:val="20"/>
          <w:szCs w:val="20"/>
          <w:color w:val="auto"/>
        </w:rPr>
      </w:pPr>
      <w:r>
        <w:rPr>
          <w:rFonts w:ascii="Times New Roman" w:cs="Times New Roman" w:eastAsia="Times New Roman" w:hAnsi="Times New Roman"/>
          <w:sz w:val="18"/>
          <w:szCs w:val="18"/>
          <w:color w:val="auto"/>
        </w:rPr>
        <w:t>In March 2020, we drew down an additional $110.0 million on our revolving credit facility increasing our cash and marketable securities balance to $215.3 million as of March 26, 2020 ($132.2 million at NCM LLC). Further, as of March 26, 2020, we had approximately $112.3 million of trade accounts receivable outstanding from customers, of which we have collected approximately $103.3 million as of September 24, 2020, increasing our cash and marketable securities balance to $220.7 million as of September 24, 2020 ($157.4 million at NCM LLC) and decreasing our trade accounts receivable outstanding, net of the allowance for doubtful accounts, to $9.0 million. The $157.4 million of cash at NCM LLC will be used to fund operations during the period of expected reduced cash flows. Cash at NCM, Inc. is held for future payment of dividends to NCM, Inc. shareholders, income tax payments, income tax receivable payments to NCM LLC’s founding members and other obligations.</w:t>
      </w:r>
    </w:p>
    <w:p>
      <w:pPr>
        <w:spacing w:after="0" w:line="81" w:lineRule="exact"/>
        <w:rPr>
          <w:sz w:val="20"/>
          <w:szCs w:val="20"/>
          <w:color w:val="auto"/>
        </w:rPr>
      </w:pPr>
    </w:p>
    <w:p>
      <w:pPr>
        <w:ind w:firstLine="567"/>
        <w:spacing w:after="0" w:line="238" w:lineRule="auto"/>
        <w:rPr>
          <w:sz w:val="20"/>
          <w:szCs w:val="20"/>
          <w:color w:val="auto"/>
        </w:rPr>
      </w:pPr>
      <w:r>
        <w:rPr>
          <w:rFonts w:ascii="Times New Roman" w:cs="Times New Roman" w:eastAsia="Times New Roman" w:hAnsi="Times New Roman"/>
          <w:sz w:val="18"/>
          <w:szCs w:val="18"/>
          <w:color w:val="auto"/>
        </w:rPr>
        <w:t>On April 30, 2020, NCM LLC amended its Credit Agreement, dated as of June 20, 2018 (“Credit Agreement Amendment”) to allow for the automatic waiver of any non-compliance with its Consolidated Net Senior Secured Leverage Ratio and Consolidated Total Leverage Ratio financial covenants occurring from the quarter ending June 25, 2020 until and including the quarter ending July 1, 2021 (the “Covenant Holiday Period”). The Credit Agreement Amendment requires that, until the fiscal quarter ending July 1, 2021, NCM LLC must not permit the sum of unrestricted cash on hand at NCM LLC and availability under its Revolving Credit Facility to be less than $55.0 million. Further, NCM LLC can make available cash distributions to its members (AMC, Cinemark, Regal and NCM, Inc.) during the Covenant Holiday Period only if trailing 12-month Consolidated EBITDA (as defined in the Credit Agreement) equals or exceeds $277.0 million and outstanding loans under the Revolving Credit Facility are equal to or less than $39.0 million. NCM LLC can make available cash distributions to its members outside of the Covenant Holiday Period so long as NCM LLC’s Consolidated Net Senior Secured Leverage Ratio is equal to or less than 5.00 to 1.00 and no default or event of default under the Credit Agreement has occurred and is continuing. NCM LLC may continue to reimburse NCM, Inc. for its services provided under the management services agreement during the period of the automatic waiver.</w:t>
      </w:r>
    </w:p>
    <w:p>
      <w:pPr>
        <w:spacing w:after="0" w:line="78" w:lineRule="exact"/>
        <w:rPr>
          <w:sz w:val="20"/>
          <w:szCs w:val="20"/>
          <w:color w:val="auto"/>
        </w:rPr>
      </w:pPr>
    </w:p>
    <w:p>
      <w:pPr>
        <w:jc w:val="both"/>
        <w:ind w:right="140" w:firstLine="567"/>
        <w:spacing w:after="0" w:line="250" w:lineRule="auto"/>
        <w:rPr>
          <w:sz w:val="20"/>
          <w:szCs w:val="20"/>
          <w:color w:val="auto"/>
        </w:rPr>
      </w:pPr>
      <w:r>
        <w:rPr>
          <w:rFonts w:ascii="Times New Roman" w:cs="Times New Roman" w:eastAsia="Times New Roman" w:hAnsi="Times New Roman"/>
          <w:sz w:val="18"/>
          <w:szCs w:val="18"/>
          <w:color w:val="auto"/>
        </w:rPr>
        <w:t>Management is currently actively pursuing with its administrative agent an additional amendment to its Senior Secured Credit Facility to obtain a waiver to its financial covenants. Management expects the amendment to be approved during the next several months, however, there can be no assurance that the Company will be successful in obtaining the amendment.</w:t>
      </w:r>
    </w:p>
    <w:p>
      <w:pPr>
        <w:spacing w:after="0" w:line="69" w:lineRule="exact"/>
        <w:rPr>
          <w:sz w:val="20"/>
          <w:szCs w:val="20"/>
          <w:color w:val="auto"/>
        </w:rPr>
      </w:pPr>
    </w:p>
    <w:p>
      <w:pPr>
        <w:ind w:right="60" w:firstLine="526"/>
        <w:spacing w:after="0" w:line="250" w:lineRule="auto"/>
        <w:rPr>
          <w:sz w:val="20"/>
          <w:szCs w:val="20"/>
          <w:color w:val="auto"/>
        </w:rPr>
      </w:pPr>
      <w:r>
        <w:rPr>
          <w:rFonts w:ascii="Times New Roman" w:cs="Times New Roman" w:eastAsia="Times New Roman" w:hAnsi="Times New Roman"/>
          <w:sz w:val="18"/>
          <w:szCs w:val="18"/>
          <w:color w:val="auto"/>
        </w:rPr>
        <w:t>On March 27, 2020, the U.S. Government enacted various relief and stimulus measures in response to the unprecedented adverse economic impacts of the COVID-19 Pandemic commonly referred to as the CARES Act. We currently have recognized or expect to recognize the following benefits under the CARES Act:</w:t>
      </w:r>
    </w:p>
    <w:p>
      <w:pPr>
        <w:spacing w:after="0" w:line="123" w:lineRule="exact"/>
        <w:rPr>
          <w:sz w:val="20"/>
          <w:szCs w:val="20"/>
          <w:color w:val="auto"/>
        </w:rPr>
      </w:pPr>
    </w:p>
    <w:p>
      <w:pPr>
        <w:ind w:left="660" w:right="140" w:hanging="328"/>
        <w:spacing w:after="0" w:line="257"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Deferral of the payment of the 6.2% FICA portion of Company's payroll taxes beginning on the enactment date through December 31, 2020 until the end of 2021 for one-half of the tax and the remaining half to the end of 2022. The Company deferred $0.4 million and $0.4 million in qualifying payments in the second and third quarter of 2020, respectively; and</w:t>
      </w:r>
    </w:p>
    <w:p>
      <w:pPr>
        <w:spacing w:after="0" w:line="1" w:lineRule="exact"/>
        <w:rPr>
          <w:rFonts w:ascii="Times New Roman" w:cs="Times New Roman" w:eastAsia="Times New Roman" w:hAnsi="Times New Roman"/>
          <w:sz w:val="18"/>
          <w:szCs w:val="18"/>
          <w:color w:val="auto"/>
        </w:rPr>
      </w:pPr>
    </w:p>
    <w:p>
      <w:pPr>
        <w:ind w:left="660" w:right="280" w:hanging="328"/>
        <w:spacing w:after="0" w:line="26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refundable Employee Retention Payroll Tax Credit for the Company's portion of the 6.2% FICA payroll tax for certain qualifying employees from March 13, 2020 through December 31, 2020.</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p>
      <w:pPr>
        <w:ind w:firstLine="567"/>
        <w:spacing w:after="0" w:line="282" w:lineRule="auto"/>
        <w:rPr>
          <w:sz w:val="20"/>
          <w:szCs w:val="20"/>
          <w:color w:val="auto"/>
        </w:rPr>
      </w:pPr>
      <w:r>
        <w:rPr>
          <w:rFonts w:ascii="Times New Roman" w:cs="Times New Roman" w:eastAsia="Times New Roman" w:hAnsi="Times New Roman"/>
          <w:sz w:val="18"/>
          <w:szCs w:val="18"/>
          <w:color w:val="auto"/>
        </w:rPr>
        <w:t>The Company will continue to monitor the provisions of the CARES Act and associated regulations and any other government action and intends to seek available potential benefits that would positively impact the Company.</w:t>
      </w:r>
    </w:p>
    <w:p>
      <w:pPr>
        <w:spacing w:after="0" w:line="54" w:lineRule="exact"/>
        <w:rPr>
          <w:sz w:val="20"/>
          <w:szCs w:val="20"/>
          <w:color w:val="auto"/>
        </w:rPr>
      </w:pPr>
    </w:p>
    <w:p>
      <w:pPr>
        <w:ind w:right="40" w:firstLine="526"/>
        <w:spacing w:after="0" w:line="253" w:lineRule="auto"/>
        <w:rPr>
          <w:sz w:val="20"/>
          <w:szCs w:val="20"/>
          <w:color w:val="auto"/>
        </w:rPr>
      </w:pPr>
      <w:r>
        <w:rPr>
          <w:rFonts w:ascii="Times New Roman" w:cs="Times New Roman" w:eastAsia="Times New Roman" w:hAnsi="Times New Roman"/>
          <w:sz w:val="18"/>
          <w:szCs w:val="18"/>
          <w:color w:val="auto"/>
        </w:rPr>
        <w:t>We believe that the exhibition industry has historically fared well during periods of economic stress, and we remain optimistic, though cannot guarantee, that our founding members and network affiliates will rebound and attendance figures will benefit from pent-up social demand as state and local restrictions or other social distancing orders subside and people seek togetherness with a return to normalcy. However, the ultimate significance of the COVID-19 Pandemic, including the extent of the adverse impact on our financial and operational results, will be dictated by the currently unknowable duration of the pandemic, the effect of the pandemic on the overall economy and the advertising market and responsive governmental regulations, including mandated business closures which could recur after the initial reopening causing subsequent closure periods, social distancing guidelines, theater capacity restrictions, shifting movie slates, voluntary theater closures and the level of theater attendance. Our business also could be significantly affected should the disruptions caused by the COVID-19 Pandemic lead to changes in consumer behavior (such as the movie audience’s willingness to return to the movie theaters and the impacts of social distancing, facemask requirements and other measures on the movie going experience), or further reductions or impacts to the customary theatrical release window. The COVID-19 Pandemic also makes it more challenging for management to estimate the future performance of our business, particularly over the near to medium term. We are monitoring the rapidly evolving situation and its potential impacts on our financial position, results of operations, liquidity and cash flows.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Historical and Operating Data</w:t>
      </w:r>
    </w:p>
    <w:p>
      <w:pPr>
        <w:spacing w:after="0" w:line="175" w:lineRule="exact"/>
        <w:rPr>
          <w:sz w:val="20"/>
          <w:szCs w:val="20"/>
          <w:color w:val="auto"/>
        </w:rPr>
      </w:pPr>
    </w:p>
    <w:p>
      <w:pPr>
        <w:ind w:right="260" w:firstLine="526"/>
        <w:spacing w:after="0" w:line="282" w:lineRule="auto"/>
        <w:rPr>
          <w:sz w:val="20"/>
          <w:szCs w:val="20"/>
          <w:color w:val="auto"/>
        </w:rPr>
      </w:pPr>
      <w:r>
        <w:rPr>
          <w:rFonts w:ascii="Times New Roman" w:cs="Times New Roman" w:eastAsia="Times New Roman" w:hAnsi="Times New Roman"/>
          <w:sz w:val="18"/>
          <w:szCs w:val="18"/>
          <w:color w:val="auto"/>
        </w:rPr>
        <w:t>You should read this information with the other information contained in this document, and our unaudited historical financial statements and the notes thereto included elsewhere in this document.</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Our Operating Data</w:t>
      </w:r>
      <w:r>
        <w:rPr>
          <w:rFonts w:ascii="Times New Roman" w:cs="Times New Roman" w:eastAsia="Times New Roman" w:hAnsi="Times New Roman"/>
          <w:sz w:val="18"/>
          <w:szCs w:val="18"/>
          <w:color w:val="auto"/>
        </w:rPr>
        <w:t>—The following table presents operating data and Adjusted OIBDA (dollars in millions, except share and margin data):</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tcBorders>
              <w:bottom w:val="single" w:sz="8" w:color="auto"/>
            </w:tcBorders>
            <w:gridSpan w:val="3"/>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Q3 2020</w:t>
            </w:r>
          </w:p>
        </w:tc>
        <w:tc>
          <w:tcPr>
            <w:tcW w:w="220" w:type="dxa"/>
            <w:vAlign w:val="bottom"/>
          </w:tcPr>
          <w:p>
            <w:pPr>
              <w:spacing w:after="0"/>
              <w:rPr>
                <w:sz w:val="11"/>
                <w:szCs w:val="11"/>
                <w:color w:val="auto"/>
              </w:rPr>
            </w:pP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Q3 2019</w:t>
            </w:r>
          </w:p>
        </w:tc>
        <w:tc>
          <w:tcPr>
            <w:tcW w:w="180" w:type="dxa"/>
            <w:vAlign w:val="bottom"/>
          </w:tcPr>
          <w:p>
            <w:pPr>
              <w:spacing w:after="0"/>
              <w:rPr>
                <w:sz w:val="11"/>
                <w:szCs w:val="11"/>
                <w:color w:val="auto"/>
              </w:rPr>
            </w:pP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YTD 2020</w:t>
            </w:r>
          </w:p>
        </w:tc>
        <w:tc>
          <w:tcPr>
            <w:tcW w:w="200" w:type="dxa"/>
            <w:vAlign w:val="bottom"/>
          </w:tcPr>
          <w:p>
            <w:pPr>
              <w:spacing w:after="0"/>
              <w:rPr>
                <w:sz w:val="11"/>
                <w:szCs w:val="11"/>
                <w:color w:val="auto"/>
              </w:rPr>
            </w:pPr>
          </w:p>
        </w:tc>
        <w:tc>
          <w:tcPr>
            <w:tcW w:w="98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YTD 2019</w:t>
            </w:r>
          </w:p>
        </w:tc>
        <w:tc>
          <w:tcPr>
            <w:tcW w:w="100" w:type="dxa"/>
            <w:vAlign w:val="bottom"/>
          </w:tcPr>
          <w:p>
            <w:pPr>
              <w:spacing w:after="0"/>
              <w:rPr>
                <w:sz w:val="11"/>
                <w:szCs w:val="11"/>
                <w:color w:val="auto"/>
              </w:rPr>
            </w:pPr>
          </w:p>
        </w:tc>
        <w:tc>
          <w:tcPr>
            <w:tcW w:w="1300" w:type="dxa"/>
            <w:vAlign w:val="bottom"/>
            <w:gridSpan w:val="2"/>
          </w:tcPr>
          <w:p>
            <w:pPr>
              <w:ind w:left="160"/>
              <w:spacing w:after="0" w:line="134" w:lineRule="exact"/>
              <w:rPr>
                <w:sz w:val="20"/>
                <w:szCs w:val="20"/>
                <w:color w:val="auto"/>
              </w:rPr>
            </w:pPr>
            <w:r>
              <w:rPr>
                <w:rFonts w:ascii="Times New Roman" w:cs="Times New Roman" w:eastAsia="Times New Roman" w:hAnsi="Times New Roman"/>
                <w:sz w:val="14"/>
                <w:szCs w:val="14"/>
                <w:b w:val="1"/>
                <w:bCs w:val="1"/>
                <w:color w:val="auto"/>
              </w:rPr>
              <w:t>Q3 2020 to Q3</w:t>
            </w:r>
          </w:p>
        </w:tc>
        <w:tc>
          <w:tcPr>
            <w:tcW w:w="118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YTD 2020 to YTD</w:t>
            </w:r>
          </w:p>
        </w:tc>
        <w:tc>
          <w:tcPr>
            <w:tcW w:w="0" w:type="dxa"/>
            <w:vAlign w:val="bottom"/>
          </w:tcPr>
          <w:p>
            <w:pPr>
              <w:spacing w:after="0"/>
              <w:rPr>
                <w:sz w:val="1"/>
                <w:szCs w:val="1"/>
                <w:color w:val="auto"/>
              </w:rPr>
            </w:pPr>
          </w:p>
        </w:tc>
      </w:tr>
      <w:tr>
        <w:trPr>
          <w:trHeight w:val="189"/>
        </w:trPr>
        <w:tc>
          <w:tcPr>
            <w:tcW w:w="3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300" w:type="dxa"/>
            <w:vAlign w:val="bottom"/>
            <w:gridSpan w:val="2"/>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1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110.5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297.6</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Advertising</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130.8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29"/>
        </w:trPr>
        <w:tc>
          <w:tcPr>
            <w:tcW w:w="3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Network, administrative and unallocated costs</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78.2</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209.0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22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88.6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expenses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41.4</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2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0" w:type="dxa"/>
            <w:vAlign w:val="bottom"/>
          </w:tcPr>
          <w:p>
            <w:pPr>
              <w:spacing w:after="0"/>
              <w:rPr>
                <w:sz w:val="1"/>
                <w:szCs w:val="1"/>
                <w:color w:val="auto"/>
              </w:rPr>
            </w:pPr>
          </w:p>
        </w:tc>
      </w:tr>
      <w:tr>
        <w:trPr>
          <w:trHeight w:val="175"/>
        </w:trPr>
        <w:tc>
          <w:tcPr>
            <w:tcW w:w="36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(loss) income attributable to noncontrolling</w:t>
            </w:r>
          </w:p>
        </w:tc>
        <w:tc>
          <w:tcPr>
            <w:tcW w:w="2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24.2</w:t>
            </w:r>
          </w:p>
        </w:tc>
        <w:tc>
          <w:tcPr>
            <w:tcW w:w="1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 income attributable to NCM, Inc.</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17.0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per NCM, Inc. basic share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0.22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per NCM, Inc. diluted share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0.22</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0" w:type="dxa"/>
            <w:vAlign w:val="bottom"/>
          </w:tcPr>
          <w:p>
            <w:pPr>
              <w:spacing w:after="0"/>
              <w:rPr>
                <w:sz w:val="1"/>
                <w:szCs w:val="1"/>
                <w:color w:val="auto"/>
              </w:rPr>
            </w:pPr>
          </w:p>
        </w:tc>
      </w:tr>
      <w:tr>
        <w:trPr>
          <w:trHeight w:val="162"/>
        </w:trPr>
        <w:tc>
          <w:tcPr>
            <w:tcW w:w="3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OIBDA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124.0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OIBDA margin</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Total theater attendance (in millions) </w:t>
            </w:r>
            <w:r>
              <w:rPr>
                <w:rFonts w:ascii="Times New Roman" w:cs="Times New Roman" w:eastAsia="Times New Roman" w:hAnsi="Times New Roman"/>
                <w:sz w:val="18"/>
                <w:szCs w:val="18"/>
                <w:i w:val="1"/>
                <w:iCs w:val="1"/>
                <w:color w:val="auto"/>
              </w:rPr>
              <w:t>(1)</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497.4</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171" w:lineRule="exact"/>
        <w:rPr>
          <w:sz w:val="20"/>
          <w:szCs w:val="20"/>
          <w:color w:val="auto"/>
        </w:rPr>
      </w:pPr>
    </w:p>
    <w:p>
      <w:pPr>
        <w:ind w:left="660" w:right="300" w:hanging="328"/>
        <w:spacing w:after="0" w:line="266" w:lineRule="auto"/>
        <w:tabs>
          <w:tab w:leader="none" w:pos="654"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the total attendance within our advertising network, excluding screens and attendance associated with certain AMC Carmike, AMC Rave and Cinemark Rave theaters that were part of another cinema advertising network for certain periods presented. Refer to Note 4 to the unaudited Condensed Consolidated Financial Statements included elsewhere in this document.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8" w:name="page29"/>
    <w:bookmarkEnd w:id="28"/>
    <w:p>
      <w:pPr>
        <w:ind w:right="100" w:firstLine="526"/>
        <w:spacing w:after="0" w:line="252" w:lineRule="auto"/>
        <w:rPr>
          <w:sz w:val="20"/>
          <w:szCs w:val="20"/>
          <w:color w:val="auto"/>
        </w:rPr>
      </w:pPr>
      <w:r>
        <w:rPr>
          <w:rFonts w:ascii="Times New Roman" w:cs="Times New Roman" w:eastAsia="Times New Roman" w:hAnsi="Times New Roman"/>
          <w:sz w:val="18"/>
          <w:szCs w:val="18"/>
          <w:color w:val="auto"/>
        </w:rPr>
        <w:t>Adjusted Operating Income Before Depreciation and Amortization (“Adjusted OIBDA”) and Adjusted OIBDA margin are not financial measures calculated in accordance with GAAP in the United States. Adjusted OIBDA represents operating income before depreciation expense adjusted to also exclude amortization of intangibles recorded for network theater screen leases, non-cash share-based compensation costs, impairment of long-lived assets and Chief Executive Officer transition costs. Adjusted OIBDA margin is calculated by dividing Adjusted OIBDA by total revenue. Our management uses these non-GAAP financial measures to evaluate operating performance, to forecast future results and as a basis for compensation. The Company believes these are important supplemental measures of operating performance because they eliminate items that have less bearing on the Company's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policies, amortization of intangibles recorded for network theater screen leases, non-cash share based compensation programs, impairments of long-lived assets, CEO turnover, interest rates, debt levels or income tax rates. A limitation of these measures, however, is that they exclude depreciation and amortization of intangibles recorded for network theater screen leases, which represent a proxy for the periodic costs of certain capitalized tangible and intangible assets used in generating revenues in the Company’s business. In addition, Adjusted OIBDA has the limitation of not reflecting the effect of the Company’s share-based payment costs, impairments of long-lived assets or costs associated with the resignation of the Company’s former Chief Executive Officer. Adjusted OIBDA should not be regarded as an alternative to operating income, net income or as an indicator of operating performance, nor should it be considered in isolation of, or as a substitute for, financial measures prepared in accordance with GAAP. The Company believes that operating income is the most directly comparable GAAP financial measure to Adjusted OIBDA. Because not all companies use identical calculations, these non-GAAP presentations may not be comparable to other similarly titled measures of other companies, or calculations in the Company’s debt agreement.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operating income to Adjusted OIBDA for the periods presented (dollars 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Q3 2020</w:t>
            </w:r>
          </w:p>
        </w:tc>
        <w:tc>
          <w:tcPr>
            <w:tcW w:w="26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Q3 2019</w:t>
            </w:r>
          </w:p>
        </w:tc>
        <w:tc>
          <w:tcPr>
            <w:tcW w:w="22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YTD 2020</w:t>
            </w:r>
          </w:p>
        </w:tc>
        <w:tc>
          <w:tcPr>
            <w:tcW w:w="220" w:type="dxa"/>
            <w:vAlign w:val="bottom"/>
          </w:tcPr>
          <w:p>
            <w:pPr>
              <w:spacing w:after="0"/>
              <w:rPr>
                <w:sz w:val="16"/>
                <w:szCs w:val="16"/>
                <w:color w:val="auto"/>
              </w:rPr>
            </w:pPr>
          </w:p>
        </w:tc>
        <w:tc>
          <w:tcPr>
            <w:tcW w:w="11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YTD 2019</w:t>
            </w:r>
          </w:p>
        </w:tc>
        <w:tc>
          <w:tcPr>
            <w:tcW w:w="0" w:type="dxa"/>
            <w:vAlign w:val="bottom"/>
          </w:tcPr>
          <w:p>
            <w:pPr>
              <w:spacing w:after="0"/>
              <w:rPr>
                <w:sz w:val="1"/>
                <w:szCs w:val="1"/>
                <w:color w:val="auto"/>
              </w:rPr>
            </w:pPr>
          </w:p>
        </w:tc>
      </w:tr>
      <w:tr>
        <w:trPr>
          <w:trHeight w:val="228"/>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26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75"/>
        </w:trPr>
        <w:tc>
          <w:tcPr>
            <w:tcW w:w="55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intangibles recorded for network theater screen</w:t>
            </w:r>
          </w:p>
        </w:tc>
        <w:tc>
          <w:tcPr>
            <w:tcW w:w="2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leases</w:t>
            </w:r>
          </w:p>
        </w:tc>
        <w:tc>
          <w:tcPr>
            <w:tcW w:w="2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Share-based compensation costs </w:t>
            </w:r>
            <w:r>
              <w:rPr>
                <w:rFonts w:ascii="Times New Roman" w:cs="Times New Roman" w:eastAsia="Times New Roman" w:hAnsi="Times New Roman"/>
                <w:sz w:val="18"/>
                <w:szCs w:val="18"/>
                <w:i w:val="1"/>
                <w:iCs w:val="1"/>
                <w:color w:val="auto"/>
              </w:rPr>
              <w:t>(1)</w:t>
            </w:r>
          </w:p>
        </w:tc>
        <w:tc>
          <w:tcPr>
            <w:tcW w:w="26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Impairment of long-lived assets </w:t>
            </w:r>
            <w:r>
              <w:rPr>
                <w:rFonts w:ascii="Times New Roman" w:cs="Times New Roman" w:eastAsia="Times New Roman" w:hAnsi="Times New Roman"/>
                <w:sz w:val="18"/>
                <w:szCs w:val="18"/>
                <w:i w:val="1"/>
                <w:iCs w:val="1"/>
                <w:color w:val="auto"/>
              </w:rPr>
              <w:t>(2)</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CEO transition costs </w:t>
            </w:r>
            <w:r>
              <w:rPr>
                <w:rFonts w:ascii="Times New Roman" w:cs="Times New Roman" w:eastAsia="Times New Roman" w:hAnsi="Times New Roman"/>
                <w:sz w:val="18"/>
                <w:szCs w:val="18"/>
                <w:i w:val="1"/>
                <w:iCs w:val="1"/>
                <w:color w:val="auto"/>
              </w:rPr>
              <w:t>(3)</w:t>
            </w:r>
          </w:p>
        </w:tc>
        <w:tc>
          <w:tcPr>
            <w:tcW w:w="26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8"/>
        </w:trPr>
        <w:tc>
          <w:tcPr>
            <w:tcW w:w="55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Adjusted OIBDA</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124.0</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40" w:type="dxa"/>
            <w:vAlign w:val="bottom"/>
            <w:vMerge w:val="continue"/>
          </w:tcPr>
          <w:p>
            <w:pPr>
              <w:spacing w:after="0"/>
              <w:rPr>
                <w:sz w:val="17"/>
                <w:szCs w:val="17"/>
                <w:color w:val="auto"/>
              </w:rPr>
            </w:pPr>
          </w:p>
        </w:tc>
        <w:tc>
          <w:tcPr>
            <w:tcW w:w="260" w:type="dxa"/>
            <w:vAlign w:val="bottom"/>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2"/>
              <w:spacing w:after="0" w:line="203" w:lineRule="exact"/>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7"/>
                <w:szCs w:val="17"/>
                <w:color w:val="auto"/>
              </w:rPr>
            </w:pPr>
          </w:p>
        </w:tc>
        <w:tc>
          <w:tcPr>
            <w:tcW w:w="260" w:type="dxa"/>
            <w:vAlign w:val="bottom"/>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2"/>
              <w:spacing w:after="0" w:line="203" w:lineRule="exact"/>
              <w:rPr>
                <w:sz w:val="20"/>
                <w:szCs w:val="20"/>
                <w:color w:val="auto"/>
              </w:rPr>
            </w:pPr>
            <w:r>
              <w:rPr>
                <w:rFonts w:ascii="Times New Roman" w:cs="Times New Roman" w:eastAsia="Times New Roman" w:hAnsi="Times New Roman"/>
                <w:sz w:val="18"/>
                <w:szCs w:val="18"/>
                <w:color w:val="auto"/>
              </w:rPr>
              <w:t>110.5</w:t>
            </w:r>
          </w:p>
        </w:tc>
        <w:tc>
          <w:tcPr>
            <w:tcW w:w="12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2"/>
              <w:spacing w:after="0" w:line="203" w:lineRule="exact"/>
              <w:rPr>
                <w:sz w:val="20"/>
                <w:szCs w:val="20"/>
                <w:color w:val="auto"/>
              </w:rPr>
            </w:pPr>
            <w:r>
              <w:rPr>
                <w:rFonts w:ascii="Times New Roman" w:cs="Times New Roman" w:eastAsia="Times New Roman" w:hAnsi="Times New Roman"/>
                <w:sz w:val="18"/>
                <w:szCs w:val="18"/>
                <w:color w:val="auto"/>
              </w:rPr>
              <w:t>74.7</w:t>
            </w:r>
          </w:p>
        </w:tc>
        <w:tc>
          <w:tcPr>
            <w:tcW w:w="12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2"/>
              <w:spacing w:after="0" w:line="203" w:lineRule="exact"/>
              <w:rPr>
                <w:sz w:val="20"/>
                <w:szCs w:val="20"/>
                <w:color w:val="auto"/>
              </w:rPr>
            </w:pPr>
            <w:r>
              <w:rPr>
                <w:rFonts w:ascii="Times New Roman" w:cs="Times New Roman" w:eastAsia="Times New Roman" w:hAnsi="Times New Roman"/>
                <w:sz w:val="18"/>
                <w:szCs w:val="18"/>
                <w:color w:val="auto"/>
              </w:rPr>
              <w:t>297.6</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Adjusted OIBDA margin</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41.7 %</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w:t>
      </w:r>
    </w:p>
    <w:p>
      <w:pPr>
        <w:spacing w:after="0" w:line="171" w:lineRule="exact"/>
        <w:rPr>
          <w:sz w:val="20"/>
          <w:szCs w:val="20"/>
          <w:color w:val="auto"/>
        </w:rPr>
      </w:pPr>
    </w:p>
    <w:p>
      <w:pPr>
        <w:ind w:left="660" w:right="500" w:hanging="328"/>
        <w:spacing w:after="0" w:line="261" w:lineRule="auto"/>
        <w:tabs>
          <w:tab w:leader="none" w:pos="654"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Share-based compensation costs are included in network operations, selling and marketing and administrative expense in the accompanying unaudited Condensed Consolidated Financial Statements.</w:t>
      </w:r>
    </w:p>
    <w:p>
      <w:pPr>
        <w:ind w:left="640" w:hanging="308"/>
        <w:spacing w:after="0"/>
        <w:tabs>
          <w:tab w:leader="none" w:pos="64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impairments of long-lived assets primarily relate to the write-off of certain internally developed software.</w:t>
      </w:r>
    </w:p>
    <w:p>
      <w:pPr>
        <w:spacing w:after="0" w:line="9" w:lineRule="exact"/>
        <w:rPr>
          <w:rFonts w:ascii="Times New Roman" w:cs="Times New Roman" w:eastAsia="Times New Roman" w:hAnsi="Times New Roman"/>
          <w:sz w:val="18"/>
          <w:szCs w:val="18"/>
          <w:i w:val="1"/>
          <w:iCs w:val="1"/>
          <w:color w:val="auto"/>
        </w:rPr>
      </w:pPr>
    </w:p>
    <w:p>
      <w:pPr>
        <w:ind w:left="640" w:hanging="308"/>
        <w:spacing w:after="0"/>
        <w:tabs>
          <w:tab w:leader="none" w:pos="64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Chief Executive Officer transition costs represents costs associated with the search for a new Company CEO during the beginning of 2019.</w:t>
      </w:r>
    </w:p>
    <w:p>
      <w:pPr>
        <w:spacing w:after="0" w:line="230" w:lineRule="exact"/>
        <w:rPr>
          <w:sz w:val="20"/>
          <w:szCs w:val="20"/>
          <w:color w:val="auto"/>
        </w:rPr>
      </w:pPr>
    </w:p>
    <w:p>
      <w:pPr>
        <w:ind w:right="60" w:firstLine="56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Network</w:t>
      </w:r>
      <w:r>
        <w:rPr>
          <w:rFonts w:ascii="Times New Roman" w:cs="Times New Roman" w:eastAsia="Times New Roman" w:hAnsi="Times New Roman"/>
          <w:sz w:val="18"/>
          <w:szCs w:val="18"/>
          <w:color w:val="auto"/>
        </w:rPr>
        <w:t>—The change in the number of screens in our network by the founding members and network affiliates during the nine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24, 2020 was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2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Number of screens</w:t>
            </w:r>
          </w:p>
        </w:tc>
        <w:tc>
          <w:tcPr>
            <w:tcW w:w="1500" w:type="dxa"/>
            <w:vAlign w:val="bottom"/>
            <w:tcBorders>
              <w:bottom w:val="single" w:sz="8" w:color="auto"/>
            </w:tcBorders>
          </w:tcPr>
          <w:p>
            <w:pPr>
              <w:spacing w:after="0"/>
              <w:rPr>
                <w:sz w:val="16"/>
                <w:szCs w:val="16"/>
                <w:color w:val="auto"/>
              </w:rPr>
            </w:pPr>
          </w:p>
        </w:tc>
      </w:tr>
      <w:tr>
        <w:trPr>
          <w:trHeight w:val="210"/>
        </w:trPr>
        <w:tc>
          <w:tcPr>
            <w:tcW w:w="6520" w:type="dxa"/>
            <w:vAlign w:val="bottom"/>
          </w:tcPr>
          <w:p>
            <w:pPr>
              <w:spacing w:after="0"/>
              <w:rPr>
                <w:sz w:val="18"/>
                <w:szCs w:val="18"/>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Founding Members</w:t>
            </w:r>
          </w:p>
        </w:tc>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Network Affiliates</w:t>
            </w:r>
          </w:p>
        </w:tc>
        <w:tc>
          <w:tcPr>
            <w:tcW w:w="15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6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26, 2019</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16,880</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21,208</w:t>
            </w:r>
          </w:p>
        </w:tc>
      </w:tr>
      <w:tr>
        <w:trPr>
          <w:trHeight w:val="230"/>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Lost affiliates, net of new affiliates </w:t>
            </w:r>
            <w:r>
              <w:rPr>
                <w:rFonts w:ascii="Times New Roman" w:cs="Times New Roman" w:eastAsia="Times New Roman" w:hAnsi="Times New Roman"/>
                <w:sz w:val="18"/>
                <w:szCs w:val="18"/>
                <w:i w:val="1"/>
                <w:iCs w:val="1"/>
                <w:color w:val="auto"/>
              </w:rPr>
              <w:t>(1)</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9"/>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Closures, net of openings </w:t>
            </w:r>
            <w:r>
              <w:rPr>
                <w:rFonts w:ascii="Times New Roman" w:cs="Times New Roman" w:eastAsia="Times New Roman" w:hAnsi="Times New Roman"/>
                <w:sz w:val="18"/>
                <w:szCs w:val="18"/>
                <w:i w:val="1"/>
                <w:iCs w:val="1"/>
                <w:color w:val="auto"/>
              </w:rPr>
              <w:t>(2)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24, 2020</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16,752</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20,698</w:t>
            </w:r>
          </w:p>
        </w:tc>
      </w:tr>
      <w:tr>
        <w:trPr>
          <w:trHeight w:val="21"/>
        </w:trPr>
        <w:tc>
          <w:tcPr>
            <w:tcW w:w="65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9" w:name="page30"/>
    <w:bookmarkEnd w:id="29"/>
    <w:p>
      <w:pPr>
        <w:ind w:left="660" w:right="60" w:hanging="328"/>
        <w:spacing w:after="0" w:line="266" w:lineRule="auto"/>
        <w:tabs>
          <w:tab w:leader="none" w:pos="654"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the loss of three of our affiliates that did not renew their contracts as of the end of the first nine months of 2020 resulting in a reduction of 193 affiliate screens to our network, offset by the addition of two new affiliates which added 10 new screens to our network during the nine months ended September 24, 2020.</w:t>
      </w:r>
    </w:p>
    <w:p>
      <w:pPr>
        <w:spacing w:after="0" w:line="13" w:lineRule="exact"/>
        <w:rPr>
          <w:rFonts w:ascii="Times New Roman" w:cs="Times New Roman" w:eastAsia="Times New Roman" w:hAnsi="Times New Roman"/>
          <w:sz w:val="18"/>
          <w:szCs w:val="18"/>
          <w:i w:val="1"/>
          <w:iCs w:val="1"/>
          <w:color w:val="auto"/>
        </w:rPr>
      </w:pPr>
    </w:p>
    <w:p>
      <w:pPr>
        <w:ind w:left="640" w:hanging="308"/>
        <w:spacing w:after="0"/>
        <w:tabs>
          <w:tab w:leader="none" w:pos="64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Excludes the temporary theater closures in response to the COVID-19 Pandemic.</w:t>
      </w:r>
    </w:p>
    <w:p>
      <w:pPr>
        <w:spacing w:after="0" w:line="117" w:lineRule="exact"/>
        <w:rPr>
          <w:sz w:val="20"/>
          <w:szCs w:val="20"/>
          <w:color w:val="auto"/>
        </w:rPr>
      </w:pPr>
    </w:p>
    <w:p>
      <w:pPr>
        <w:ind w:right="80" w:firstLine="526"/>
        <w:spacing w:after="0" w:line="261" w:lineRule="auto"/>
        <w:rPr>
          <w:sz w:val="20"/>
          <w:szCs w:val="20"/>
          <w:color w:val="auto"/>
        </w:rPr>
      </w:pPr>
      <w:r>
        <w:rPr>
          <w:rFonts w:ascii="Times New Roman" w:cs="Times New Roman" w:eastAsia="Times New Roman" w:hAnsi="Times New Roman"/>
          <w:sz w:val="18"/>
          <w:szCs w:val="18"/>
          <w:color w:val="auto"/>
        </w:rPr>
        <w:t>Our founding member and network affiliate agreements allow us to sell cinema advertising across the largest network of digitally equipped theaters in the U.S. We believe that our market coverage strengthens our selling proposition and competitive positioning against other national, regional and local video advertising platforms, including television, online and mobile video platforms and other out of home video advertising platforms by allowing advertisers the broad reach and national scale that they need to effectively reach their target audiences.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jc w:val="both"/>
        <w:ind w:firstLine="526"/>
        <w:spacing w:after="0" w:line="266" w:lineRule="auto"/>
        <w:rPr>
          <w:sz w:val="20"/>
          <w:szCs w:val="20"/>
          <w:color w:val="auto"/>
        </w:rPr>
      </w:pPr>
      <w:r>
        <w:rPr>
          <w:rFonts w:ascii="Times New Roman" w:cs="Times New Roman" w:eastAsia="Times New Roman" w:hAnsi="Times New Roman"/>
          <w:sz w:val="18"/>
          <w:szCs w:val="18"/>
          <w:color w:val="auto"/>
        </w:rPr>
        <w:t>The results of operations data for the three months ended September 24, 2020 (third quarter of 2020) and September 26, 2019 (third quarter of 2019) and the nine months ended September 24, 2020 and September 26, 2019 was derived from the unaudited Condensed Consolidated Financial Statements and accounting records of NCM, Inc. and should be read in conjunction with the notes thereto.</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Quarter of 2020 and Third Quarter of 2019</w:t>
      </w:r>
    </w:p>
    <w:p>
      <w:pPr>
        <w:spacing w:after="0" w:line="173" w:lineRule="exact"/>
        <w:rPr>
          <w:sz w:val="20"/>
          <w:szCs w:val="20"/>
          <w:color w:val="auto"/>
        </w:rPr>
      </w:pPr>
    </w:p>
    <w:p>
      <w:pPr>
        <w:ind w:right="540" w:firstLine="56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Total revenue decreased 94.6%, from $110.5 million for the third quarter of 2019 to $6.0 million for the third quarter of 2020.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is a summary of revenue by category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5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Q3 2020</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Q3 2019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Q3 2020 to Q3 2019</w:t>
            </w:r>
          </w:p>
        </w:tc>
        <w:tc>
          <w:tcPr>
            <w:tcW w:w="100" w:type="dxa"/>
            <w:vAlign w:val="bottom"/>
          </w:tcPr>
          <w:p>
            <w:pPr>
              <w:spacing w:after="0"/>
              <w:rPr>
                <w:sz w:val="16"/>
                <w:szCs w:val="16"/>
                <w:color w:val="auto"/>
              </w:rPr>
            </w:pPr>
          </w:p>
        </w:tc>
        <w:tc>
          <w:tcPr>
            <w:tcW w:w="148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Q3 2020 to Q3 2019</w:t>
            </w:r>
          </w:p>
        </w:tc>
        <w:tc>
          <w:tcPr>
            <w:tcW w:w="0" w:type="dxa"/>
            <w:vAlign w:val="bottom"/>
          </w:tcPr>
          <w:p>
            <w:pPr>
              <w:spacing w:after="0"/>
              <w:rPr>
                <w:sz w:val="1"/>
                <w:szCs w:val="1"/>
                <w:color w:val="auto"/>
              </w:rPr>
            </w:pPr>
          </w:p>
        </w:tc>
      </w:tr>
      <w:tr>
        <w:trPr>
          <w:trHeight w:val="223"/>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National and regional advertising revenue</w:t>
            </w:r>
          </w:p>
        </w:tc>
        <w:tc>
          <w:tcPr>
            <w:tcW w:w="960" w:type="dxa"/>
            <w:vAlign w:val="bottom"/>
            <w:tcBorders>
              <w:top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Local advertising revenue</w:t>
            </w:r>
          </w:p>
        </w:tc>
        <w:tc>
          <w:tcPr>
            <w:tcW w:w="9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175"/>
        </w:trPr>
        <w:tc>
          <w:tcPr>
            <w:tcW w:w="54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Founding member advertising revenue from</w:t>
            </w:r>
          </w:p>
        </w:tc>
        <w:tc>
          <w:tcPr>
            <w:tcW w:w="96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5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beverage concessionaire agreements</w:t>
            </w:r>
          </w:p>
        </w:tc>
        <w:tc>
          <w:tcPr>
            <w:tcW w:w="9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5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data on theater attendance and revenue per attendee for the nine months ended September 24, 2020 and September 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5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4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4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5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Q3 2020 </w:t>
            </w:r>
            <w:r>
              <w:rPr>
                <w:rFonts w:ascii="Times New Roman" w:cs="Times New Roman" w:eastAsia="Times New Roman" w:hAnsi="Times New Roman"/>
                <w:sz w:val="14"/>
                <w:szCs w:val="14"/>
                <w:b w:val="1"/>
                <w:bCs w:val="1"/>
                <w:i w:val="1"/>
                <w:iCs w:val="1"/>
                <w:color w:val="auto"/>
              </w:rPr>
              <w:t>(1)</w:t>
            </w:r>
          </w:p>
        </w:tc>
        <w:tc>
          <w:tcPr>
            <w:tcW w:w="320" w:type="dxa"/>
            <w:vAlign w:val="bottom"/>
          </w:tcPr>
          <w:p>
            <w:pPr>
              <w:spacing w:after="0"/>
              <w:rPr>
                <w:sz w:val="16"/>
                <w:szCs w:val="16"/>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Q3 2019</w:t>
            </w:r>
          </w:p>
        </w:tc>
        <w:tc>
          <w:tcPr>
            <w:tcW w:w="22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Q3 2020 to Q3 2019</w:t>
            </w:r>
          </w:p>
        </w:tc>
        <w:tc>
          <w:tcPr>
            <w:tcW w:w="0" w:type="dxa"/>
            <w:vAlign w:val="bottom"/>
          </w:tcPr>
          <w:p>
            <w:pPr>
              <w:spacing w:after="0"/>
              <w:rPr>
                <w:sz w:val="1"/>
                <w:szCs w:val="1"/>
                <w:color w:val="auto"/>
              </w:rPr>
            </w:pPr>
          </w:p>
        </w:tc>
      </w:tr>
      <w:tr>
        <w:trPr>
          <w:trHeight w:val="223"/>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National and regional advertising revenue per attendee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0.529</w:t>
            </w:r>
          </w:p>
        </w:tc>
        <w:tc>
          <w:tcPr>
            <w:tcW w:w="10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Local advertising revenue per attendee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0.103</w:t>
            </w:r>
          </w:p>
        </w:tc>
        <w:tc>
          <w:tcPr>
            <w:tcW w:w="1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329.1 %</w:t>
            </w:r>
          </w:p>
        </w:tc>
        <w:tc>
          <w:tcPr>
            <w:tcW w:w="0" w:type="dxa"/>
            <w:vAlign w:val="bottom"/>
          </w:tcPr>
          <w:p>
            <w:pPr>
              <w:spacing w:after="0"/>
              <w:rPr>
                <w:sz w:val="1"/>
                <w:szCs w:val="1"/>
                <w:color w:val="auto"/>
              </w:rPr>
            </w:pPr>
          </w:p>
        </w:tc>
      </w:tr>
      <w:tr>
        <w:trPr>
          <w:trHeight w:val="175"/>
        </w:trPr>
        <w:tc>
          <w:tcPr>
            <w:tcW w:w="5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Total advertising revenue (excluding founding</w:t>
            </w: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0.632</w:t>
            </w:r>
          </w:p>
        </w:tc>
        <w:tc>
          <w:tcPr>
            <w:tcW w:w="100" w:type="dxa"/>
            <w:vAlign w:val="bottom"/>
            <w:shd w:val="clear" w:color="auto" w:fill="CCEEFF"/>
          </w:tcPr>
          <w:p>
            <w:pPr>
              <w:spacing w:after="0"/>
              <w:rPr>
                <w:sz w:val="15"/>
                <w:szCs w:val="15"/>
                <w:color w:val="auto"/>
              </w:rPr>
            </w:pPr>
          </w:p>
        </w:tc>
        <w:tc>
          <w:tcPr>
            <w:tcW w:w="2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76.4 %</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member beverage revenue) per attendee</w:t>
            </w:r>
          </w:p>
        </w:tc>
        <w:tc>
          <w:tcPr>
            <w:tcW w:w="26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advertising revenue per attendee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0.676</w:t>
            </w:r>
          </w:p>
        </w:tc>
        <w:tc>
          <w:tcPr>
            <w:tcW w:w="1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70.7 %</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Total theater attendance (in millions) </w:t>
            </w:r>
            <w:r>
              <w:rPr>
                <w:rFonts w:ascii="Times New Roman" w:cs="Times New Roman" w:eastAsia="Times New Roman" w:hAnsi="Times New Roman"/>
                <w:sz w:val="18"/>
                <w:szCs w:val="18"/>
                <w:i w:val="1"/>
                <w:iCs w:val="1"/>
                <w:color w:val="auto"/>
              </w:rPr>
              <w:t>(1)</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w:t>
      </w:r>
    </w:p>
    <w:p>
      <w:pPr>
        <w:spacing w:after="0" w:line="152" w:lineRule="exact"/>
        <w:rPr>
          <w:sz w:val="20"/>
          <w:szCs w:val="20"/>
          <w:color w:val="auto"/>
        </w:rPr>
      </w:pPr>
    </w:p>
    <w:p>
      <w:pPr>
        <w:ind w:left="460" w:right="80" w:hanging="331"/>
        <w:spacing w:after="0" w:line="282" w:lineRule="auto"/>
        <w:tabs>
          <w:tab w:leader="none" w:pos="454"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the total attendance within our advertising network, excluding screens and attendance associated with certain AMC Carmike, AMC Rave and Cinemark Rave theaters that were part of another cinema advertising network for certain periods presented.</w:t>
      </w:r>
    </w:p>
    <w:p>
      <w:pPr>
        <w:spacing w:after="0" w:line="108" w:lineRule="exact"/>
        <w:rPr>
          <w:sz w:val="20"/>
          <w:szCs w:val="20"/>
          <w:color w:val="auto"/>
        </w:rPr>
      </w:pPr>
    </w:p>
    <w:p>
      <w:pPr>
        <w:ind w:left="580" w:right="80"/>
        <w:spacing w:after="0" w:line="258" w:lineRule="auto"/>
        <w:rPr>
          <w:sz w:val="20"/>
          <w:szCs w:val="20"/>
          <w:color w:val="auto"/>
        </w:rPr>
      </w:pPr>
      <w:r>
        <w:rPr>
          <w:rFonts w:ascii="Times New Roman" w:cs="Times New Roman" w:eastAsia="Times New Roman" w:hAnsi="Times New Roman"/>
          <w:sz w:val="18"/>
          <w:szCs w:val="18"/>
          <w:u w:val="single" w:color="auto"/>
          <w:color w:val="auto"/>
        </w:rPr>
        <w:t>National and regional advertising revenue.</w:t>
      </w:r>
      <w:r>
        <w:rPr>
          <w:rFonts w:ascii="Times New Roman" w:cs="Times New Roman" w:eastAsia="Times New Roman" w:hAnsi="Times New Roman"/>
          <w:sz w:val="18"/>
          <w:szCs w:val="18"/>
          <w:color w:val="auto"/>
        </w:rPr>
        <w:t xml:space="preserve"> The $82.9 million, or 95.9%, decrease in national and regional advertising revenue (excluding beverage revenue from founding members) was due to the temporary closure of almost all the theaters within our network in response to the COVID-19 Pandemic preventing the Company from performing in-theater advertising for over three-fourths of the third quarter of 2020. The national and regional advertising revenue recognized in the third quarter of 2020 was primarily related to revenue associated with our digital service offerings and onscreen revenue during the last three weeks of the quarter when some of the theaters within our network that had reopened.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0" w:name="page31"/>
    <w:bookmarkEnd w:id="30"/>
    <w:p>
      <w:pPr>
        <w:ind w:left="580" w:right="160"/>
        <w:spacing w:after="0" w:line="261" w:lineRule="auto"/>
        <w:rPr>
          <w:sz w:val="20"/>
          <w:szCs w:val="20"/>
          <w:color w:val="auto"/>
        </w:rPr>
      </w:pPr>
      <w:r>
        <w:rPr>
          <w:rFonts w:ascii="Times New Roman" w:cs="Times New Roman" w:eastAsia="Times New Roman" w:hAnsi="Times New Roman"/>
          <w:sz w:val="18"/>
          <w:szCs w:val="18"/>
          <w:u w:val="single" w:color="auto"/>
          <w:color w:val="auto"/>
        </w:rPr>
        <w:t>Local advertising revenue.</w:t>
      </w:r>
      <w:r>
        <w:rPr>
          <w:rFonts w:ascii="Times New Roman" w:cs="Times New Roman" w:eastAsia="Times New Roman" w:hAnsi="Times New Roman"/>
          <w:sz w:val="18"/>
          <w:szCs w:val="18"/>
          <w:color w:val="auto"/>
        </w:rPr>
        <w:t xml:space="preserve"> The $14.5 million, or 86.3%, decrease in local advertising revenue was due to the temporary closure of almost all the theaters within our network in response to the COVID-19 Pandemic and preventing the Company from performing in-theater advertising for over three-fourths of the third quarter of 2020. The local advertising revenue recognized in the third quarter of 2020 was primarily related to revenue associated with our digital service offerings.</w:t>
      </w:r>
    </w:p>
    <w:p>
      <w:pPr>
        <w:spacing w:after="0" w:line="126" w:lineRule="exact"/>
        <w:rPr>
          <w:sz w:val="20"/>
          <w:szCs w:val="20"/>
          <w:color w:val="auto"/>
        </w:rPr>
      </w:pPr>
    </w:p>
    <w:p>
      <w:pPr>
        <w:ind w:left="580" w:right="180"/>
        <w:spacing w:after="0" w:line="261" w:lineRule="auto"/>
        <w:rPr>
          <w:sz w:val="20"/>
          <w:szCs w:val="20"/>
          <w:color w:val="auto"/>
        </w:rPr>
      </w:pPr>
      <w:r>
        <w:rPr>
          <w:rFonts w:ascii="Times New Roman" w:cs="Times New Roman" w:eastAsia="Times New Roman" w:hAnsi="Times New Roman"/>
          <w:sz w:val="18"/>
          <w:szCs w:val="18"/>
          <w:u w:val="single" w:color="auto"/>
          <w:color w:val="auto"/>
        </w:rPr>
        <w:t>Founding member beverage revenue.</w:t>
      </w:r>
      <w:r>
        <w:rPr>
          <w:rFonts w:ascii="Times New Roman" w:cs="Times New Roman" w:eastAsia="Times New Roman" w:hAnsi="Times New Roman"/>
          <w:sz w:val="18"/>
          <w:szCs w:val="18"/>
          <w:color w:val="auto"/>
        </w:rPr>
        <w:t xml:space="preserve"> The $7.1 million, or 97.3%, decrease in national advertising revenue from the founding members’ beverage concessionaire agreements was primarily due to a 96.9% decrease in founding member attendance for the third quarter of 2020, compared to the third quarter of 2019. The decrease in founding member attendance was due to the temporary theater closure described above related to the COVID-19 Pandemic.</w:t>
      </w:r>
    </w:p>
    <w:p>
      <w:pPr>
        <w:spacing w:after="0" w:line="124" w:lineRule="exact"/>
        <w:rPr>
          <w:sz w:val="20"/>
          <w:szCs w:val="20"/>
          <w:color w:val="auto"/>
        </w:rPr>
      </w:pPr>
    </w:p>
    <w:p>
      <w:pPr>
        <w:ind w:right="120" w:firstLine="56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Total operating expenses decreased $43.2 million, or 61.3%, from $70.5 million for the third quarter of 2019 to $27.3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third quarter of 2020. The following table shows the changes in operating expense for the third quarter of 2020 (in millions):</w:t>
      </w:r>
    </w:p>
    <w:p>
      <w:pPr>
        <w:sectPr>
          <w:pgSz w:w="11900" w:h="16838" w:orient="portrait"/>
          <w:cols w:equalWidth="0" w:num="1">
            <w:col w:w="11220"/>
          </w:cols>
          <w:pgMar w:left="320" w:top="89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Advertising operating costs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Network costs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Theater access fees and revenue share—founding members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Selling and marketing costs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Administrative and other costs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Depreciation expense</w:t>
      </w:r>
    </w:p>
    <w:p>
      <w:pPr>
        <w:spacing w:after="0" w:line="23" w:lineRule="exact"/>
        <w:rPr>
          <w:sz w:val="20"/>
          <w:szCs w:val="20"/>
          <w:color w:val="auto"/>
        </w:rPr>
      </w:pPr>
    </w:p>
    <w:p>
      <w:pPr>
        <w:ind w:left="20" w:right="1860"/>
        <w:spacing w:after="0" w:line="234" w:lineRule="auto"/>
        <w:rPr>
          <w:sz w:val="20"/>
          <w:szCs w:val="20"/>
          <w:color w:val="auto"/>
        </w:rPr>
      </w:pPr>
      <w:r>
        <w:rPr>
          <w:rFonts w:ascii="Times New Roman" w:cs="Times New Roman" w:eastAsia="Times New Roman" w:hAnsi="Times New Roman"/>
          <w:sz w:val="18"/>
          <w:szCs w:val="18"/>
          <w:color w:val="auto"/>
        </w:rPr>
        <w:t>Amortization of intangibles recorded for network theater screen leases</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Q3 2020</w:t>
            </w:r>
          </w:p>
        </w:tc>
        <w:tc>
          <w:tcPr>
            <w:tcW w:w="220" w:type="dxa"/>
            <w:vAlign w:val="bottom"/>
          </w:tcPr>
          <w:p>
            <w:pPr>
              <w:spacing w:after="0"/>
              <w:rPr>
                <w:sz w:val="11"/>
                <w:szCs w:val="11"/>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Q3 2019</w:t>
            </w:r>
          </w:p>
        </w:tc>
        <w:tc>
          <w:tcPr>
            <w:tcW w:w="120" w:type="dxa"/>
            <w:vAlign w:val="bottom"/>
          </w:tcPr>
          <w:p>
            <w:pPr>
              <w:spacing w:after="0"/>
              <w:rPr>
                <w:sz w:val="11"/>
                <w:szCs w:val="11"/>
                <w:color w:val="auto"/>
              </w:rPr>
            </w:pPr>
          </w:p>
        </w:tc>
        <w:tc>
          <w:tcPr>
            <w:tcW w:w="1000" w:type="dxa"/>
            <w:vAlign w:val="bottom"/>
          </w:tcPr>
          <w:p>
            <w:pPr>
              <w:jc w:val="center"/>
              <w:ind w:right="35"/>
              <w:spacing w:after="0" w:line="134" w:lineRule="exact"/>
              <w:rPr>
                <w:sz w:val="20"/>
                <w:szCs w:val="20"/>
                <w:color w:val="auto"/>
              </w:rPr>
            </w:pPr>
            <w:r>
              <w:rPr>
                <w:rFonts w:ascii="Times New Roman" w:cs="Times New Roman" w:eastAsia="Times New Roman" w:hAnsi="Times New Roman"/>
                <w:sz w:val="14"/>
                <w:szCs w:val="14"/>
                <w:b w:val="1"/>
                <w:bCs w:val="1"/>
                <w:color w:val="auto"/>
              </w:rPr>
              <w:t>Q3 2020 to Q3</w:t>
            </w:r>
          </w:p>
        </w:tc>
        <w:tc>
          <w:tcPr>
            <w:tcW w:w="12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Q3 2020 to Q3 2019</w:t>
            </w:r>
          </w:p>
        </w:tc>
        <w:tc>
          <w:tcPr>
            <w:tcW w:w="0" w:type="dxa"/>
            <w:vAlign w:val="bottom"/>
          </w:tcPr>
          <w:p>
            <w:pPr>
              <w:spacing w:after="0"/>
              <w:rPr>
                <w:sz w:val="1"/>
                <w:szCs w:val="1"/>
                <w:color w:val="auto"/>
              </w:rPr>
            </w:pPr>
          </w:p>
        </w:tc>
      </w:tr>
      <w:tr>
        <w:trPr>
          <w:trHeight w:val="189"/>
        </w:trPr>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405"/>
        </w:trPr>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90"/>
        </w:trPr>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-1370965</wp:posOffset>
            </wp:positionV>
            <wp:extent cx="665226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52260" cy="15430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-1071245</wp:posOffset>
            </wp:positionV>
            <wp:extent cx="665226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52260" cy="14541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-779145</wp:posOffset>
            </wp:positionV>
            <wp:extent cx="665226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52260" cy="14541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-487680</wp:posOffset>
            </wp:positionV>
            <wp:extent cx="6652260" cy="2571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52260" cy="257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00" w:space="720"/>
            <w:col w:w="5700"/>
          </w:cols>
          <w:pgMar w:left="320" w:top="891" w:right="359" w:bottom="1440" w:gutter="0" w:footer="0" w:header="0"/>
          <w:type w:val="continuous"/>
        </w:sectPr>
      </w:pPr>
    </w:p>
    <w:p>
      <w:pPr>
        <w:spacing w:after="0" w:line="38" w:lineRule="exact"/>
        <w:rPr>
          <w:sz w:val="20"/>
          <w:szCs w:val="20"/>
          <w:color w:val="auto"/>
        </w:rPr>
      </w:pPr>
    </w:p>
    <w:p>
      <w:pPr>
        <w:ind w:left="580" w:right="120"/>
        <w:spacing w:after="0" w:line="258" w:lineRule="auto"/>
        <w:rPr>
          <w:sz w:val="20"/>
          <w:szCs w:val="20"/>
          <w:color w:val="auto"/>
        </w:rPr>
      </w:pPr>
      <w:r>
        <w:rPr>
          <w:rFonts w:ascii="Times New Roman" w:cs="Times New Roman" w:eastAsia="Times New Roman" w:hAnsi="Times New Roman"/>
          <w:sz w:val="18"/>
          <w:szCs w:val="18"/>
          <w:u w:val="single" w:color="auto"/>
          <w:color w:val="auto"/>
        </w:rPr>
        <w:t>Advertising operating costs.</w:t>
      </w:r>
      <w:r>
        <w:rPr>
          <w:rFonts w:ascii="Times New Roman" w:cs="Times New Roman" w:eastAsia="Times New Roman" w:hAnsi="Times New Roman"/>
          <w:sz w:val="18"/>
          <w:szCs w:val="18"/>
          <w:color w:val="auto"/>
        </w:rPr>
        <w:t xml:space="preserve"> Advertising operating costs decreased $8.5 million, or 88.5%, from $9.6 million for the third quarter of 2019 to $1.1 million for the third quarter of 2020. The decrease was due to a $7.8 million decrease in advertising affiliate expense due to the limited attendance at affiliate theaters during the third quarter of 2020 due to the COVID-19 Pandemic and the corresponding lower revenue. The decrease was also due to a $0.5 million decrease in personnel primarily related expenses related to the Temporary Salary and Wage Reductions implemented in response to the COVID-19 Pandemic.</w:t>
      </w:r>
    </w:p>
    <w:p>
      <w:pPr>
        <w:spacing w:after="0" w:line="129" w:lineRule="exact"/>
        <w:rPr>
          <w:sz w:val="20"/>
          <w:szCs w:val="20"/>
          <w:color w:val="auto"/>
        </w:rPr>
      </w:pPr>
    </w:p>
    <w:p>
      <w:pPr>
        <w:ind w:left="580" w:right="20"/>
        <w:spacing w:after="0" w:line="258" w:lineRule="auto"/>
        <w:rPr>
          <w:sz w:val="20"/>
          <w:szCs w:val="20"/>
          <w:color w:val="auto"/>
        </w:rPr>
      </w:pPr>
      <w:r>
        <w:rPr>
          <w:rFonts w:ascii="Times New Roman" w:cs="Times New Roman" w:eastAsia="Times New Roman" w:hAnsi="Times New Roman"/>
          <w:sz w:val="18"/>
          <w:szCs w:val="18"/>
          <w:u w:val="single" w:color="auto"/>
          <w:color w:val="auto"/>
        </w:rPr>
        <w:t>Network costs.</w:t>
      </w:r>
      <w:r>
        <w:rPr>
          <w:rFonts w:ascii="Times New Roman" w:cs="Times New Roman" w:eastAsia="Times New Roman" w:hAnsi="Times New Roman"/>
          <w:sz w:val="18"/>
          <w:szCs w:val="18"/>
          <w:color w:val="auto"/>
        </w:rPr>
        <w:t xml:space="preserve"> Network costs decreased $1.4 million, or 43.8%, from $3.2 million for the third quarter of 2019 to $1.8 million for the third quarter of 2020. The decrease was primarily related to a $1.0 million decrease in personnel expenses primarily related to the Temporary Salary and Wage Reductions implemented in response to the COVID-19 Pandemic and a $0.2 million decrease in maintenance expenses related to our Digital Content Network due to the temporary closure of almost all the theaters within our network for the majority of the third quarter of 2020 in response to the COVID-19 Pandemic.</w:t>
      </w:r>
    </w:p>
    <w:p>
      <w:pPr>
        <w:spacing w:after="0" w:line="129" w:lineRule="exact"/>
        <w:rPr>
          <w:sz w:val="20"/>
          <w:szCs w:val="20"/>
          <w:color w:val="auto"/>
        </w:rPr>
      </w:pPr>
    </w:p>
    <w:p>
      <w:pPr>
        <w:ind w:left="580" w:right="120"/>
        <w:spacing w:after="0" w:line="258" w:lineRule="auto"/>
        <w:rPr>
          <w:sz w:val="20"/>
          <w:szCs w:val="20"/>
          <w:color w:val="auto"/>
        </w:rPr>
      </w:pPr>
      <w:r>
        <w:rPr>
          <w:rFonts w:ascii="Times New Roman" w:cs="Times New Roman" w:eastAsia="Times New Roman" w:hAnsi="Times New Roman"/>
          <w:sz w:val="18"/>
          <w:szCs w:val="18"/>
          <w:u w:val="single" w:color="auto"/>
          <w:color w:val="auto"/>
        </w:rPr>
        <w:t>Theater access fees and revenue share—founding members.</w:t>
      </w:r>
      <w:r>
        <w:rPr>
          <w:rFonts w:ascii="Times New Roman" w:cs="Times New Roman" w:eastAsia="Times New Roman" w:hAnsi="Times New Roman"/>
          <w:sz w:val="18"/>
          <w:szCs w:val="18"/>
          <w:color w:val="auto"/>
        </w:rPr>
        <w:t xml:space="preserve"> Theater access fees and revenue share decreased $18.3 million, or 91.0%, from $20.1 million in the third quarter of 2019 to $1.8 million in the third quarter of 2020. The decrease was due to the temporary closure of almost all the founding member theaters in response to the COVID-19 Pandemic until a portion of founding member theaters reopened in late August 2020. The Company did not owe the founding members any theater access fees for the period the theaters were not open and these fees were reduced, as compared to the third quarter of 2019, after theaters opened due to lower attendance and fewer open theaters.</w:t>
      </w:r>
    </w:p>
    <w:p>
      <w:pPr>
        <w:spacing w:after="0" w:line="129" w:lineRule="exact"/>
        <w:rPr>
          <w:sz w:val="20"/>
          <w:szCs w:val="20"/>
          <w:color w:val="auto"/>
        </w:rPr>
      </w:pPr>
    </w:p>
    <w:p>
      <w:pPr>
        <w:ind w:left="580"/>
        <w:spacing w:after="0" w:line="254" w:lineRule="auto"/>
        <w:rPr>
          <w:sz w:val="20"/>
          <w:szCs w:val="20"/>
          <w:color w:val="auto"/>
        </w:rPr>
      </w:pPr>
      <w:r>
        <w:rPr>
          <w:rFonts w:ascii="Times New Roman" w:cs="Times New Roman" w:eastAsia="Times New Roman" w:hAnsi="Times New Roman"/>
          <w:sz w:val="18"/>
          <w:szCs w:val="18"/>
          <w:u w:val="single" w:color="auto"/>
          <w:color w:val="auto"/>
        </w:rPr>
        <w:t>Selling and marketing costs.</w:t>
      </w:r>
      <w:r>
        <w:rPr>
          <w:rFonts w:ascii="Times New Roman" w:cs="Times New Roman" w:eastAsia="Times New Roman" w:hAnsi="Times New Roman"/>
          <w:sz w:val="18"/>
          <w:szCs w:val="18"/>
          <w:color w:val="auto"/>
        </w:rPr>
        <w:t xml:space="preserve"> Selling and marketing costs decreased $9.5 million, or 55.9%, from $17.0 million for the third quarter of 2019 to $7.5 million for the third quarter of 2020. This decrease was primarily related to a $4.3 million decrease in personnel related expenses related to a decrease in commission and bonus expense due to lower revenue generated in the third quarter of 2020, as compared to the third quarter of 2019, as well as, the Temporary Salary and Wage Reductions implemented in response to the COVID-19 Pandemic. Selling and marketing costs also decreased 1) $2.0 million related to non-cash impairment expense realized in the third quarter of 2019 related to investments obtained in prior years in exchange for advertising services, 2) $1.2 million related to a reduction in non-essential operating expenditures including marketing, research and employee travel that were suspended as part of the measures taken to reduce expenses and preserve cash during the COVID-19 Pandemic, 3) $0.9 million due to a decrease in barter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type w:val="continuous"/>
        </w:sectPr>
      </w:pPr>
    </w:p>
    <w:bookmarkStart w:id="31" w:name="page32"/>
    <w:bookmarkEnd w:id="31"/>
    <w:p>
      <w:pPr>
        <w:ind w:left="580" w:right="200"/>
        <w:spacing w:after="0" w:line="282" w:lineRule="auto"/>
        <w:rPr>
          <w:sz w:val="20"/>
          <w:szCs w:val="20"/>
          <w:color w:val="auto"/>
        </w:rPr>
      </w:pPr>
      <w:r>
        <w:rPr>
          <w:rFonts w:ascii="Times New Roman" w:cs="Times New Roman" w:eastAsia="Times New Roman" w:hAnsi="Times New Roman"/>
          <w:sz w:val="18"/>
          <w:szCs w:val="18"/>
          <w:color w:val="auto"/>
        </w:rPr>
        <w:t>expense for the third quarter of 2020, as compared to the third quarter of 2019 and 4) $0.4 million due to a decrease in bad debt expense resulting from lower revenue in the third quarter of 2020, as compared to the third quarter of 2019.</w:t>
      </w:r>
    </w:p>
    <w:p>
      <w:pPr>
        <w:spacing w:after="0" w:line="108" w:lineRule="exact"/>
        <w:rPr>
          <w:sz w:val="20"/>
          <w:szCs w:val="20"/>
          <w:color w:val="auto"/>
        </w:rPr>
      </w:pPr>
    </w:p>
    <w:p>
      <w:pPr>
        <w:ind w:left="580"/>
        <w:spacing w:after="0" w:line="258" w:lineRule="auto"/>
        <w:rPr>
          <w:sz w:val="20"/>
          <w:szCs w:val="20"/>
          <w:color w:val="auto"/>
        </w:rPr>
      </w:pPr>
      <w:r>
        <w:rPr>
          <w:rFonts w:ascii="Times New Roman" w:cs="Times New Roman" w:eastAsia="Times New Roman" w:hAnsi="Times New Roman"/>
          <w:sz w:val="18"/>
          <w:szCs w:val="18"/>
          <w:u w:val="single" w:color="auto"/>
          <w:color w:val="auto"/>
        </w:rPr>
        <w:t>Administrative and other costs.</w:t>
      </w:r>
      <w:r>
        <w:rPr>
          <w:rFonts w:ascii="Times New Roman" w:cs="Times New Roman" w:eastAsia="Times New Roman" w:hAnsi="Times New Roman"/>
          <w:sz w:val="18"/>
          <w:szCs w:val="18"/>
          <w:color w:val="auto"/>
        </w:rPr>
        <w:t xml:space="preserve"> Administrative and other costs decreased $4.6 million, or 44.2%, from $10.4 million in the third quarter of 2019 to $5.8 million in the third quarter of 2020. This decrease was primarily due to a $4.0 million decrease in personnel related expenses due to the Temporary Salary and Wage Reductions implemented in response to the COVID-19 Pandemic and a decrease in performance based compensation expense related to lower projected performance against internal bonus and performance based restricted stock targets as of the third quarter of 2020, compared to the third quarter of 2019. Administrative and other costs also decreased $0.4 million due to a decrease in consulting services.</w:t>
      </w:r>
    </w:p>
    <w:p>
      <w:pPr>
        <w:spacing w:after="0" w:line="129" w:lineRule="exact"/>
        <w:rPr>
          <w:sz w:val="20"/>
          <w:szCs w:val="20"/>
          <w:color w:val="auto"/>
        </w:rPr>
      </w:pPr>
    </w:p>
    <w:p>
      <w:pPr>
        <w:ind w:left="580" w:right="80"/>
        <w:spacing w:after="0" w:line="282" w:lineRule="auto"/>
        <w:rPr>
          <w:sz w:val="20"/>
          <w:szCs w:val="20"/>
          <w:color w:val="auto"/>
        </w:rPr>
      </w:pPr>
      <w:r>
        <w:rPr>
          <w:rFonts w:ascii="Times New Roman" w:cs="Times New Roman" w:eastAsia="Times New Roman" w:hAnsi="Times New Roman"/>
          <w:sz w:val="18"/>
          <w:szCs w:val="18"/>
          <w:u w:val="single" w:color="auto"/>
          <w:color w:val="auto"/>
        </w:rPr>
        <w:t>Depreciation expense.</w:t>
      </w:r>
      <w:r>
        <w:rPr>
          <w:rFonts w:ascii="Times New Roman" w:cs="Times New Roman" w:eastAsia="Times New Roman" w:hAnsi="Times New Roman"/>
          <w:sz w:val="18"/>
          <w:szCs w:val="18"/>
          <w:color w:val="auto"/>
        </w:rPr>
        <w:t xml:space="preserve"> Depreciation expense decreased $0.3 million, or 8.8%, from $3.4 million for the third quarter of 2019 to $3.1 million for the third quarter of 2020, as assets became fully depreciated.</w:t>
      </w:r>
    </w:p>
    <w:p>
      <w:pPr>
        <w:spacing w:after="0" w:line="108" w:lineRule="exact"/>
        <w:rPr>
          <w:sz w:val="20"/>
          <w:szCs w:val="20"/>
          <w:color w:val="auto"/>
        </w:rPr>
      </w:pPr>
    </w:p>
    <w:p>
      <w:pPr>
        <w:ind w:left="580" w:right="220"/>
        <w:spacing w:after="0" w:line="261" w:lineRule="auto"/>
        <w:rPr>
          <w:sz w:val="20"/>
          <w:szCs w:val="20"/>
          <w:color w:val="auto"/>
        </w:rPr>
      </w:pPr>
      <w:r>
        <w:rPr>
          <w:rFonts w:ascii="Times New Roman" w:cs="Times New Roman" w:eastAsia="Times New Roman" w:hAnsi="Times New Roman"/>
          <w:sz w:val="18"/>
          <w:szCs w:val="18"/>
          <w:u w:val="single" w:color="auto"/>
          <w:color w:val="auto"/>
        </w:rPr>
        <w:t>Amortization of intangibles recorded for network theater screen leases.</w:t>
      </w:r>
      <w:r>
        <w:rPr>
          <w:rFonts w:ascii="Times New Roman" w:cs="Times New Roman" w:eastAsia="Times New Roman" w:hAnsi="Times New Roman"/>
          <w:sz w:val="18"/>
          <w:szCs w:val="18"/>
          <w:color w:val="auto"/>
        </w:rPr>
        <w:t xml:space="preserve"> Amortization of intangibles recorded for network theater screen leases decreased $0.6 million, or 8.8%, from $6.8 million for the third quarter of 2019, to $6.2 million for the third quarter of 2020, primarily due to the four year extension of the contractual life of the intangible assets for Cinemark and Regal following the 2019 ESA Amendments at the end of the third quarter of 2019.</w:t>
      </w:r>
    </w:p>
    <w:p>
      <w:pPr>
        <w:spacing w:after="0" w:line="124" w:lineRule="exact"/>
        <w:rPr>
          <w:sz w:val="20"/>
          <w:szCs w:val="20"/>
          <w:color w:val="auto"/>
        </w:rPr>
      </w:pPr>
    </w:p>
    <w:p>
      <w:pPr>
        <w:ind w:right="140" w:firstLine="52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Non-operating expenses. </w:t>
      </w:r>
      <w:r>
        <w:rPr>
          <w:rFonts w:ascii="Times New Roman" w:cs="Times New Roman" w:eastAsia="Times New Roman" w:hAnsi="Times New Roman"/>
          <w:sz w:val="18"/>
          <w:szCs w:val="18"/>
          <w:color w:val="auto"/>
        </w:rPr>
        <w:t>Total non-operating expenses decreased $0.2 million, or 1.6%, from $12.9 million for the third quarter of 2019 to $12.7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third quarter of 2020. The following table shows the changes in non-operating expense for the third quarter of 2020 and the third quarter of 2019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45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Q3 2020</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Q3 2019</w:t>
            </w:r>
          </w:p>
        </w:tc>
        <w:tc>
          <w:tcPr>
            <w:tcW w:w="140" w:type="dxa"/>
            <w:vAlign w:val="bottom"/>
          </w:tcPr>
          <w:p>
            <w:pPr>
              <w:spacing w:after="0"/>
              <w:rPr>
                <w:sz w:val="16"/>
                <w:szCs w:val="16"/>
                <w:color w:val="auto"/>
              </w:rPr>
            </w:pPr>
          </w:p>
        </w:tc>
        <w:tc>
          <w:tcPr>
            <w:tcW w:w="14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Q3 2020 to Q3 2019</w:t>
            </w:r>
          </w:p>
        </w:tc>
        <w:tc>
          <w:tcPr>
            <w:tcW w:w="100" w:type="dxa"/>
            <w:vAlign w:val="bottom"/>
          </w:tcPr>
          <w:p>
            <w:pPr>
              <w:spacing w:after="0"/>
              <w:rPr>
                <w:sz w:val="16"/>
                <w:szCs w:val="16"/>
                <w:color w:val="auto"/>
              </w:rPr>
            </w:pPr>
          </w:p>
        </w:tc>
        <w:tc>
          <w:tcPr>
            <w:tcW w:w="170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Q3 2020 to Q3 2019</w:t>
            </w:r>
          </w:p>
        </w:tc>
        <w:tc>
          <w:tcPr>
            <w:tcW w:w="0" w:type="dxa"/>
            <w:vAlign w:val="bottom"/>
          </w:tcPr>
          <w:p>
            <w:pPr>
              <w:spacing w:after="0"/>
              <w:rPr>
                <w:sz w:val="1"/>
                <w:szCs w:val="1"/>
                <w:color w:val="auto"/>
              </w:rPr>
            </w:pPr>
          </w:p>
        </w:tc>
      </w:tr>
      <w:tr>
        <w:trPr>
          <w:trHeight w:val="223"/>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borrowings</w:t>
            </w:r>
          </w:p>
        </w:tc>
        <w:tc>
          <w:tcPr>
            <w:tcW w:w="1100" w:type="dxa"/>
            <w:vAlign w:val="bottom"/>
            <w:tcBorders>
              <w:top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center"/>
              <w:ind w:left="915"/>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center"/>
              <w:ind w:left="935"/>
              <w:spacing w:after="0"/>
              <w:rPr>
                <w:sz w:val="20"/>
                <w:szCs w:val="20"/>
                <w:color w:val="auto"/>
              </w:rPr>
            </w:pPr>
            <w:r>
              <w:rPr>
                <w:rFonts w:ascii="Times New Roman" w:cs="Times New Roman" w:eastAsia="Times New Roman" w:hAnsi="Times New Roman"/>
                <w:sz w:val="18"/>
                <w:szCs w:val="18"/>
                <w:color w:val="auto"/>
                <w:w w:val="97"/>
              </w:rPr>
              <w:t>0.3</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176"/>
        </w:trPr>
        <w:tc>
          <w:tcPr>
            <w:tcW w:w="45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Gain on the re-measurement of the payable</w:t>
            </w:r>
          </w:p>
        </w:tc>
        <w:tc>
          <w:tcPr>
            <w:tcW w:w="1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to founding members under the tax receivable</w:t>
            </w:r>
          </w:p>
        </w:tc>
        <w:tc>
          <w:tcPr>
            <w:tcW w:w="110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center"/>
              <w:ind w:left="915"/>
              <w:spacing w:after="0"/>
              <w:rPr>
                <w:sz w:val="20"/>
                <w:szCs w:val="20"/>
                <w:color w:val="auto"/>
              </w:rPr>
            </w:pPr>
            <w:r>
              <w:rPr>
                <w:rFonts w:ascii="Times New Roman" w:cs="Times New Roman" w:eastAsia="Times New Roman" w:hAnsi="Times New Roman"/>
                <w:sz w:val="18"/>
                <w:szCs w:val="18"/>
                <w:color w:val="auto"/>
              </w:rPr>
              <w:t>(0.5)</w:t>
            </w:r>
          </w:p>
        </w:tc>
        <w:tc>
          <w:tcPr>
            <w:tcW w:w="1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agreement</w:t>
            </w:r>
          </w:p>
        </w:tc>
        <w:tc>
          <w:tcPr>
            <w:tcW w:w="110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8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non-operating expense</w:t>
            </w:r>
          </w:p>
        </w:tc>
        <w:tc>
          <w:tcPr>
            <w:tcW w:w="1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0" w:type="dxa"/>
            <w:vAlign w:val="bottom"/>
          </w:tcPr>
          <w:p>
            <w:pPr>
              <w:jc w:val="center"/>
              <w:ind w:left="935"/>
              <w:spacing w:after="0"/>
              <w:rPr>
                <w:sz w:val="20"/>
                <w:szCs w:val="20"/>
                <w:color w:val="auto"/>
              </w:rPr>
            </w:pPr>
            <w:r>
              <w:rPr>
                <w:rFonts w:ascii="Times New Roman" w:cs="Times New Roman" w:eastAsia="Times New Roman" w:hAnsi="Times New Roman"/>
                <w:sz w:val="18"/>
                <w:szCs w:val="18"/>
                <w:color w:val="auto"/>
                <w:w w:val="97"/>
              </w:rPr>
              <w:t>0.1</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48"/>
        </w:trPr>
        <w:tc>
          <w:tcPr>
            <w:tcW w:w="45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non-operating expenses</w:t>
            </w:r>
          </w:p>
        </w:tc>
        <w:tc>
          <w:tcPr>
            <w:tcW w:w="1100" w:type="dxa"/>
            <w:vAlign w:val="bottom"/>
            <w:tcBorders>
              <w:top w:val="single" w:sz="8" w:color="auto"/>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center"/>
              <w:ind w:left="915"/>
              <w:spacing w:after="0"/>
              <w:rPr>
                <w:sz w:val="20"/>
                <w:szCs w:val="20"/>
                <w:color w:val="auto"/>
              </w:rPr>
            </w:pPr>
            <w:r>
              <w:rPr>
                <w:rFonts w:ascii="Times New Roman" w:cs="Times New Roman" w:eastAsia="Times New Roman" w:hAnsi="Times New Roman"/>
                <w:sz w:val="18"/>
                <w:szCs w:val="18"/>
                <w:color w:val="auto"/>
              </w:rPr>
              <w:t>(0.2)</w:t>
            </w:r>
          </w:p>
        </w:tc>
        <w:tc>
          <w:tcPr>
            <w:tcW w:w="18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ind w:right="160" w:firstLine="177"/>
        <w:spacing w:after="0" w:line="261" w:lineRule="auto"/>
        <w:rPr>
          <w:sz w:val="20"/>
          <w:szCs w:val="20"/>
          <w:color w:val="auto"/>
        </w:rPr>
      </w:pPr>
      <w:r>
        <w:rPr>
          <w:rFonts w:ascii="Times New Roman" w:cs="Times New Roman" w:eastAsia="Times New Roman" w:hAnsi="Times New Roman"/>
          <w:sz w:val="18"/>
          <w:szCs w:val="18"/>
          <w:color w:val="auto"/>
        </w:rPr>
        <w:t>The decrease in non-operating expense was primarily due to a $0.5 million increase in the gain on the re-measurement of the payable to founding members under the tax receivable agreement due to the reduction of the payable balance related to certain state net operating losses which the Company expects to expire prior to utilization and a $0.3 million decrease in interest income on the Company's marketable securities due to a decrease in the rate of return and the outstanding balance of securities in the third quarter of 2020 as compared to the third quarter of 2019.</w:t>
      </w:r>
    </w:p>
    <w:p>
      <w:pPr>
        <w:spacing w:after="0" w:line="70" w:lineRule="exact"/>
        <w:rPr>
          <w:sz w:val="20"/>
          <w:szCs w:val="20"/>
          <w:color w:val="auto"/>
        </w:rPr>
      </w:pPr>
    </w:p>
    <w:p>
      <w:pPr>
        <w:jc w:val="both"/>
        <w:ind w:right="160" w:firstLine="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Benefit. </w:t>
      </w:r>
      <w:r>
        <w:rPr>
          <w:rFonts w:ascii="Times New Roman" w:cs="Times New Roman" w:eastAsia="Times New Roman" w:hAnsi="Times New Roman"/>
          <w:sz w:val="18"/>
          <w:szCs w:val="18"/>
          <w:color w:val="auto"/>
        </w:rPr>
        <w:t>Income Tax Benefit increased from income tax expense of $4.3 million for the third quarter of 2019 to $3.1 million of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 for the third quarter of 2020. The increase in income tax benefit was primarily due to the decrease in pretax book income attributable to NCM Inc. from income of $13.1 million for the third quarter of 2019 to loss of $15.8 million for the third quarter of 2020.</w:t>
      </w:r>
    </w:p>
    <w:p>
      <w:pPr>
        <w:spacing w:after="0" w:line="119" w:lineRule="exact"/>
        <w:rPr>
          <w:sz w:val="20"/>
          <w:szCs w:val="20"/>
          <w:color w:val="auto"/>
        </w:rPr>
      </w:pPr>
    </w:p>
    <w:p>
      <w:pPr>
        <w:jc w:val="both"/>
        <w:ind w:right="120" w:firstLine="180"/>
        <w:spacing w:after="0" w:line="267" w:lineRule="auto"/>
        <w:rPr>
          <w:sz w:val="20"/>
          <w:szCs w:val="20"/>
          <w:color w:val="auto"/>
        </w:rPr>
      </w:pPr>
      <w:r>
        <w:rPr>
          <w:rFonts w:ascii="Times New Roman" w:cs="Times New Roman" w:eastAsia="Times New Roman" w:hAnsi="Times New Roman"/>
          <w:sz w:val="18"/>
          <w:szCs w:val="18"/>
          <w:i w:val="1"/>
          <w:iCs w:val="1"/>
          <w:color w:val="auto"/>
        </w:rPr>
        <w:t>Net Loss</w:t>
      </w:r>
      <w:r>
        <w:rPr>
          <w:rFonts w:ascii="Times New Roman" w:cs="Times New Roman" w:eastAsia="Times New Roman" w:hAnsi="Times New Roman"/>
          <w:sz w:val="18"/>
          <w:szCs w:val="18"/>
          <w:color w:val="auto"/>
        </w:rPr>
        <w:t>. Net loss increased $21.9 million from net income of $9.2 million for the third quarter of 2019 to net loss of $12.7 million for the third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2020. The increase in net loss was due to a $61.3 million increase in operating loss, partially offset by a $31.8 million increase in net loss attributable to noncontrolling interests, a $7.4 million increase in income tax benefit and a $0.2 million decrease in non-operating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24, 2020 and September 26, 2019</w:t>
      </w:r>
    </w:p>
    <w:p>
      <w:pPr>
        <w:spacing w:after="0" w:line="173" w:lineRule="exact"/>
        <w:rPr>
          <w:sz w:val="20"/>
          <w:szCs w:val="20"/>
          <w:color w:val="auto"/>
        </w:rPr>
      </w:pPr>
    </w:p>
    <w:p>
      <w:pPr>
        <w:ind w:right="500" w:firstLine="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Total revenue decreased 74.9%, from $297.6 million for the nine months ended September 26, 2019 to $74.7 million for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24, 2020. The following is a summary of revenue by category (in millions):</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2" w:name="page33"/>
    <w:bookmarkEnd w:id="32"/>
    <w:tbl>
      <w:tblPr>
        <w:tblLayout w:type="fixed"/>
        <w:tblInd w:w="60" w:type="dxa"/>
        <w:tblCellMar>
          <w:top w:w="0" w:type="dxa"/>
          <w:left w:w="0" w:type="dxa"/>
          <w:bottom w:w="0" w:type="dxa"/>
          <w:right w:w="0" w:type="dxa"/>
        </w:tblCellMar>
      </w:tblPr>
      <w:tr>
        <w:trPr>
          <w:trHeight w:val="195"/>
        </w:trPr>
        <w:tc>
          <w:tcPr>
            <w:tcW w:w="53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33"/>
        </w:trPr>
        <w:tc>
          <w:tcPr>
            <w:tcW w:w="5380" w:type="dxa"/>
            <w:vAlign w:val="bottom"/>
          </w:tcPr>
          <w:p>
            <w:pPr>
              <w:spacing w:after="0"/>
              <w:rPr>
                <w:sz w:val="11"/>
                <w:szCs w:val="11"/>
                <w:color w:val="auto"/>
              </w:rPr>
            </w:pPr>
          </w:p>
        </w:tc>
        <w:tc>
          <w:tcPr>
            <w:tcW w:w="1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24, 2020</w:t>
            </w: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26, 2019</w:t>
            </w:r>
          </w:p>
        </w:tc>
        <w:tc>
          <w:tcPr>
            <w:tcW w:w="1320" w:type="dxa"/>
            <w:vAlign w:val="bottom"/>
            <w:gridSpan w:val="2"/>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YTD 2020 to YTD</w:t>
            </w:r>
          </w:p>
        </w:tc>
        <w:tc>
          <w:tcPr>
            <w:tcW w:w="100" w:type="dxa"/>
            <w:vAlign w:val="bottom"/>
          </w:tcPr>
          <w:p>
            <w:pPr>
              <w:spacing w:after="0"/>
              <w:rPr>
                <w:sz w:val="11"/>
                <w:szCs w:val="11"/>
                <w:color w:val="auto"/>
              </w:rPr>
            </w:pPr>
          </w:p>
        </w:tc>
        <w:tc>
          <w:tcPr>
            <w:tcW w:w="146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YTD 2020 to YTD</w:t>
            </w:r>
          </w:p>
        </w:tc>
        <w:tc>
          <w:tcPr>
            <w:tcW w:w="0" w:type="dxa"/>
            <w:vAlign w:val="bottom"/>
          </w:tcPr>
          <w:p>
            <w:pPr>
              <w:spacing w:after="0"/>
              <w:rPr>
                <w:sz w:val="1"/>
                <w:szCs w:val="1"/>
                <w:color w:val="auto"/>
              </w:rPr>
            </w:pPr>
          </w:p>
        </w:tc>
      </w:tr>
      <w:tr>
        <w:trPr>
          <w:trHeight w:val="189"/>
        </w:trPr>
        <w:tc>
          <w:tcPr>
            <w:tcW w:w="538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560" w:type="dxa"/>
            <w:vAlign w:val="bottom"/>
            <w:gridSpan w:val="2"/>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223"/>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National and regional advertising revenue</w:t>
            </w:r>
          </w:p>
        </w:tc>
        <w:tc>
          <w:tcPr>
            <w:tcW w:w="42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Local advertising revenue</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175"/>
        </w:trPr>
        <w:tc>
          <w:tcPr>
            <w:tcW w:w="53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Founding member advertising revenue from</w:t>
            </w:r>
          </w:p>
        </w:tc>
        <w:tc>
          <w:tcPr>
            <w:tcW w:w="4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5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beverage concessionaire agreements</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5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4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1"/>
        </w:trPr>
        <w:tc>
          <w:tcPr>
            <w:tcW w:w="5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data on theater attendance and revenue per attendee for the nine months ended September 24, 2020 and September 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8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70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6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24, 2020</w:t>
            </w: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September 26, 2019</w:t>
            </w:r>
          </w:p>
        </w:tc>
        <w:tc>
          <w:tcPr>
            <w:tcW w:w="100" w:type="dxa"/>
            <w:vAlign w:val="bottom"/>
          </w:tcPr>
          <w:p>
            <w:pPr>
              <w:spacing w:after="0"/>
              <w:rPr>
                <w:sz w:val="16"/>
                <w:szCs w:val="16"/>
                <w:color w:val="auto"/>
              </w:rPr>
            </w:pPr>
          </w:p>
        </w:tc>
        <w:tc>
          <w:tcPr>
            <w:tcW w:w="170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YTD 2020 to YTD 2019</w:t>
            </w:r>
          </w:p>
        </w:tc>
        <w:tc>
          <w:tcPr>
            <w:tcW w:w="0" w:type="dxa"/>
            <w:vAlign w:val="bottom"/>
          </w:tcPr>
          <w:p>
            <w:pPr>
              <w:spacing w:after="0"/>
              <w:rPr>
                <w:sz w:val="1"/>
                <w:szCs w:val="1"/>
                <w:color w:val="auto"/>
              </w:rPr>
            </w:pPr>
          </w:p>
        </w:tc>
      </w:tr>
      <w:tr>
        <w:trPr>
          <w:trHeight w:val="223"/>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National and regional advertising revenue per attendee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0.459</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Local advertising revenue per attendee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0.095</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0" w:type="dxa"/>
            <w:vAlign w:val="bottom"/>
          </w:tcPr>
          <w:p>
            <w:pPr>
              <w:spacing w:after="0"/>
              <w:rPr>
                <w:sz w:val="1"/>
                <w:szCs w:val="1"/>
                <w:color w:val="auto"/>
              </w:rPr>
            </w:pPr>
          </w:p>
        </w:tc>
      </w:tr>
      <w:tr>
        <w:trPr>
          <w:trHeight w:val="176"/>
        </w:trPr>
        <w:tc>
          <w:tcPr>
            <w:tcW w:w="6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Total advertising revenue (excluding founding</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0.548</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0.554</w:t>
            </w:r>
          </w:p>
        </w:tc>
        <w:tc>
          <w:tcPr>
            <w:tcW w:w="100" w:type="dxa"/>
            <w:vAlign w:val="bottom"/>
            <w:shd w:val="clear" w:color="auto" w:fill="CCEEFF"/>
          </w:tcPr>
          <w:p>
            <w:pPr>
              <w:spacing w:after="0"/>
              <w:rPr>
                <w:sz w:val="15"/>
                <w:szCs w:val="15"/>
                <w:color w:val="auto"/>
              </w:rPr>
            </w:pPr>
          </w:p>
        </w:tc>
        <w:tc>
          <w:tcPr>
            <w:tcW w:w="1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member beverage revenue) per attendee</w:t>
            </w:r>
          </w:p>
        </w:tc>
        <w:tc>
          <w:tcPr>
            <w:tcW w:w="140" w:type="dxa"/>
            <w:vAlign w:val="bottom"/>
            <w:vMerge w:val="continue"/>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advertising revenue per attendee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0.598</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Total theater attendance (in millions) </w:t>
            </w:r>
            <w:r>
              <w:rPr>
                <w:rFonts w:ascii="Times New Roman" w:cs="Times New Roman" w:eastAsia="Times New Roman" w:hAnsi="Times New Roman"/>
                <w:sz w:val="18"/>
                <w:szCs w:val="18"/>
                <w:i w:val="1"/>
                <w:iCs w:val="1"/>
                <w:color w:val="auto"/>
              </w:rPr>
              <w:t>(1)</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w:t>
      </w:r>
    </w:p>
    <w:p>
      <w:pPr>
        <w:spacing w:after="0" w:line="152" w:lineRule="exact"/>
        <w:rPr>
          <w:sz w:val="20"/>
          <w:szCs w:val="20"/>
          <w:color w:val="auto"/>
        </w:rPr>
      </w:pPr>
    </w:p>
    <w:p>
      <w:pPr>
        <w:ind w:left="460" w:right="60" w:hanging="331"/>
        <w:spacing w:after="0" w:line="282" w:lineRule="auto"/>
        <w:tabs>
          <w:tab w:leader="none" w:pos="454"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the total attendance within our advertising network, excluding screens and attendance associated with certain AMC Carmike, AMC Rave and Cinemark Rave theaters that were part of another cinema advertising network for certain periods presented.</w:t>
      </w:r>
    </w:p>
    <w:p>
      <w:pPr>
        <w:spacing w:after="0" w:line="108" w:lineRule="exact"/>
        <w:rPr>
          <w:sz w:val="20"/>
          <w:szCs w:val="20"/>
          <w:color w:val="auto"/>
        </w:rPr>
      </w:pPr>
    </w:p>
    <w:p>
      <w:pPr>
        <w:ind w:left="580" w:right="60"/>
        <w:spacing w:after="0" w:line="253" w:lineRule="auto"/>
        <w:rPr>
          <w:sz w:val="20"/>
          <w:szCs w:val="20"/>
          <w:color w:val="auto"/>
        </w:rPr>
      </w:pPr>
      <w:r>
        <w:rPr>
          <w:rFonts w:ascii="Times New Roman" w:cs="Times New Roman" w:eastAsia="Times New Roman" w:hAnsi="Times New Roman"/>
          <w:sz w:val="18"/>
          <w:szCs w:val="18"/>
          <w:u w:val="single" w:color="auto"/>
          <w:color w:val="auto"/>
        </w:rPr>
        <w:t>National and regional advertising revenue.</w:t>
      </w:r>
      <w:r>
        <w:rPr>
          <w:rFonts w:ascii="Times New Roman" w:cs="Times New Roman" w:eastAsia="Times New Roman" w:hAnsi="Times New Roman"/>
          <w:sz w:val="18"/>
          <w:szCs w:val="18"/>
          <w:color w:val="auto"/>
        </w:rPr>
        <w:t xml:space="preserve"> The $173.1 million, or 75.9%, decrease in national and regional advertising revenue (excluding beverage revenue from founding members) was primarily due to a 74.9% decrease in impressions sold due to the temporary closure of almost all the theaters within our network in response to the COVID-19 Pandemic preventing the Company from performing in-theater advertising beginning in mid-March 2020 until the beginning of September 2020 when some of the theaters within our network reopened and in-theater advertising resumed. National advertising CPMs for the impressions delivered for the portion of the nine months ended September 24, 2020 the theaters were open decreased 8.8% driven by 1) a decrease in upfront and scatter market CPMs due to the churn of certain higher CPM deals, that were replaced by lower CPM deals, as well as, 2) a change in the mix of clients with a higher proportion of upfront clients and fewer higher CPM scatter market and content partner clients in the nine months ended September 24, 2020, as compared to the nine months ended September 26, 2019. The scatter market represents inventory not included within an upfront or content partner commitment sold closer to the advertisement air date for typically higher CPMs.</w:t>
      </w:r>
    </w:p>
    <w:p>
      <w:pPr>
        <w:spacing w:after="0" w:line="140" w:lineRule="exact"/>
        <w:rPr>
          <w:sz w:val="20"/>
          <w:szCs w:val="20"/>
          <w:color w:val="auto"/>
        </w:rPr>
      </w:pPr>
    </w:p>
    <w:p>
      <w:pPr>
        <w:ind w:left="580" w:right="40"/>
        <w:spacing w:after="0" w:line="256" w:lineRule="auto"/>
        <w:rPr>
          <w:sz w:val="20"/>
          <w:szCs w:val="20"/>
          <w:color w:val="auto"/>
        </w:rPr>
      </w:pPr>
      <w:r>
        <w:rPr>
          <w:rFonts w:ascii="Times New Roman" w:cs="Times New Roman" w:eastAsia="Times New Roman" w:hAnsi="Times New Roman"/>
          <w:sz w:val="18"/>
          <w:szCs w:val="18"/>
          <w:u w:val="single" w:color="auto"/>
          <w:color w:val="auto"/>
        </w:rPr>
        <w:t>Local advertising revenue.</w:t>
      </w:r>
      <w:r>
        <w:rPr>
          <w:rFonts w:ascii="Times New Roman" w:cs="Times New Roman" w:eastAsia="Times New Roman" w:hAnsi="Times New Roman"/>
          <w:sz w:val="18"/>
          <w:szCs w:val="18"/>
          <w:color w:val="auto"/>
        </w:rPr>
        <w:t xml:space="preserve"> The $33.3 million, or 70.4%, decrease in local advertising revenue was primarily due to the temporary closure of almost all the theaters within our network in response to the COVID-19 Pandemic preventing the Company from performing in-theater advertising beginning in mid-March 2020 until the beginning of September 2020 when some of the theaters within our network reopened and in-theater advertising resumed. The decrease is also due to a decrease in the volume of contracts and the average contract value for the portion of the nine months ended September 24, 2020 that the theaters were open, compared to the same time period during the nine months ended September 26, 2019.</w:t>
      </w:r>
    </w:p>
    <w:p>
      <w:pPr>
        <w:spacing w:after="0" w:line="133" w:lineRule="exact"/>
        <w:rPr>
          <w:sz w:val="20"/>
          <w:szCs w:val="20"/>
          <w:color w:val="auto"/>
        </w:rPr>
      </w:pPr>
    </w:p>
    <w:p>
      <w:pPr>
        <w:jc w:val="both"/>
        <w:ind w:left="580" w:right="100"/>
        <w:spacing w:after="0" w:line="272" w:lineRule="auto"/>
        <w:rPr>
          <w:sz w:val="20"/>
          <w:szCs w:val="20"/>
          <w:color w:val="auto"/>
        </w:rPr>
      </w:pPr>
      <w:r>
        <w:rPr>
          <w:rFonts w:ascii="Times New Roman" w:cs="Times New Roman" w:eastAsia="Times New Roman" w:hAnsi="Times New Roman"/>
          <w:sz w:val="17"/>
          <w:szCs w:val="17"/>
          <w:u w:val="single" w:color="auto"/>
          <w:color w:val="auto"/>
        </w:rPr>
        <w:t>Founding member beverage revenue.</w:t>
      </w:r>
      <w:r>
        <w:rPr>
          <w:rFonts w:ascii="Times New Roman" w:cs="Times New Roman" w:eastAsia="Times New Roman" w:hAnsi="Times New Roman"/>
          <w:sz w:val="17"/>
          <w:szCs w:val="17"/>
          <w:color w:val="auto"/>
        </w:rPr>
        <w:t xml:space="preserve"> The $16.5 million, or 74.3%, decrease in national advertising revenue from the founding members’ beverage concessionaire agreements was primarily due to a 74.8% decrease in founding member attendance for the nine months ended September 24, 2020, as compared to nine months ended September 26, 2019, due to the temporary theater closures describe above related to the COVID-19 Pandemic.</w:t>
      </w:r>
    </w:p>
    <w:p>
      <w:pPr>
        <w:spacing w:after="0" w:line="2" w:lineRule="exact"/>
        <w:rPr>
          <w:sz w:val="20"/>
          <w:szCs w:val="20"/>
          <w:color w:val="auto"/>
        </w:rPr>
      </w:pPr>
    </w:p>
    <w:p>
      <w:pPr>
        <w:ind w:left="580"/>
        <w:spacing w:after="0" w:line="290" w:lineRule="auto"/>
        <w:rPr>
          <w:sz w:val="20"/>
          <w:szCs w:val="20"/>
          <w:color w:val="auto"/>
        </w:rPr>
      </w:pPr>
      <w:r>
        <w:rPr>
          <w:rFonts w:ascii="Times New Roman" w:cs="Times New Roman" w:eastAsia="Times New Roman" w:hAnsi="Times New Roman"/>
          <w:sz w:val="17"/>
          <w:szCs w:val="17"/>
          <w:color w:val="auto"/>
        </w:rPr>
        <w:t>The national advertising revenue from the founding members’ beverage concessionaire agreements recognized in the nine months ended September 24, 2020 was due to founding member attendance that occurred in the first quarter of 2020 and the latter part of the third quarter of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60" w:right="359" w:bottom="1440" w:gutter="0" w:footer="0" w:header="0"/>
        </w:sectPr>
      </w:pPr>
    </w:p>
    <w:bookmarkStart w:id="33" w:name="page34"/>
    <w:bookmarkEnd w:id="33"/>
    <w:p>
      <w:pPr>
        <w:ind w:right="100" w:firstLine="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Total operating expenses decreased $94.1 million, or 45.0%, from $209.0 million for the nine months ended September 26, 2019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$114.9 million for the nine months ended September 24, 2020. The following table shows the changes in operating expense for the nine months ended September 24, 2020 and September 26, 2019 (in millions):</w:t>
      </w:r>
    </w:p>
    <w:p>
      <w:pPr>
        <w:spacing w:after="0" w:line="128"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5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6"/>
                <w:szCs w:val="16"/>
                <w:color w:val="auto"/>
              </w:rPr>
            </w:pPr>
          </w:p>
        </w:tc>
        <w:tc>
          <w:tcPr>
            <w:tcW w:w="9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33"/>
        </w:trPr>
        <w:tc>
          <w:tcPr>
            <w:tcW w:w="59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rPr>
              <w:t>September 24,</w:t>
            </w: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53"/>
              <w:spacing w:after="0" w:line="134"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20" w:type="dxa"/>
            <w:vAlign w:val="bottom"/>
          </w:tcPr>
          <w:p>
            <w:pPr>
              <w:spacing w:after="0"/>
              <w:rPr>
                <w:sz w:val="11"/>
                <w:szCs w:val="11"/>
                <w:color w:val="auto"/>
              </w:rPr>
            </w:pPr>
          </w:p>
        </w:tc>
        <w:tc>
          <w:tcPr>
            <w:tcW w:w="1180" w:type="dxa"/>
            <w:vAlign w:val="bottom"/>
            <w:tcBorders>
              <w:top w:val="single" w:sz="8" w:color="auto"/>
            </w:tcBorders>
            <w:gridSpan w:val="2"/>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rPr>
              <w:t>YTD 2020 to YTD</w:t>
            </w:r>
          </w:p>
        </w:tc>
        <w:tc>
          <w:tcPr>
            <w:tcW w:w="100" w:type="dxa"/>
            <w:vAlign w:val="bottom"/>
          </w:tcPr>
          <w:p>
            <w:pPr>
              <w:spacing w:after="0"/>
              <w:rPr>
                <w:sz w:val="11"/>
                <w:szCs w:val="11"/>
                <w:color w:val="auto"/>
              </w:rPr>
            </w:pPr>
          </w:p>
        </w:tc>
        <w:tc>
          <w:tcPr>
            <w:tcW w:w="134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YTD 2020 to YTD</w:t>
            </w:r>
          </w:p>
        </w:tc>
        <w:tc>
          <w:tcPr>
            <w:tcW w:w="0" w:type="dxa"/>
            <w:vAlign w:val="bottom"/>
          </w:tcPr>
          <w:p>
            <w:pPr>
              <w:spacing w:after="0"/>
              <w:rPr>
                <w:sz w:val="1"/>
                <w:szCs w:val="1"/>
                <w:color w:val="auto"/>
              </w:rPr>
            </w:pPr>
          </w:p>
        </w:tc>
      </w:tr>
      <w:tr>
        <w:trPr>
          <w:trHeight w:val="189"/>
        </w:trPr>
        <w:tc>
          <w:tcPr>
            <w:tcW w:w="5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40" w:type="dxa"/>
            <w:vAlign w:val="bottom"/>
            <w:gridSpan w:val="2"/>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223"/>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 operating costs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Network costs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Theater access fees and revenue share—founding members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 costs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and other costs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76"/>
        </w:trPr>
        <w:tc>
          <w:tcPr>
            <w:tcW w:w="5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intangibles recorded for</w:t>
            </w: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9"/>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network theater screen leases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440" w:type="dxa"/>
            <w:vAlign w:val="bottom"/>
            <w:tcBorders>
              <w:bottom w:val="single" w:sz="8" w:color="CCEEFF"/>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4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96"/>
        </w:trPr>
        <w:tc>
          <w:tcPr>
            <w:tcW w:w="590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auto"/>
            </w:tcBorders>
            <w:vMerge w:val="continue"/>
            <w:shd w:val="clear" w:color="auto" w:fill="CCEEFF"/>
          </w:tcPr>
          <w:p>
            <w:pPr>
              <w:spacing w:after="0"/>
              <w:rPr>
                <w:sz w:val="8"/>
                <w:szCs w:val="8"/>
                <w:color w:val="auto"/>
              </w:rPr>
            </w:pPr>
          </w:p>
        </w:tc>
        <w:tc>
          <w:tcPr>
            <w:tcW w:w="104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auto"/>
            </w:tcBorders>
            <w:vMerge w:val="continue"/>
            <w:shd w:val="clear" w:color="auto" w:fill="CCEEFF"/>
          </w:tcPr>
          <w:p>
            <w:pPr>
              <w:spacing w:after="0"/>
              <w:rPr>
                <w:sz w:val="8"/>
                <w:szCs w:val="8"/>
                <w:color w:val="auto"/>
              </w:rPr>
            </w:pPr>
          </w:p>
        </w:tc>
        <w:tc>
          <w:tcPr>
            <w:tcW w:w="106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auto"/>
            </w:tcBorders>
            <w:vMerge w:val="continue"/>
            <w:shd w:val="clear" w:color="auto" w:fill="CCEEFF"/>
          </w:tcPr>
          <w:p>
            <w:pPr>
              <w:spacing w:after="0"/>
              <w:rPr>
                <w:sz w:val="8"/>
                <w:szCs w:val="8"/>
                <w:color w:val="auto"/>
              </w:rPr>
            </w:pPr>
          </w:p>
        </w:tc>
        <w:tc>
          <w:tcPr>
            <w:tcW w:w="980" w:type="dxa"/>
            <w:vAlign w:val="bottom"/>
            <w:tcBorders>
              <w:bottom w:val="single" w:sz="8" w:color="auto"/>
            </w:tcBorders>
            <w:vMerge w:val="continue"/>
            <w:shd w:val="clear" w:color="auto" w:fill="CCEEFF"/>
          </w:tcPr>
          <w:p>
            <w:pPr>
              <w:spacing w:after="0"/>
              <w:rPr>
                <w:sz w:val="8"/>
                <w:szCs w:val="8"/>
                <w:color w:val="auto"/>
              </w:rPr>
            </w:pPr>
          </w:p>
        </w:tc>
        <w:tc>
          <w:tcPr>
            <w:tcW w:w="1440" w:type="dxa"/>
            <w:vAlign w:val="bottom"/>
            <w:tcBorders>
              <w:bottom w:val="single" w:sz="8" w:color="CCEEFF"/>
            </w:tcBorders>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u w:val="single" w:color="auto"/>
          <w:color w:val="auto"/>
        </w:rPr>
        <w:t>Advertising operating costs.</w:t>
      </w:r>
      <w:r>
        <w:rPr>
          <w:rFonts w:ascii="Times New Roman" w:cs="Times New Roman" w:eastAsia="Times New Roman" w:hAnsi="Times New Roman"/>
          <w:sz w:val="18"/>
          <w:szCs w:val="18"/>
          <w:color w:val="auto"/>
        </w:rPr>
        <w:t xml:space="preserve"> Advertising operating costs decreased $18.4 million, or 68.7%, from $26.8 million for the nine months</w:t>
      </w:r>
    </w:p>
    <w:p>
      <w:pPr>
        <w:spacing w:after="0" w:line="27" w:lineRule="exact"/>
        <w:rPr>
          <w:sz w:val="20"/>
          <w:szCs w:val="20"/>
          <w:color w:val="auto"/>
        </w:rPr>
      </w:pPr>
    </w:p>
    <w:p>
      <w:pPr>
        <w:ind w:left="580" w:right="40"/>
        <w:spacing w:after="0" w:line="253" w:lineRule="auto"/>
        <w:rPr>
          <w:sz w:val="20"/>
          <w:szCs w:val="20"/>
          <w:color w:val="auto"/>
        </w:rPr>
      </w:pPr>
      <w:r>
        <w:rPr>
          <w:rFonts w:ascii="Times New Roman" w:cs="Times New Roman" w:eastAsia="Times New Roman" w:hAnsi="Times New Roman"/>
          <w:sz w:val="18"/>
          <w:szCs w:val="18"/>
          <w:color w:val="auto"/>
        </w:rPr>
        <w:t>ended September 26, 2019 to $8.4 million for the nine months ended September 24, 2020. The decrease was due to a $17.4 million decrease in advertising affiliate expense due to the temporary closure of almost all the affiliate theaters within our network in response to the COVID-19 Pandemic and the corresponding lower revenue and a $0.8 million decrease in personnel related expenses primarily related to the Temporary Salary and Wage Reductions implemented in response to the COVID-19 Pandemic.</w:t>
      </w:r>
    </w:p>
    <w:p>
      <w:pPr>
        <w:spacing w:after="0" w:line="135" w:lineRule="exact"/>
        <w:rPr>
          <w:sz w:val="20"/>
          <w:szCs w:val="20"/>
          <w:color w:val="auto"/>
        </w:rPr>
      </w:pPr>
    </w:p>
    <w:p>
      <w:pPr>
        <w:ind w:left="580" w:right="100"/>
        <w:spacing w:after="0" w:line="256" w:lineRule="auto"/>
        <w:rPr>
          <w:sz w:val="20"/>
          <w:szCs w:val="20"/>
          <w:color w:val="auto"/>
        </w:rPr>
      </w:pPr>
      <w:r>
        <w:rPr>
          <w:rFonts w:ascii="Times New Roman" w:cs="Times New Roman" w:eastAsia="Times New Roman" w:hAnsi="Times New Roman"/>
          <w:sz w:val="18"/>
          <w:szCs w:val="18"/>
          <w:u w:val="single" w:color="auto"/>
          <w:color w:val="auto"/>
        </w:rPr>
        <w:t>Network costs.</w:t>
      </w:r>
      <w:r>
        <w:rPr>
          <w:rFonts w:ascii="Times New Roman" w:cs="Times New Roman" w:eastAsia="Times New Roman" w:hAnsi="Times New Roman"/>
          <w:sz w:val="18"/>
          <w:szCs w:val="18"/>
          <w:color w:val="auto"/>
        </w:rPr>
        <w:t xml:space="preserve"> Network costs decreased $3.8 million, or 37.6%, from $10.1 million for the nine months ended September 26, 2019 to $6.3 million for the nine months ended September 24, 2020. The decrease was primarily related to a $2.8 million decrease in personnel related expenses related to the Temporary Salary and Wage Reductions implemented in response to the COVID-19 Pandemic and a decrease in performance based compensation expense related to lower projected performance against internal bonus and performance based restricted stock targets as of September 24, 2020, as compared to September 26, 2019, and a $0.6 million decrease in maintenance expense primarily related to our Digital Content Network due to the temporary closure of almost all the theaters within our network in response to the COVID-19 Pandemic.</w:t>
      </w:r>
    </w:p>
    <w:p>
      <w:pPr>
        <w:spacing w:after="0" w:line="133" w:lineRule="exact"/>
        <w:rPr>
          <w:sz w:val="20"/>
          <w:szCs w:val="20"/>
          <w:color w:val="auto"/>
        </w:rPr>
      </w:pPr>
    </w:p>
    <w:p>
      <w:pPr>
        <w:ind w:left="580"/>
        <w:spacing w:after="0" w:line="273" w:lineRule="auto"/>
        <w:rPr>
          <w:sz w:val="20"/>
          <w:szCs w:val="20"/>
          <w:color w:val="auto"/>
        </w:rPr>
      </w:pPr>
      <w:r>
        <w:rPr>
          <w:rFonts w:ascii="Times New Roman" w:cs="Times New Roman" w:eastAsia="Times New Roman" w:hAnsi="Times New Roman"/>
          <w:sz w:val="17"/>
          <w:szCs w:val="17"/>
          <w:u w:val="single" w:color="auto"/>
          <w:color w:val="auto"/>
        </w:rPr>
        <w:t>Theater access fees and revenue share—founding members.</w:t>
      </w:r>
      <w:r>
        <w:rPr>
          <w:rFonts w:ascii="Times New Roman" w:cs="Times New Roman" w:eastAsia="Times New Roman" w:hAnsi="Times New Roman"/>
          <w:sz w:val="17"/>
          <w:szCs w:val="17"/>
          <w:color w:val="auto"/>
        </w:rPr>
        <w:t xml:space="preserve"> Theater access fees and revenue share decreased $41.3 million, or 67.9%, from $60.8 million for the nine months ended September 26, 2019 to $19.5 million for the nine months ended September 24, 2020. The decrease was primarily due to a 74.8% decrease in founding member attendance for the nine months ended September 24, 2020, as compared to nine months ended September 26, 2019, due to the temporary closure of almost all the founding member theaters in response to the COVID-19 Pandemic beginning in mid-March 2020 until late August when a portion of the founding member theaters reopened. The Company did not owe the founding members any theater access fees for the period the theaters were not open. This decrease was partially offset by $1.7 million of higher expense in the nine months ended September 24, 2020 to Cinemark and Regal as compensation for post-showtime advertising in accordance with the 2019 ESA Amendments.</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u w:val="single" w:color="auto"/>
          <w:color w:val="auto"/>
        </w:rPr>
        <w:t>Selling and marketing costs.</w:t>
      </w:r>
      <w:r>
        <w:rPr>
          <w:rFonts w:ascii="Times New Roman" w:cs="Times New Roman" w:eastAsia="Times New Roman" w:hAnsi="Times New Roman"/>
          <w:sz w:val="18"/>
          <w:szCs w:val="18"/>
          <w:color w:val="auto"/>
        </w:rPr>
        <w:t xml:space="preserve"> Selling and marketing costs decreased $20.3 million, or 41.9%, from $48.4 million for the nine months</w:t>
      </w:r>
    </w:p>
    <w:p>
      <w:pPr>
        <w:spacing w:after="0" w:line="27" w:lineRule="exact"/>
        <w:rPr>
          <w:sz w:val="20"/>
          <w:szCs w:val="20"/>
          <w:color w:val="auto"/>
        </w:rPr>
      </w:pPr>
    </w:p>
    <w:p>
      <w:pPr>
        <w:ind w:left="580"/>
        <w:spacing w:after="0" w:line="251" w:lineRule="auto"/>
        <w:rPr>
          <w:sz w:val="20"/>
          <w:szCs w:val="20"/>
          <w:color w:val="auto"/>
        </w:rPr>
      </w:pPr>
      <w:r>
        <w:rPr>
          <w:rFonts w:ascii="Times New Roman" w:cs="Times New Roman" w:eastAsia="Times New Roman" w:hAnsi="Times New Roman"/>
          <w:sz w:val="18"/>
          <w:szCs w:val="18"/>
          <w:color w:val="auto"/>
        </w:rPr>
        <w:t>ended September 26, 2019 to $28.1 million for the nine months ended September 24, 2020. This decrease was primarily related to a $11.8 million decrease in personnel related expenses primarily due to a decrease in commission and bonus expense due to the revenue declines in the nine months ended September 24, 2020, as compared to the nine months ended September 26, 2019, as well as, the Temporary Salary and Wage Reductions implemented in response to the COVID-19 Pandemic. Selling and marketing costs also decreased $3.2 million related to non-essential operating expenditures, including marketing, research, consulting and employee travel that were suspended as part of the measures taken to reduce expenses and preserve cash during the COVID-19 Pandemic, $2.2 million due to a decrease in barter expense for the nine months ended September 24, 2020, compared to the nine months ended September 26, 2019, a $2.0 million decrease in non-cash impairment expense realized in the third quarter of 2019 related to investments obtained in prior years in exchange for advertising services, $0.5 million decrease in production and royalty related costs due to the decrease in revenue generated in the nine months ended September 24, 2020, compared to the nine months ended September 26, 2019 and $0.4 million due to a decrease in bad debt expense resulting from lower revenue in the nine months ended September 24, 2020, compared to the nine months ended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4" w:name="page35"/>
    <w:bookmarkEnd w:id="34"/>
    <w:p>
      <w:pPr>
        <w:ind w:left="580" w:right="260"/>
        <w:spacing w:after="0" w:line="282" w:lineRule="auto"/>
        <w:rPr>
          <w:sz w:val="20"/>
          <w:szCs w:val="20"/>
          <w:color w:val="auto"/>
        </w:rPr>
      </w:pPr>
      <w:r>
        <w:rPr>
          <w:rFonts w:ascii="Times New Roman" w:cs="Times New Roman" w:eastAsia="Times New Roman" w:hAnsi="Times New Roman"/>
          <w:sz w:val="18"/>
          <w:szCs w:val="18"/>
          <w:color w:val="auto"/>
        </w:rPr>
        <w:t>September 26, 2019. These decreases were partially offset by a $0.9 million increase in expense associated with our Cinema Accelerator service offering for the nine months ended September 24, 2020, compared to the nine months ended September 26, 2019.</w:t>
      </w:r>
    </w:p>
    <w:p>
      <w:pPr>
        <w:spacing w:after="0" w:line="1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u w:val="single" w:color="auto"/>
          <w:color w:val="auto"/>
        </w:rPr>
        <w:t>Administrative and other costs.</w:t>
      </w:r>
      <w:r>
        <w:rPr>
          <w:rFonts w:ascii="Times New Roman" w:cs="Times New Roman" w:eastAsia="Times New Roman" w:hAnsi="Times New Roman"/>
          <w:sz w:val="18"/>
          <w:szCs w:val="18"/>
          <w:color w:val="auto"/>
        </w:rPr>
        <w:t xml:space="preserve"> Administrative and other costs decreased $9.2 million, or 28.6%, from $32.2 million for the nine months</w:t>
      </w:r>
    </w:p>
    <w:p>
      <w:pPr>
        <w:spacing w:after="0" w:line="27" w:lineRule="exact"/>
        <w:rPr>
          <w:sz w:val="20"/>
          <w:szCs w:val="20"/>
          <w:color w:val="auto"/>
        </w:rPr>
      </w:pPr>
    </w:p>
    <w:p>
      <w:pPr>
        <w:ind w:left="580" w:right="40"/>
        <w:spacing w:after="0" w:line="252" w:lineRule="auto"/>
        <w:rPr>
          <w:sz w:val="20"/>
          <w:szCs w:val="20"/>
          <w:color w:val="auto"/>
        </w:rPr>
      </w:pPr>
      <w:r>
        <w:rPr>
          <w:rFonts w:ascii="Times New Roman" w:cs="Times New Roman" w:eastAsia="Times New Roman" w:hAnsi="Times New Roman"/>
          <w:sz w:val="18"/>
          <w:szCs w:val="18"/>
          <w:color w:val="auto"/>
        </w:rPr>
        <w:t>ended September 26, 2019 to $23.0 million for the nine months ended September 24, 2020. Administrative and other costs decreased primarily due to a $7.4 million decrease in personnel related expenses due to the Temporary Salary and Wage Reductions implemented in response to the COVID-19 Pandemic and a decrease in performance based compensation expense related to lower projected performance against internal bonus and performance based restricted stock targets as of September 24, 2020, as compared to September 26, 2019. Administrative and other costs also decreased $1.1 million due to a decrease in consulting services and $0.4 million decrease in CEO transition fees related to costs incurred in the first nine months of 2019.</w:t>
      </w:r>
    </w:p>
    <w:p>
      <w:pPr>
        <w:spacing w:after="0" w:line="136" w:lineRule="exact"/>
        <w:rPr>
          <w:sz w:val="20"/>
          <w:szCs w:val="20"/>
          <w:color w:val="auto"/>
        </w:rPr>
      </w:pPr>
    </w:p>
    <w:p>
      <w:pPr>
        <w:ind w:left="580"/>
        <w:spacing w:after="0" w:line="266" w:lineRule="auto"/>
        <w:rPr>
          <w:sz w:val="20"/>
          <w:szCs w:val="20"/>
          <w:color w:val="auto"/>
        </w:rPr>
      </w:pPr>
      <w:r>
        <w:rPr>
          <w:rFonts w:ascii="Times New Roman" w:cs="Times New Roman" w:eastAsia="Times New Roman" w:hAnsi="Times New Roman"/>
          <w:sz w:val="18"/>
          <w:szCs w:val="18"/>
          <w:u w:val="single" w:color="auto"/>
          <w:color w:val="auto"/>
        </w:rPr>
        <w:t>Impairment of long-lived assets.</w:t>
      </w:r>
      <w:r>
        <w:rPr>
          <w:rFonts w:ascii="Times New Roman" w:cs="Times New Roman" w:eastAsia="Times New Roman" w:hAnsi="Times New Roman"/>
          <w:sz w:val="18"/>
          <w:szCs w:val="18"/>
          <w:color w:val="auto"/>
        </w:rPr>
        <w:t xml:space="preserve"> Impairment of long-lived assets increased $1.7 million, or 100.0%, from $0.0 million in the nine months ended September 26, 2019 to $1.7 million in the nine months ended September 24, 2020. This increase in impairment expense was primarily related to the write-off of certain long-lived assets during the nine months ended September 24, 2020.</w:t>
      </w:r>
    </w:p>
    <w:p>
      <w:pPr>
        <w:spacing w:after="0" w:line="122" w:lineRule="exact"/>
        <w:rPr>
          <w:sz w:val="20"/>
          <w:szCs w:val="20"/>
          <w:color w:val="auto"/>
        </w:rPr>
      </w:pPr>
    </w:p>
    <w:p>
      <w:pPr>
        <w:ind w:left="580" w:right="60"/>
        <w:spacing w:after="0" w:line="282" w:lineRule="auto"/>
        <w:rPr>
          <w:sz w:val="20"/>
          <w:szCs w:val="20"/>
          <w:color w:val="auto"/>
        </w:rPr>
      </w:pPr>
      <w:r>
        <w:rPr>
          <w:rFonts w:ascii="Times New Roman" w:cs="Times New Roman" w:eastAsia="Times New Roman" w:hAnsi="Times New Roman"/>
          <w:sz w:val="18"/>
          <w:szCs w:val="18"/>
          <w:u w:val="single" w:color="auto"/>
          <w:color w:val="auto"/>
        </w:rPr>
        <w:t>Depreciation expense.</w:t>
      </w:r>
      <w:r>
        <w:rPr>
          <w:rFonts w:ascii="Times New Roman" w:cs="Times New Roman" w:eastAsia="Times New Roman" w:hAnsi="Times New Roman"/>
          <w:sz w:val="18"/>
          <w:szCs w:val="18"/>
          <w:color w:val="auto"/>
        </w:rPr>
        <w:t xml:space="preserve"> Depreciation expense decreased $0.5 million, or 5.0%, from $10.0 million for the nine months ended September 26, 2019 to $9.5 million for the nine months ended September 24, 2020, as assets became fully depreciated.</w:t>
      </w:r>
    </w:p>
    <w:p>
      <w:pPr>
        <w:spacing w:after="0" w:line="108" w:lineRule="exact"/>
        <w:rPr>
          <w:sz w:val="20"/>
          <w:szCs w:val="20"/>
          <w:color w:val="auto"/>
        </w:rPr>
      </w:pPr>
    </w:p>
    <w:p>
      <w:pPr>
        <w:ind w:left="580" w:right="420"/>
        <w:spacing w:after="0" w:line="261" w:lineRule="auto"/>
        <w:rPr>
          <w:sz w:val="20"/>
          <w:szCs w:val="20"/>
          <w:color w:val="auto"/>
        </w:rPr>
      </w:pPr>
      <w:r>
        <w:rPr>
          <w:rFonts w:ascii="Times New Roman" w:cs="Times New Roman" w:eastAsia="Times New Roman" w:hAnsi="Times New Roman"/>
          <w:sz w:val="18"/>
          <w:szCs w:val="18"/>
          <w:u w:val="single" w:color="auto"/>
          <w:color w:val="auto"/>
        </w:rPr>
        <w:t>Amortization of intangibles recorded for network theater screen leases.</w:t>
      </w:r>
      <w:r>
        <w:rPr>
          <w:rFonts w:ascii="Times New Roman" w:cs="Times New Roman" w:eastAsia="Times New Roman" w:hAnsi="Times New Roman"/>
          <w:sz w:val="18"/>
          <w:szCs w:val="18"/>
          <w:color w:val="auto"/>
        </w:rPr>
        <w:t xml:space="preserve"> Amortization of intangibles recorded for network theater screen leases decreased $2.3 million, or 11.1%, from $20.7 million for the nine months ended September 26, 2019, to $18.4 million for the nine months ended September 24, 2020, primarily due to the four year extension of the contractual life of the intangible assets for Cinemark and Regal following the 2019 ESA Amendments during the end of the third quarter of 2019.</w:t>
      </w:r>
    </w:p>
    <w:p>
      <w:pPr>
        <w:spacing w:after="0" w:line="124" w:lineRule="exact"/>
        <w:rPr>
          <w:sz w:val="20"/>
          <w:szCs w:val="20"/>
          <w:color w:val="auto"/>
        </w:rPr>
      </w:pPr>
    </w:p>
    <w:p>
      <w:pPr>
        <w:ind w:right="40" w:firstLine="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Non-operating expenses. </w:t>
      </w:r>
      <w:r>
        <w:rPr>
          <w:rFonts w:ascii="Times New Roman" w:cs="Times New Roman" w:eastAsia="Times New Roman" w:hAnsi="Times New Roman"/>
          <w:sz w:val="18"/>
          <w:szCs w:val="18"/>
          <w:color w:val="auto"/>
        </w:rPr>
        <w:t>Total non-operating expenses decreased $1.4 million, or 3.4%, from $41.4 million for the nine months ended September 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to $40.0 million for the nine months ended September 24, 2020. The following table shows the changes in non-operating expense for the nine months ended September 24, 2020 and September 26, 2019 (in millions):</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4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80" w:type="dxa"/>
            <w:vAlign w:val="bottom"/>
          </w:tcPr>
          <w:p>
            <w:pPr>
              <w:spacing w:after="0"/>
              <w:rPr>
                <w:sz w:val="16"/>
                <w:szCs w:val="16"/>
                <w:color w:val="auto"/>
              </w:rPr>
            </w:pPr>
          </w:p>
        </w:tc>
        <w:tc>
          <w:tcPr>
            <w:tcW w:w="126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70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7"/>
        </w:trPr>
        <w:tc>
          <w:tcPr>
            <w:tcW w:w="45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24, 2020</w:t>
            </w: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September 26, 2019</w:t>
            </w:r>
          </w:p>
        </w:tc>
        <w:tc>
          <w:tcPr>
            <w:tcW w:w="100" w:type="dxa"/>
            <w:vAlign w:val="bottom"/>
          </w:tcPr>
          <w:p>
            <w:pPr>
              <w:spacing w:after="0"/>
              <w:rPr>
                <w:sz w:val="16"/>
                <w:szCs w:val="16"/>
                <w:color w:val="auto"/>
              </w:rPr>
            </w:pPr>
          </w:p>
        </w:tc>
        <w:tc>
          <w:tcPr>
            <w:tcW w:w="15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YTD 2020 to YTD 2019</w:t>
            </w:r>
          </w:p>
        </w:tc>
        <w:tc>
          <w:tcPr>
            <w:tcW w:w="100" w:type="dxa"/>
            <w:vAlign w:val="bottom"/>
          </w:tcPr>
          <w:p>
            <w:pPr>
              <w:spacing w:after="0"/>
              <w:rPr>
                <w:sz w:val="16"/>
                <w:szCs w:val="16"/>
                <w:color w:val="auto"/>
              </w:rPr>
            </w:pPr>
          </w:p>
        </w:tc>
        <w:tc>
          <w:tcPr>
            <w:tcW w:w="1700" w:type="dxa"/>
            <w:vAlign w:val="bottom"/>
            <w:tcBorders>
              <w:top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YTD 2020 to YTD 2019</w:t>
            </w:r>
          </w:p>
        </w:tc>
        <w:tc>
          <w:tcPr>
            <w:tcW w:w="0" w:type="dxa"/>
            <w:vAlign w:val="bottom"/>
          </w:tcPr>
          <w:p>
            <w:pPr>
              <w:spacing w:after="0"/>
              <w:rPr>
                <w:sz w:val="1"/>
                <w:szCs w:val="1"/>
                <w:color w:val="auto"/>
              </w:rPr>
            </w:pPr>
          </w:p>
        </w:tc>
      </w:tr>
      <w:tr>
        <w:trPr>
          <w:trHeight w:val="223"/>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borrowings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center"/>
              <w:ind w:left="753"/>
              <w:spacing w:after="0"/>
              <w:rPr>
                <w:sz w:val="20"/>
                <w:szCs w:val="20"/>
                <w:color w:val="auto"/>
              </w:rPr>
            </w:pPr>
            <w:r>
              <w:rPr>
                <w:rFonts w:ascii="Times New Roman" w:cs="Times New Roman" w:eastAsia="Times New Roman" w:hAnsi="Times New Roman"/>
                <w:sz w:val="18"/>
                <w:szCs w:val="18"/>
                <w:color w:val="auto"/>
                <w:w w:val="98"/>
              </w:rPr>
              <w:t>(1.5)</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center"/>
              <w:ind w:left="793"/>
              <w:spacing w:after="0"/>
              <w:rPr>
                <w:sz w:val="20"/>
                <w:szCs w:val="20"/>
                <w:color w:val="auto"/>
              </w:rPr>
            </w:pPr>
            <w:r>
              <w:rPr>
                <w:rFonts w:ascii="Times New Roman" w:cs="Times New Roman" w:eastAsia="Times New Roman" w:hAnsi="Times New Roman"/>
                <w:sz w:val="18"/>
                <w:szCs w:val="18"/>
                <w:color w:val="auto"/>
                <w:w w:val="97"/>
              </w:rPr>
              <w:t>0.8</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175"/>
        </w:trPr>
        <w:tc>
          <w:tcPr>
            <w:tcW w:w="45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Loss (gain) on modification and retirement of</w:t>
            </w:r>
          </w:p>
        </w:tc>
        <w:tc>
          <w:tcPr>
            <w:tcW w:w="12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center"/>
              <w:ind w:left="793"/>
              <w:spacing w:after="0"/>
              <w:rPr>
                <w:sz w:val="20"/>
                <w:szCs w:val="20"/>
                <w:color w:val="auto"/>
              </w:rPr>
            </w:pPr>
            <w:r>
              <w:rPr>
                <w:rFonts w:ascii="Times New Roman" w:cs="Times New Roman" w:eastAsia="Times New Roman" w:hAnsi="Times New Roman"/>
                <w:sz w:val="18"/>
                <w:szCs w:val="18"/>
                <w:color w:val="auto"/>
                <w:w w:val="97"/>
              </w:rPr>
              <w:t>0.6</w:t>
            </w:r>
          </w:p>
        </w:tc>
        <w:tc>
          <w:tcPr>
            <w:tcW w:w="1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net</w:t>
            </w:r>
          </w:p>
        </w:tc>
        <w:tc>
          <w:tcPr>
            <w:tcW w:w="12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8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(Gain) loss on the re-measurement of the payable</w:t>
            </w: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to founding members under the tax receivable</w:t>
            </w:r>
          </w:p>
        </w:tc>
        <w:tc>
          <w:tcPr>
            <w:tcW w:w="12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vMerge w:val="restart"/>
          </w:tcPr>
          <w:p>
            <w:pPr>
              <w:jc w:val="center"/>
              <w:ind w:left="753"/>
              <w:spacing w:after="0"/>
              <w:rPr>
                <w:sz w:val="20"/>
                <w:szCs w:val="20"/>
                <w:color w:val="auto"/>
              </w:rPr>
            </w:pPr>
            <w:r>
              <w:rPr>
                <w:rFonts w:ascii="Times New Roman" w:cs="Times New Roman" w:eastAsia="Times New Roman" w:hAnsi="Times New Roman"/>
                <w:sz w:val="18"/>
                <w:szCs w:val="18"/>
                <w:color w:val="auto"/>
                <w:w w:val="98"/>
              </w:rPr>
              <w:t>(1.7)</w:t>
            </w:r>
          </w:p>
        </w:tc>
        <w:tc>
          <w:tcPr>
            <w:tcW w:w="1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agreement</w:t>
            </w:r>
          </w:p>
        </w:tc>
        <w:tc>
          <w:tcPr>
            <w:tcW w:w="12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non-operating expense (income)</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793"/>
              <w:spacing w:after="0"/>
              <w:rPr>
                <w:sz w:val="20"/>
                <w:szCs w:val="20"/>
                <w:color w:val="auto"/>
              </w:rPr>
            </w:pPr>
            <w:r>
              <w:rPr>
                <w:rFonts w:ascii="Times New Roman" w:cs="Times New Roman" w:eastAsia="Times New Roman" w:hAnsi="Times New Roman"/>
                <w:sz w:val="18"/>
                <w:szCs w:val="18"/>
                <w:color w:val="auto"/>
                <w:w w:val="97"/>
              </w:rPr>
              <w:t>0.4</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r>
        <w:trPr>
          <w:trHeight w:val="223"/>
        </w:trPr>
        <w:tc>
          <w:tcPr>
            <w:tcW w:w="4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non-operating expenses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center"/>
              <w:ind w:left="753"/>
              <w:spacing w:after="0"/>
              <w:rPr>
                <w:sz w:val="20"/>
                <w:szCs w:val="20"/>
                <w:color w:val="auto"/>
              </w:rPr>
            </w:pPr>
            <w:r>
              <w:rPr>
                <w:rFonts w:ascii="Times New Roman" w:cs="Times New Roman" w:eastAsia="Times New Roman" w:hAnsi="Times New Roman"/>
                <w:sz w:val="18"/>
                <w:szCs w:val="18"/>
                <w:color w:val="auto"/>
                <w:w w:val="98"/>
              </w:rPr>
              <w:t>(1.4)</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firstLine="177"/>
        <w:spacing w:after="0" w:line="253" w:lineRule="auto"/>
        <w:rPr>
          <w:sz w:val="20"/>
          <w:szCs w:val="20"/>
          <w:color w:val="auto"/>
        </w:rPr>
      </w:pPr>
      <w:r>
        <w:rPr>
          <w:rFonts w:ascii="Times New Roman" w:cs="Times New Roman" w:eastAsia="Times New Roman" w:hAnsi="Times New Roman"/>
          <w:sz w:val="18"/>
          <w:szCs w:val="18"/>
          <w:color w:val="auto"/>
        </w:rPr>
        <w:t>The decrease in non-operating expense was primarily due to a decrease of $1.5 million in interest on borrowings due to a 0.69% decrease in the weighted average interest rate, partially offset by an increase in the weighted average balance of debt outstanding for the nine months ended September 24, 2020, as compared to the nine months ended September 26, 2019 and a decrease of $1.7 million in the loss on the re-measurement of the payable to founding members under the TRA due to the reduction of the payable balance related to certain state net operating losses which the Company no longer expects to utilize and a smaller increase in the deferred state tax rate in the nine months ended September 24, 2020 as compared to the nine months ended September 26, 2019. These decreases were partially offset by a 1) $0.6 increase in the loss (gain) on modification and retirement of debt, net primarily related to the Credit Agreement Amendment that occurred in the second quarter of 2020 and the absence of a gain realized on the repurchase of a portion of the Notes due 2026 in the first quarter of 2019 and 2) a $0.8 million decrease in interest income on the Company's marketable securities due to a decrease in the rate of return and the outstanding balance of securities in the nine months ended September 24, 2020 as compared to the nine months ended September 26, 2019.</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5" w:name="page36"/>
    <w:bookmarkEnd w:id="35"/>
    <w:p>
      <w:pPr>
        <w:ind w:right="20" w:firstLine="1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Benefit. </w:t>
      </w:r>
      <w:r>
        <w:rPr>
          <w:rFonts w:ascii="Times New Roman" w:cs="Times New Roman" w:eastAsia="Times New Roman" w:hAnsi="Times New Roman"/>
          <w:sz w:val="18"/>
          <w:szCs w:val="18"/>
          <w:color w:val="auto"/>
        </w:rPr>
        <w:t>Income Tax Benefit increased from income tax expense of $6.0 million for the nine months ended September 26, 2019 to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 of $7.7 million for the nine months ended September 24, 2020. The increase in income tax benefit was primarily due to the decrease in pretax book income attributable to NCM Inc. from income of $22.5 million for the nine months ended September 26, 2019 to loss of $37.8 million for the nine months ended September 24, 2020.</w:t>
      </w:r>
    </w:p>
    <w:p>
      <w:pPr>
        <w:spacing w:after="0" w:line="126" w:lineRule="exact"/>
        <w:rPr>
          <w:sz w:val="20"/>
          <w:szCs w:val="20"/>
          <w:color w:val="auto"/>
        </w:rPr>
      </w:pPr>
    </w:p>
    <w:p>
      <w:pPr>
        <w:ind w:right="180" w:firstLine="180"/>
        <w:spacing w:after="0" w:line="261" w:lineRule="auto"/>
        <w:rPr>
          <w:sz w:val="20"/>
          <w:szCs w:val="20"/>
          <w:color w:val="auto"/>
        </w:rPr>
      </w:pPr>
      <w:r>
        <w:rPr>
          <w:rFonts w:ascii="Times New Roman" w:cs="Times New Roman" w:eastAsia="Times New Roman" w:hAnsi="Times New Roman"/>
          <w:sz w:val="18"/>
          <w:szCs w:val="18"/>
          <w:i w:val="1"/>
          <w:iCs w:val="1"/>
          <w:color w:val="auto"/>
        </w:rPr>
        <w:t>Net Loss</w:t>
      </w:r>
      <w:r>
        <w:rPr>
          <w:rFonts w:ascii="Times New Roman" w:cs="Times New Roman" w:eastAsia="Times New Roman" w:hAnsi="Times New Roman"/>
          <w:sz w:val="18"/>
          <w:szCs w:val="18"/>
          <w:color w:val="auto"/>
        </w:rPr>
        <w:t>. Net loss increased $47.2 million from net income of $17.0 million for the nine months ended September 26, 2019 to net loss of $30.2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nine months ended September 24, 2020. The increase in net loss was due to a $128.8 million increase in operating loss, partially offset by a $66.5 million increase in net loss attributable to noncontrolling interests, a $13.7 million increase in income tax benefit and a $1.4 million decrease in non-operating expenses.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Known Trends and Uncertainties</w:t>
      </w:r>
    </w:p>
    <w:p>
      <w:pPr>
        <w:spacing w:after="0" w:line="171" w:lineRule="exact"/>
        <w:rPr>
          <w:sz w:val="20"/>
          <w:szCs w:val="20"/>
          <w:color w:val="auto"/>
        </w:rPr>
      </w:pPr>
    </w:p>
    <w:p>
      <w:pPr>
        <w:ind w:right="80" w:firstLine="526"/>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COVID-19</w:t>
      </w:r>
      <w:r>
        <w:rPr>
          <w:rFonts w:ascii="Times New Roman" w:cs="Times New Roman" w:eastAsia="Times New Roman" w:hAnsi="Times New Roman"/>
          <w:sz w:val="18"/>
          <w:szCs w:val="18"/>
          <w:color w:val="auto"/>
        </w:rPr>
        <w:t>—As discussed within the '</w:t>
      </w:r>
      <w:r>
        <w:rPr>
          <w:rFonts w:ascii="Times New Roman" w:cs="Times New Roman" w:eastAsia="Times New Roman" w:hAnsi="Times New Roman"/>
          <w:sz w:val="18"/>
          <w:szCs w:val="18"/>
          <w:i w:val="1"/>
          <w:iCs w:val="1"/>
          <w:color w:val="auto"/>
        </w:rPr>
        <w:t>Recent Developments</w:t>
      </w:r>
      <w:r>
        <w:rPr>
          <w:rFonts w:ascii="Times New Roman" w:cs="Times New Roman" w:eastAsia="Times New Roman" w:hAnsi="Times New Roman"/>
          <w:sz w:val="18"/>
          <w:szCs w:val="18"/>
          <w:color w:val="auto"/>
        </w:rPr>
        <w:t>' section, due to the COVID-19 Pandemic, the Company was unable to advertise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theaters, and thus generate the majority of its revenue, for the approximate six months of 2020 that the theaters were closed. The Company's ability to advertise within the reopened theaters has been and will continue to be limited due to reduced movie schedules and patron capacities at many network theaters and the timing and frequency of new major motion picture releases as compared to prior years due to the COVID-19 Pandemic. Our theater access fees, network affiliate payments and Platinum Spot revenue share payments are driven by attendance, active screens and/or revenue, and therefore, were not incurred for the duration of time that the theaters were closed and attendance-based fees will be reduced for the period of time that attendance is lower than historical levels. Even though our ability to generate in-theater advertising revenue will be negatively impacted by government mandated capacity restrictions and the limited new content currently available, we are still required to pay these screen-based fees when theaters are open, which may be reduced for months where screens are in use for only part of the month.</w:t>
      </w:r>
    </w:p>
    <w:p>
      <w:pPr>
        <w:spacing w:after="0" w:line="79" w:lineRule="exact"/>
        <w:rPr>
          <w:sz w:val="20"/>
          <w:szCs w:val="20"/>
          <w:color w:val="auto"/>
        </w:rPr>
      </w:pPr>
    </w:p>
    <w:p>
      <w:pPr>
        <w:ind w:right="100" w:firstLine="526"/>
        <w:spacing w:after="0" w:line="266" w:lineRule="auto"/>
        <w:rPr>
          <w:sz w:val="20"/>
          <w:szCs w:val="20"/>
          <w:color w:val="auto"/>
        </w:rPr>
      </w:pPr>
      <w:r>
        <w:rPr>
          <w:rFonts w:ascii="Times New Roman" w:cs="Times New Roman" w:eastAsia="Times New Roman" w:hAnsi="Times New Roman"/>
          <w:sz w:val="18"/>
          <w:szCs w:val="18"/>
          <w:color w:val="auto"/>
        </w:rPr>
        <w:t>Due to the rapidly changing business environment, unprecedented market volatility, and other circumstances resulting from the COVID-19 Pandemic, we are currently unable to fully determine the extent of COVID-19’s impact on our business in future periods. However, we are monitoring the rapidly evolving situation and its potential impacts on our financial position, results of operations, liquidity and cash flows.</w:t>
      </w:r>
    </w:p>
    <w:p>
      <w:pPr>
        <w:spacing w:after="0" w:line="64" w:lineRule="exact"/>
        <w:rPr>
          <w:sz w:val="20"/>
          <w:szCs w:val="20"/>
          <w:color w:val="auto"/>
        </w:rPr>
      </w:pPr>
    </w:p>
    <w:p>
      <w:pPr>
        <w:ind w:right="60" w:firstLine="52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CARES Act</w:t>
      </w:r>
      <w:r>
        <w:rPr>
          <w:rFonts w:ascii="Times New Roman" w:cs="Times New Roman" w:eastAsia="Times New Roman" w:hAnsi="Times New Roman"/>
          <w:sz w:val="18"/>
          <w:szCs w:val="18"/>
          <w:color w:val="auto"/>
        </w:rPr>
        <w:t>—On March 27, 2020, the U.S. Government enacted various relief and stimulus measures in response to the unprecedented adverse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economic impacts of the COVID-19 Pandemic commonly referred to as the CARES Act. The CARES Act made changes to the U.S. tax code that affect our fiscal year ending December 31, 2020, including, but not limited to, (1) reducing the limitation on deductible interest expense, (2) changing uses and limitations of net operating losses generated in tax years 2018, 2019, and 2020, (3) deferring the payment of the 6.2% FICA portion of Company's payroll taxes beginning on the enactment date through December 31, 2020 until the end of 2021 for one-half of the tax and the remaining half to the end of 2022 and (4) creating the Employee Retention Payroll Tax Credit for the Company's portion of the 6.2% FICA payroll tax for certain qualifying employees from March 13, 2020 through December 31, 2020. The impact of these relief measures that are estimable as of September 24, 2020 have been incorporated within the Company's financial statements.</w:t>
      </w:r>
    </w:p>
    <w:p>
      <w:pPr>
        <w:spacing w:after="0" w:line="77" w:lineRule="exact"/>
        <w:rPr>
          <w:sz w:val="20"/>
          <w:szCs w:val="20"/>
          <w:color w:val="auto"/>
        </w:rPr>
      </w:pPr>
    </w:p>
    <w:p>
      <w:pPr>
        <w:ind w:firstLine="52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Beverage Revenue</w:t>
      </w:r>
      <w:r>
        <w:rPr>
          <w:rFonts w:ascii="Times New Roman" w:cs="Times New Roman" w:eastAsia="Times New Roman" w:hAnsi="Times New Roman"/>
          <w:sz w:val="18"/>
          <w:szCs w:val="18"/>
          <w:color w:val="auto"/>
        </w:rPr>
        <w:t>—Under the ESAs, up to 90 seconds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pre-show program can be sold to the founding members to satisfy their on-screen advertising commitments under their beverage concessionaire agreements. For the first three and nine months of 2020 and 2019, two of the founding members purchased 60 seconds of on-screen advertising time and one founding member purchased 30 seconds to satisfy their obligations under their beverage concessionaire agreements. The founding members’ current long-term contracts with their beverage suppliers require the 30 or 60 seconds of beverage advertising, although such commitments could change in the future. Should the amount of time required as part of these beverage concessionaire agreements decline, this premium time will be available for sale to other clients. The time sold to the beverage supplier for AMC is priced equal to the advertising CPM for the previous year charged by NCM LLC to unaffiliated third parties during segment one (closest to showtime)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limited to the highest advertising CPM being then-charged by NCM LLC, which in 2019 decreased 0.3%. Thus, the CPM on our beverage concessionaire revenue related to AMC in 2020 will decrease by 0.3% compared to 2019. Beginning in 2020 and in accordance with the 2019 ESA Amendments, the price for the time sold to Cinemark and Regal's beverage suppliers instead increased at a fixed rate of 2.0%. The Company did not recognize any beverage revenue for the period of time that our founding members' theaters were closed due to the COVID-19 Pandemic. Further, attendance has been and may continue to be lower than historical levels following the re-opening of theaters which could reduce the Company’s beverage revenue.</w:t>
      </w:r>
    </w:p>
    <w:p>
      <w:pPr>
        <w:spacing w:after="0" w:line="136" w:lineRule="exact"/>
        <w:rPr>
          <w:sz w:val="20"/>
          <w:szCs w:val="20"/>
          <w:color w:val="auto"/>
        </w:rPr>
      </w:pPr>
    </w:p>
    <w:p>
      <w:pPr>
        <w:ind w:right="100" w:firstLine="52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Theater Access Fees</w:t>
      </w:r>
      <w:r>
        <w:rPr>
          <w:rFonts w:ascii="Times New Roman" w:cs="Times New Roman" w:eastAsia="Times New Roman" w:hAnsi="Times New Roman"/>
          <w:sz w:val="18"/>
          <w:szCs w:val="18"/>
          <w:color w:val="auto"/>
        </w:rPr>
        <w:t>—In consideration for NCM LLC’s access to the founding members’ theater attendees for on-screen advertising and use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lobbies and other space within the founding members’ theaters for the LEN and lobby promotions, the founding members receive a monthly theater access fee under the ESAs. The theater access fee is composed of a fixed payment per patron and a fixed payment per digital screen (connected to the DCN). The payment per theater patron increases by 8% every five years, with the next increase occurring in fiscal year 2022. Pursuant to the ESAs, the payment per digital screen increases annually by 5%. Pursuant to the 2019 ESA Amendments, Cinemark and Regal each receive an additional monthly theater access fee beginning November 1, 2019 in consideration for NCM LLC's access to certain on-screen advertising</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6" w:name="page37"/>
    <w:bookmarkEnd w:id="36"/>
    <w:p>
      <w:pPr>
        <w:ind w:right="80"/>
        <w:spacing w:after="0" w:line="254" w:lineRule="auto"/>
        <w:rPr>
          <w:sz w:val="20"/>
          <w:szCs w:val="20"/>
          <w:color w:val="auto"/>
        </w:rPr>
      </w:pPr>
      <w:r>
        <w:rPr>
          <w:rFonts w:ascii="Times New Roman" w:cs="Times New Roman" w:eastAsia="Times New Roman" w:hAnsi="Times New Roman"/>
          <w:sz w:val="18"/>
          <w:szCs w:val="18"/>
          <w:color w:val="auto"/>
        </w:rPr>
        <w:t>inventory after the advertised showtime of a feature film. These fees are also based upon a fixed payment per patron: (i) beginning at $0.025 per patron on November 1, 2019, (ii) $0.0375 per patron beginning on November 1, 2020, (iii) $0.05 per patron beginning on November 1, 2021, (iv) $0.052 per patron beginning on November 1, 2022 and (v) increasing 8% every five years beginning November 1, 2027. The Company does not owe the founding members any theater access fees when the theaters are closed. As such, the Company did not owe these fees for the approximate 6 months the founding member theaters were closed and will not owe these fees during the duration of time a founding member's theaters are closed in connection with the COVID-19 Pandemic. The digital screen fee is calculated based upon screens in use during each month. No digital screen fees were incurred for approximately 6 months the founding member theaters were closed and no fees will be incurred for the months where no screens are in use and fees may be reduced for months where screens are in use for only part of the month. Further, attendance has been and may continue to be lower than historical levels following the re-opening of theaters which could reduce the Company’s theater access fees.</w:t>
      </w:r>
    </w:p>
    <w:p>
      <w:pPr>
        <w:spacing w:after="0" w:line="130" w:lineRule="exact"/>
        <w:rPr>
          <w:sz w:val="20"/>
          <w:szCs w:val="20"/>
          <w:color w:val="auto"/>
        </w:rPr>
      </w:pPr>
    </w:p>
    <w:p>
      <w:pPr>
        <w:ind w:right="260" w:firstLine="52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Platinum Spot</w:t>
      </w:r>
      <w:r>
        <w:rPr>
          <w:rFonts w:ascii="Times New Roman" w:cs="Times New Roman" w:eastAsia="Times New Roman" w:hAnsi="Times New Roman"/>
          <w:sz w:val="18"/>
          <w:szCs w:val="18"/>
          <w:color w:val="auto"/>
        </w:rPr>
        <w:t>—In consideration for the utilization of the theaters post-showtime for Platinum Spots, Cinemark and Regal receive 25% of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generated for the actual display of Platinum Spots in their applicable theaters, subject to a specified minimum. If NCM LLC runs advertising in more than one concurrent advertisers’ Platinum Spot for any portion of the network over a period of time, then NCM LLC will be required to satisfy a minimum average CPM for that period of time.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and Liquidity</w:t>
      </w:r>
    </w:p>
    <w:p>
      <w:pPr>
        <w:spacing w:after="0" w:line="17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75" w:lineRule="exact"/>
        <w:rPr>
          <w:sz w:val="20"/>
          <w:szCs w:val="20"/>
          <w:color w:val="auto"/>
        </w:rPr>
      </w:pPr>
    </w:p>
    <w:p>
      <w:pPr>
        <w:ind w:right="400" w:firstLine="526"/>
        <w:spacing w:after="0" w:line="261" w:lineRule="auto"/>
        <w:rPr>
          <w:sz w:val="20"/>
          <w:szCs w:val="20"/>
          <w:color w:val="auto"/>
        </w:rPr>
      </w:pPr>
      <w:r>
        <w:rPr>
          <w:rFonts w:ascii="Times New Roman" w:cs="Times New Roman" w:eastAsia="Times New Roman" w:hAnsi="Times New Roman"/>
          <w:sz w:val="18"/>
          <w:szCs w:val="18"/>
          <w:color w:val="auto"/>
        </w:rPr>
        <w:t>Our cash balances can fluctuate due to the seasonality of our business and related timing of collections of accounts receivable balances and operating expenditure payments, as well as available cash payments (as defined in the NCM LLC Operating Agreement) to NCM LLC’s founding members, interest or principal payments on our term loan and the Notes due 2026 and Notes due 2028, income tax payments, TRA payments to NCM LLC’s founding members and amount of quarterly dividends to NCM, Inc.’s common stockholders.</w:t>
      </w:r>
    </w:p>
    <w:p>
      <w:pPr>
        <w:spacing w:after="0" w:line="124" w:lineRule="exact"/>
        <w:rPr>
          <w:sz w:val="20"/>
          <w:szCs w:val="20"/>
          <w:color w:val="auto"/>
        </w:rPr>
      </w:pPr>
    </w:p>
    <w:p>
      <w:pPr>
        <w:ind w:right="20" w:firstLine="526"/>
        <w:spacing w:after="0" w:line="252" w:lineRule="auto"/>
        <w:rPr>
          <w:sz w:val="20"/>
          <w:szCs w:val="20"/>
          <w:color w:val="auto"/>
        </w:rPr>
      </w:pPr>
      <w:r>
        <w:rPr>
          <w:rFonts w:ascii="Times New Roman" w:cs="Times New Roman" w:eastAsia="Times New Roman" w:hAnsi="Times New Roman"/>
          <w:sz w:val="18"/>
          <w:szCs w:val="18"/>
          <w:color w:val="auto"/>
        </w:rPr>
        <w:t>As discussed within the '</w:t>
      </w:r>
      <w:r>
        <w:rPr>
          <w:rFonts w:ascii="Times New Roman" w:cs="Times New Roman" w:eastAsia="Times New Roman" w:hAnsi="Times New Roman"/>
          <w:sz w:val="18"/>
          <w:szCs w:val="18"/>
          <w:i w:val="1"/>
          <w:iCs w:val="1"/>
          <w:color w:val="auto"/>
        </w:rPr>
        <w:t>Recent Developments</w:t>
      </w:r>
      <w:r>
        <w:rPr>
          <w:rFonts w:ascii="Times New Roman" w:cs="Times New Roman" w:eastAsia="Times New Roman" w:hAnsi="Times New Roman"/>
          <w:sz w:val="18"/>
          <w:szCs w:val="18"/>
          <w:color w:val="auto"/>
        </w:rPr>
        <w:t>' section, due to the COVID-19 Pandemic, the Company was unable to advertise in the theaters, and thus generate the majority of its revenue, for the approximate 6 months that the theaters were generally closed. The Company's ability to advertise within the reopened theaters has been and will continue to be limited due to reduced movie schedules and patron capacities at many network theaters and the timing and frequency of major motion picture releases as compared to prior years due to the COVID-19 Pandemic. The Company will have limited cash receipts until the full network of theaters reopen, major motion pictures are released and theater patrons feel comfortable returning to the theaters allowing attendance levels to normalize. Further, once the above conditions are met there will be a lag between when revenue is generated and when the Company ultimately collects the associated accounts receivable balance. The Company also has reduced cash payments during the period theaters within the Company's network are closed or attendance levels are low as expenses related to theater attendance are either not incurred or incurred at lower levels (i.e. theater access fees, Platinum Spot revenue share and network affiliate revenue share payments). The Company also implemented a number of cost-saving measures in order to preserve cash as further outlined within the '</w:t>
      </w:r>
      <w:r>
        <w:rPr>
          <w:rFonts w:ascii="Times New Roman" w:cs="Times New Roman" w:eastAsia="Times New Roman" w:hAnsi="Times New Roman"/>
          <w:sz w:val="18"/>
          <w:szCs w:val="18"/>
          <w:i w:val="1"/>
          <w:iCs w:val="1"/>
          <w:color w:val="auto"/>
        </w:rPr>
        <w:t>Recent Developments</w:t>
      </w:r>
      <w:r>
        <w:rPr>
          <w:rFonts w:ascii="Times New Roman" w:cs="Times New Roman" w:eastAsia="Times New Roman" w:hAnsi="Times New Roman"/>
          <w:sz w:val="18"/>
          <w:szCs w:val="18"/>
          <w:color w:val="auto"/>
        </w:rPr>
        <w:t>' section above. In March 2020, we drew down an additional $110.0 million on our revolving credit facility. Further, as of March 26, 2020, we had approximately $112.3 million of trade accounts receivable outstanding from customers, of which we have collected approximately $103.3 million as of September 24, 2020, increasing our cash and marketable securities balance to $220.7 million as of September 24, 2020 ($157.4 million at NCM LLC) and reducing trade accounts receivable to $9.0 million. The $157.4 million of cash at NCM LLC will be used to fund operations during the period of expected reduced cash flows. Cash at NCM, Inc. is held for future payment of dividends to NCM, Inc. shareholders, income tax payments, income tax receivable payments to NCM LLC’s founding members and other obligations.</w:t>
      </w:r>
    </w:p>
    <w:p>
      <w:pPr>
        <w:spacing w:after="0" w:line="144" w:lineRule="exact"/>
        <w:rPr>
          <w:sz w:val="20"/>
          <w:szCs w:val="20"/>
          <w:color w:val="auto"/>
        </w:rPr>
      </w:pPr>
    </w:p>
    <w:p>
      <w:pPr>
        <w:ind w:firstLine="526"/>
        <w:spacing w:after="0" w:line="237" w:lineRule="auto"/>
        <w:rPr>
          <w:sz w:val="20"/>
          <w:szCs w:val="20"/>
          <w:color w:val="auto"/>
        </w:rPr>
      </w:pPr>
      <w:r>
        <w:rPr>
          <w:rFonts w:ascii="Times New Roman" w:cs="Times New Roman" w:eastAsia="Times New Roman" w:hAnsi="Times New Roman"/>
          <w:sz w:val="18"/>
          <w:szCs w:val="18"/>
          <w:color w:val="auto"/>
        </w:rPr>
        <w:t>In accordance with the Credit Agreement Amendment entered into in order to obtain a waiver of the financial covenants for the period beginning in the second quarter of 2020 through the second quarter of 2021, NCM LLC must maintain a total balance of $55.0 million of a combination of unrestricted cash on hand and availability under NCM LLC's revolving credit facility. As of September 24, 2020, NCM LLC was in compliance with the requirements of the Credit Agreement Amendment. Management believes the Company can meet its obligations, including all interest and debt service payments within the twelve months following the date of issuance of these financial statements, based on its current financial position and liquidity sources, including current cash balances, and forecasted future cash flows. The Company may not be able to meet certain of its financial covenants within one year following the date that these financial statements are issued. If any of these financial covenants are not met, a majority of the lenders of the Senior Secured Credit Facility are permitted under the agreement to accelerate the debt which could also result in a cross-default under NCM LLC’s senior notes. Considering current liquidity sources, the Company would not be able to repay the Company’s total outstanding debt balance. These conditions and events raise substantial doubt about the Company’s ability to continue as a going concern. In light of this, the Company is actively pursuing with it administrative agent and expects to obtain an amendment to its Senior Secured Credit Facility to extend a waiver of its financial covenants through at least one year following the date that these financial statements are issued. Management expects the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37" w:name="page38"/>
    <w:bookmarkEnd w:id="37"/>
    <w:p>
      <w:pPr>
        <w:ind w:right="80"/>
        <w:spacing w:after="0" w:line="250" w:lineRule="auto"/>
        <w:rPr>
          <w:sz w:val="20"/>
          <w:szCs w:val="20"/>
          <w:color w:val="auto"/>
        </w:rPr>
      </w:pPr>
      <w:r>
        <w:rPr>
          <w:rFonts w:ascii="Times New Roman" w:cs="Times New Roman" w:eastAsia="Times New Roman" w:hAnsi="Times New Roman"/>
          <w:sz w:val="18"/>
          <w:szCs w:val="18"/>
          <w:color w:val="auto"/>
        </w:rPr>
        <w:t>amendment to be approved during the next several months, however there can be no assurance that the Company will be successful in obtaining the amendment. As long as an amendment has not been obtained, management’s plan cannot be considered probable and thus does not alleviate the substantial doubt about the Company’s ability to continue as a going concern.</w:t>
      </w:r>
    </w:p>
    <w:p>
      <w:pPr>
        <w:spacing w:after="0" w:line="6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 summary of our financial liquidity is as follows (in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6"/>
                <w:szCs w:val="16"/>
                <w:color w:val="auto"/>
              </w:rPr>
            </w:pPr>
          </w:p>
        </w:tc>
        <w:tc>
          <w:tcPr>
            <w:tcW w:w="10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33"/>
        </w:trPr>
        <w:tc>
          <w:tcPr>
            <w:tcW w:w="48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rPr>
              <w:t>September 24,</w:t>
            </w:r>
          </w:p>
        </w:tc>
        <w:tc>
          <w:tcPr>
            <w:tcW w:w="1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rPr>
              <w:t>December 26,</w:t>
            </w: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57"/>
              <w:spacing w:after="0" w:line="134"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39"/>
              <w:spacing w:after="0" w:line="134" w:lineRule="exact"/>
              <w:rPr>
                <w:sz w:val="20"/>
                <w:szCs w:val="20"/>
                <w:color w:val="auto"/>
              </w:rPr>
            </w:pPr>
            <w:r>
              <w:rPr>
                <w:rFonts w:ascii="Times New Roman" w:cs="Times New Roman" w:eastAsia="Times New Roman" w:hAnsi="Times New Roman"/>
                <w:sz w:val="14"/>
                <w:szCs w:val="14"/>
                <w:b w:val="1"/>
                <w:bCs w:val="1"/>
                <w:color w:val="auto"/>
              </w:rPr>
              <w:t>Q3 2020 to YE</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39"/>
              <w:spacing w:after="0" w:line="134" w:lineRule="exact"/>
              <w:rPr>
                <w:sz w:val="20"/>
                <w:szCs w:val="20"/>
                <w:color w:val="auto"/>
              </w:rPr>
            </w:pPr>
            <w:r>
              <w:rPr>
                <w:rFonts w:ascii="Times New Roman" w:cs="Times New Roman" w:eastAsia="Times New Roman" w:hAnsi="Times New Roman"/>
                <w:sz w:val="14"/>
                <w:szCs w:val="14"/>
                <w:b w:val="1"/>
                <w:bCs w:val="1"/>
                <w:color w:val="auto"/>
              </w:rPr>
              <w:t>Q3 2020 to Q3</w:t>
            </w:r>
          </w:p>
        </w:tc>
      </w:tr>
      <w:tr>
        <w:trPr>
          <w:trHeight w:val="189"/>
        </w:trPr>
        <w:tc>
          <w:tcPr>
            <w:tcW w:w="48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2019</w:t>
            </w: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Cash, cash equivalents and marketable securities </w:t>
            </w:r>
            <w:r>
              <w:rPr>
                <w:rFonts w:ascii="Times New Roman" w:cs="Times New Roman" w:eastAsia="Times New Roman" w:hAnsi="Times New Roman"/>
                <w:sz w:val="18"/>
                <w:szCs w:val="18"/>
                <w:i w:val="1"/>
                <w:iCs w:val="1"/>
                <w:color w:val="auto"/>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r>
      <w:tr>
        <w:trPr>
          <w:trHeight w:val="23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NCM LLC revolver availability </w:t>
            </w:r>
            <w:r>
              <w:rPr>
                <w:rFonts w:ascii="Times New Roman" w:cs="Times New Roman" w:eastAsia="Times New Roman" w:hAnsi="Times New Roman"/>
                <w:sz w:val="18"/>
                <w:szCs w:val="18"/>
                <w:i w:val="1"/>
                <w:iCs w:val="1"/>
                <w:color w:val="auto"/>
              </w:rPr>
              <w:t>(2)</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w:t>
            </w:r>
          </w:p>
        </w:tc>
      </w:tr>
      <w:tr>
        <w:trPr>
          <w:trHeight w:val="248"/>
        </w:trPr>
        <w:tc>
          <w:tcPr>
            <w:tcW w:w="4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liquidity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117" w:lineRule="exact"/>
        <w:rPr>
          <w:sz w:val="20"/>
          <w:szCs w:val="20"/>
          <w:color w:val="auto"/>
        </w:rPr>
      </w:pPr>
    </w:p>
    <w:p>
      <w:pPr>
        <w:jc w:val="both"/>
        <w:ind w:left="340" w:right="500" w:hanging="332"/>
        <w:spacing w:after="0" w:line="257" w:lineRule="auto"/>
        <w:tabs>
          <w:tab w:leader="none" w:pos="334"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Included in cash, cash equivalents and marketable securities as of September 24, 2020, December 26, 2019 and September 26, 2019, was $157.4 million, $11.4 million and $2.0 million, respectively, of cash held by NCM LLC that is not available to satisfy dividends declared by NCM, Inc., income tax, tax receivable payments to NCM LLC’s founding members and other obligations.</w:t>
      </w:r>
    </w:p>
    <w:p>
      <w:pPr>
        <w:spacing w:after="0" w:line="1" w:lineRule="exact"/>
        <w:rPr>
          <w:rFonts w:ascii="Times New Roman" w:cs="Times New Roman" w:eastAsia="Times New Roman" w:hAnsi="Times New Roman"/>
          <w:sz w:val="18"/>
          <w:szCs w:val="18"/>
          <w:i w:val="1"/>
          <w:iCs w:val="1"/>
          <w:color w:val="auto"/>
        </w:rPr>
      </w:pPr>
    </w:p>
    <w:p>
      <w:pPr>
        <w:ind w:left="340" w:right="40" w:hanging="332"/>
        <w:spacing w:after="0" w:line="252" w:lineRule="auto"/>
        <w:tabs>
          <w:tab w:leader="none" w:pos="334"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revolving credit facility portion of NCM LLC’s total borrowings is available, subject to certain conditions, for general corporate purposes of NCM LLC in the ordinary course of business and for other transactions permitted under the senior secured credit facility, and a portion is available for letters of credit. NCM LLC’s total capacity under the revolving credit facility was $175.0 million as of September 24, 2020, December 26, 2019 and September 26, 2019. As of September 24, 2020, December 26, 2019 and September 26, 2019, the amount available under the NCM LLC revolving credit facility in the table above, was net of the amount outstanding under the revolving credit facility of $167.0 million, $39.0 million and $6.0 million, respectively, and net letters of credit of $3.6 million, $3.6 million and $4.8 million, respectively.</w:t>
      </w:r>
    </w:p>
    <w:p>
      <w:pPr>
        <w:spacing w:after="0" w:line="136" w:lineRule="exact"/>
        <w:rPr>
          <w:sz w:val="20"/>
          <w:szCs w:val="20"/>
          <w:color w:val="auto"/>
        </w:rPr>
      </w:pPr>
    </w:p>
    <w:p>
      <w:pPr>
        <w:jc w:val="both"/>
        <w:ind w:right="180" w:firstLine="526"/>
        <w:spacing w:after="0" w:line="266" w:lineRule="auto"/>
        <w:rPr>
          <w:sz w:val="20"/>
          <w:szCs w:val="20"/>
          <w:color w:val="auto"/>
        </w:rPr>
      </w:pPr>
      <w:r>
        <w:rPr>
          <w:rFonts w:ascii="Times New Roman" w:cs="Times New Roman" w:eastAsia="Times New Roman" w:hAnsi="Times New Roman"/>
          <w:sz w:val="18"/>
          <w:szCs w:val="18"/>
          <w:color w:val="auto"/>
        </w:rPr>
        <w:t>As of September 24, 2020, the weighted average remaining maturity of our debt was 5.7 years. As of September 24, 2020, approximately 59% of our total borrowings bear interest at fixed rates. The remaining 41% of our borrowings bear interest at variable rates and our net income and earnings per share could fluctuate with market interest rate fluctuations that could increase or decrease the interest paid on our borrowings.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generated and used cash as follows (in millions):</w:t>
      </w:r>
    </w:p>
    <w:p>
      <w:pPr>
        <w:spacing w:after="0" w:line="205"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60" w:type="dxa"/>
            <w:vAlign w:val="bottom"/>
            <w:tcBorders>
              <w:bottom w:val="single" w:sz="8" w:color="auto"/>
            </w:tcBorders>
          </w:tcPr>
          <w:p>
            <w:pPr>
              <w:spacing w:after="0"/>
              <w:rPr>
                <w:sz w:val="16"/>
                <w:szCs w:val="16"/>
                <w:color w:val="auto"/>
              </w:rPr>
            </w:pPr>
          </w:p>
        </w:tc>
      </w:tr>
      <w:tr>
        <w:trPr>
          <w:trHeight w:val="188"/>
        </w:trPr>
        <w:tc>
          <w:tcPr>
            <w:tcW w:w="6980" w:type="dxa"/>
            <w:vAlign w:val="bottom"/>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24, 2020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26, 2019</w:t>
            </w:r>
          </w:p>
        </w:tc>
      </w:tr>
      <w:tr>
        <w:trPr>
          <w:trHeight w:val="223"/>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w:t>
            </w:r>
          </w:p>
        </w:tc>
        <w:tc>
          <w:tcPr>
            <w:tcW w:w="460" w:type="dxa"/>
            <w:vAlign w:val="bottom"/>
            <w:tcBorders>
              <w:top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cash flow</w:t>
            </w:r>
          </w:p>
        </w:tc>
        <w:tc>
          <w:tcPr>
            <w:tcW w:w="46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700" w:type="dxa"/>
            <w:vAlign w:val="bottom"/>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cash flow</w:t>
            </w:r>
          </w:p>
        </w:tc>
        <w:tc>
          <w:tcPr>
            <w:tcW w:w="46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r>
    </w:tbl>
    <w:p>
      <w:pPr>
        <w:spacing w:after="0" w:line="234" w:lineRule="exact"/>
        <w:rPr>
          <w:sz w:val="20"/>
          <w:szCs w:val="20"/>
          <w:color w:val="auto"/>
        </w:rPr>
      </w:pPr>
    </w:p>
    <w:p>
      <w:pPr>
        <w:ind w:left="1060" w:hanging="404"/>
        <w:spacing w:after="0" w:line="254" w:lineRule="auto"/>
        <w:tabs>
          <w:tab w:leader="none" w:pos="10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The $27.7 million decrease in cash provided by operating activities for the nine months ended September 24, 2020,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the nine months ended September 26, 2019 was primarily due to 1) a $113.7 million decrease in consolidated net income due the temporary closure of almost all the theaters within our network in response to the COVID-19 Pandemic during the period, 2) a $15.7 million larger decrease in accounts payable and accrued expenses during the nine months ended September 24, 2020 as compared to the nine months ended September 26, 2019, related to the decrease in operating expenses for the corresponding periods as described above, 3) a $15.4 million increase in deferred income tax benefit and the gain on re-measurement of the payable to founding members under the TRA primarily due to the Company recognizing an income tax benefit in the nine months ended September 24, 2020 driven by the Company's consolidated net loss for the period and 4) a $6.6 million decrease in founding member integration and other encumbered theater payments. These decreases in cash provided by operating activities were partially offset by $135.0 million larger decrease in the accounts receivable balance during the nine months ended September 24, 2020, as compared to the nine months ended September 26, 2019, related to the collection of the accounts receivable balance and the decrease in revenue described above.</w:t>
      </w:r>
    </w:p>
    <w:p>
      <w:pPr>
        <w:spacing w:after="0" w:line="128" w:lineRule="exact"/>
        <w:rPr>
          <w:rFonts w:ascii="Times New Roman" w:cs="Times New Roman" w:eastAsia="Times New Roman" w:hAnsi="Times New Roman"/>
          <w:sz w:val="18"/>
          <w:szCs w:val="18"/>
          <w:color w:val="auto"/>
        </w:rPr>
      </w:pPr>
    </w:p>
    <w:p>
      <w:pPr>
        <w:ind w:left="1100" w:right="480" w:hanging="404"/>
        <w:spacing w:after="0" w:line="262" w:lineRule="auto"/>
        <w:tabs>
          <w:tab w:leader="none" w:pos="109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The $5.5 million increase in cash provided by investing activities for the nine months ended September 24, 2020,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the nine months ended September 26, 2019 was primarily due to a $3.7 million increase in proceeds from the sale of marketable securities, net of purchases and a $3.2 million decrease in purchases of property and equipment for the nine months ended September 24, 2020, compared to the nine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8" w:name="page39"/>
    <w:bookmarkEnd w:id="38"/>
    <w:p>
      <w:pPr>
        <w:ind w:left="1100" w:right="280"/>
        <w:spacing w:after="0" w:line="282" w:lineRule="auto"/>
        <w:rPr>
          <w:sz w:val="20"/>
          <w:szCs w:val="20"/>
          <w:color w:val="auto"/>
        </w:rPr>
      </w:pPr>
      <w:r>
        <w:rPr>
          <w:rFonts w:ascii="Times New Roman" w:cs="Times New Roman" w:eastAsia="Times New Roman" w:hAnsi="Times New Roman"/>
          <w:sz w:val="18"/>
          <w:szCs w:val="18"/>
          <w:color w:val="auto"/>
        </w:rPr>
        <w:t>months ended September 26, 2019 driven by the Company's measures to preserve cash in response to the COVID-19 Pandemic, partially offset by a $1.4 million decrease in proceeds from the founding member notes receivable.</w:t>
      </w:r>
    </w:p>
    <w:p>
      <w:pPr>
        <w:spacing w:after="0" w:line="104" w:lineRule="exact"/>
        <w:rPr>
          <w:sz w:val="20"/>
          <w:szCs w:val="20"/>
          <w:color w:val="auto"/>
        </w:rPr>
      </w:pPr>
    </w:p>
    <w:p>
      <w:pPr>
        <w:ind w:left="1100" w:right="20" w:hanging="404"/>
        <w:spacing w:after="0" w:line="255" w:lineRule="auto"/>
        <w:tabs>
          <w:tab w:leader="none" w:pos="10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The $179.1 million increase in cash provided by financing activities for the nine months ended September 24, 2020,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the nine months ended September 26, 2019 was primarily due to a $149.0 million increase in proceeds from our revolving credit facility, net of repayments made early in 2020, in order to fund operations during the period of expected reduced cash flows due to the temporary closure of the theaters within NCM LLC's network to address the COVID-19 Pandemic. The increase was also due to a $13.9 million decrease in dividends paid related to the a decrease in the dividend amounts declared from $0.51 per share during the nine months ended September 26, 2019 to $0.33 per share during the nine months ended September 24, 2020, a $12.6 million decrease in distributions to founding members in the nine months ended September 24, 2020, compared to the nine months ended September 26, 2019 and the absence of a $4.6 million repurchase of the retired Notes due 2026 that occurred in the first quarter of 2019.</w:t>
      </w:r>
    </w:p>
    <w:p>
      <w:pPr>
        <w:spacing w:after="0" w:line="1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Sources of Capital and Capital Requirements</w:t>
      </w:r>
    </w:p>
    <w:p>
      <w:pPr>
        <w:spacing w:after="0" w:line="175" w:lineRule="exact"/>
        <w:rPr>
          <w:sz w:val="20"/>
          <w:szCs w:val="20"/>
          <w:color w:val="auto"/>
        </w:rPr>
      </w:pPr>
    </w:p>
    <w:p>
      <w:pPr>
        <w:ind w:firstLine="526"/>
        <w:spacing w:after="0" w:line="255" w:lineRule="auto"/>
        <w:rPr>
          <w:sz w:val="20"/>
          <w:szCs w:val="20"/>
          <w:color w:val="auto"/>
        </w:rPr>
      </w:pPr>
      <w:r>
        <w:rPr>
          <w:rFonts w:ascii="Times New Roman" w:cs="Times New Roman" w:eastAsia="Times New Roman" w:hAnsi="Times New Roman"/>
          <w:sz w:val="18"/>
          <w:szCs w:val="18"/>
          <w:color w:val="auto"/>
        </w:rPr>
        <w:t>NCM, Inc.’s primary source of liquidity and capital resources is the quarterly available cash distributions from NCM LLC as well as its existing cash balances and marketable securities, which as of September 24, 2020 were $63.3 million (excluding NCM LLC). NCM LLC’s primary sources of liquidity and capital resources are its cash provided by operating activities, availability under its revolving credit facility and cash on hand. NCM LLC drew down an additional $110.0 million of its revolving credit facility in March 2020 in order to supplement the decrease in cash provided by operating activities during the period our network theaters are closed. The $157.4 million of cash at NCM LLC will be used to fund operations during the period of expected reduced cash flows. Cash at NCM, Inc. is used to fund income taxes, payments associated with the TRA with the founding members and for future payment of dividends to NCM, Inc. shareholders.</w:t>
      </w:r>
    </w:p>
    <w:p>
      <w:pPr>
        <w:spacing w:after="0" w:line="81" w:lineRule="exact"/>
        <w:rPr>
          <w:sz w:val="20"/>
          <w:szCs w:val="20"/>
          <w:color w:val="auto"/>
        </w:rPr>
      </w:pPr>
    </w:p>
    <w:p>
      <w:pPr>
        <w:ind w:right="60" w:firstLine="526"/>
        <w:spacing w:after="0" w:line="253" w:lineRule="auto"/>
        <w:rPr>
          <w:sz w:val="20"/>
          <w:szCs w:val="20"/>
          <w:color w:val="auto"/>
        </w:rPr>
      </w:pPr>
      <w:r>
        <w:rPr>
          <w:rFonts w:ascii="Times New Roman" w:cs="Times New Roman" w:eastAsia="Times New Roman" w:hAnsi="Times New Roman"/>
          <w:sz w:val="18"/>
          <w:szCs w:val="18"/>
          <w:color w:val="auto"/>
        </w:rPr>
        <w:t>On April 30, 2020, NCM LLC entered into the Credit Agreement Amendment to allow for the automatic waiver of any non-compliance with its Consolidated Net Senior Secured Leverage Ratio and Consolidated Total Leverage Ratio financial covenants occurring from the quarter ending June 25, 2020 until and including the quarter ending July 1, 2021. The Credit Agreement Amendment requires that, until the fiscal quarter ending July 1, 2021, NCM LLC must not permit the sum of unrestricted cash on hand at NCM LLC and availability under its Revolving Credit Facility to be less than $55.0 million. Further, NCM LLC can make available cash distributions to its members (AMC, Cinemark, Regal and NCM, Inc.) during the Covenant Holiday Period only if trailing 12-month Consolidated EBITDA (as defined in the Credit Agreement) equals or exceeds $277.0 million and outstanding loans under the Revolving Credit Facility are equal to or less than $39.0 million. NCM LLC can make available cash distributions to its members outside of the Covenant Holiday Period so long as NCM LLC’s Consolidated Net Senior Secured Leverage Ratio is equal to or less than 5.00 to 1.00 and no default or event of default under the Credit Agreement has occurred and is continuing. As of September 24, 2020, NCM LLC was in compliance with the requirements of the Credit Agreement Amendment.</w:t>
      </w:r>
    </w:p>
    <w:p>
      <w:pPr>
        <w:spacing w:after="0" w:line="86" w:lineRule="exact"/>
        <w:rPr>
          <w:sz w:val="20"/>
          <w:szCs w:val="20"/>
          <w:color w:val="auto"/>
        </w:rPr>
      </w:pPr>
    </w:p>
    <w:p>
      <w:pPr>
        <w:ind w:right="20" w:firstLine="526"/>
        <w:spacing w:after="0" w:line="253" w:lineRule="auto"/>
        <w:rPr>
          <w:sz w:val="20"/>
          <w:szCs w:val="20"/>
          <w:color w:val="auto"/>
        </w:rPr>
      </w:pPr>
      <w:r>
        <w:rPr>
          <w:rFonts w:ascii="Times New Roman" w:cs="Times New Roman" w:eastAsia="Times New Roman" w:hAnsi="Times New Roman"/>
          <w:sz w:val="18"/>
          <w:szCs w:val="18"/>
          <w:color w:val="auto"/>
        </w:rPr>
        <w:t>Cash flows generated by NCM LLC’s distributions to NCM, Inc. and the founding members will be impacted by the temporary closure of our network theaters and may even be deferred for the quarter ending June 25, 2020 through the quarter ending July 1, 2021 until at least August 2021 due to the limitations instituted by the Credit Agreement Amendment. NCM LLC is required pursuant to the terms of the NCM LLC Operating Agreement to distribute its available cash, as defined in the operating agreement and unless prohibited by NCM LLC's Credit Agreement, quarterly to its members (Regal, Cinemark, AMC and NCM, Inc.). The available cash distribution to the members of NCM LLC for the three months ended September 24, 2020 was calculated as approximately negative $24.5 million, of which NCM Inc.'s share is approximately negative $11.8 million. The available cash distribution to the members of NCM LLC for the combined three months ended June 25, 2020 and three months ended September 24, 2020 was calculated as approximately negative $54.5 million, of which NCM Inc.'s share is approximately negative $26.2 million. Pursuant to the NCM LLC Operating Agreement and the Credit Agreement Amendment, there will be no available cash distributions made for the third quarter of 2020. These negative available cash distributions for the third quarter of 2020 are expected to be netted against any positive available cash distribution related to the second quarter of 2021, to be paid in the third quarter of 2021, if the Company is in compliance with the Credit Agreement Amendment requirements noted above and sufficient positive available cash is generated.</w:t>
      </w:r>
    </w:p>
    <w:p>
      <w:pPr>
        <w:spacing w:after="0" w:line="82" w:lineRule="exact"/>
        <w:rPr>
          <w:sz w:val="20"/>
          <w:szCs w:val="20"/>
          <w:color w:val="auto"/>
        </w:rPr>
      </w:pPr>
    </w:p>
    <w:p>
      <w:pPr>
        <w:ind w:right="60" w:firstLine="526"/>
        <w:spacing w:after="0" w:line="256" w:lineRule="auto"/>
        <w:rPr>
          <w:sz w:val="20"/>
          <w:szCs w:val="20"/>
          <w:color w:val="auto"/>
        </w:rPr>
      </w:pPr>
      <w:r>
        <w:rPr>
          <w:rFonts w:ascii="Times New Roman" w:cs="Times New Roman" w:eastAsia="Times New Roman" w:hAnsi="Times New Roman"/>
          <w:sz w:val="18"/>
          <w:szCs w:val="18"/>
          <w:color w:val="auto"/>
        </w:rPr>
        <w:t>NCM, Inc. expects to use its cash balances and cash received from future available cash distributions (as allowed for under the Amended Credit Agreement) to fund income taxes, payments associated with the TRA with the founding members, including the TRA payment of $12.8 million made on July 15, 2020, and current and future dividends as declared by the Board of Directors, including a dividend declared on November 2, 2020 of $0.07 per share (approximately $5.5 million) on each share of the Company’s common stock (not including outstanding restricted stock) to stockholders of record on November 16, 2020 to be paid on December 1, 2020. These items should be sufficient to fund payments associated with the TRA with the founding members, income taxes and its quarterly dividend for the foreseeable future at the discretion of the Board of Directors. The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9" w:name="page40"/>
    <w:bookmarkEnd w:id="39"/>
    <w:p>
      <w:pPr>
        <w:spacing w:after="0" w:line="256" w:lineRule="auto"/>
        <w:rPr>
          <w:sz w:val="20"/>
          <w:szCs w:val="20"/>
          <w:color w:val="auto"/>
        </w:rPr>
      </w:pPr>
      <w:r>
        <w:rPr>
          <w:rFonts w:ascii="Times New Roman" w:cs="Times New Roman" w:eastAsia="Times New Roman" w:hAnsi="Times New Roman"/>
          <w:sz w:val="18"/>
          <w:szCs w:val="18"/>
          <w:color w:val="auto"/>
        </w:rPr>
        <w:t>Company intends to pay a regular quarterly dividend for the foreseeable future at the discretion of the Board of Directors consistent with the Company’s intention to distribute substantially all its free cash flow to stockholders through its quarterly dividend. The declaration, payment, timing and amount of any future dividends payable will be at the sole discretion of the Board of Directors who will consider general economic and advertising market business conditions, the Company’s financial condition, available cash, current and anticipated cash needs and any other factors that the Board of Directors considers relevant, which includes short-term and long-term impacts to the Company related to the COVID-19 Pandemic and restrictions under the NCM LLC Credit Agreement.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75" w:lineRule="exact"/>
        <w:rPr>
          <w:sz w:val="20"/>
          <w:szCs w:val="20"/>
          <w:color w:val="auto"/>
        </w:rPr>
      </w:pPr>
    </w:p>
    <w:p>
      <w:pPr>
        <w:ind w:firstLine="526"/>
        <w:spacing w:after="0" w:line="255" w:lineRule="auto"/>
        <w:rPr>
          <w:sz w:val="20"/>
          <w:szCs w:val="20"/>
          <w:color w:val="auto"/>
        </w:rPr>
      </w:pPr>
      <w:r>
        <w:rPr>
          <w:rFonts w:ascii="Times New Roman" w:cs="Times New Roman" w:eastAsia="Times New Roman" w:hAnsi="Times New Roman"/>
          <w:sz w:val="18"/>
          <w:szCs w:val="18"/>
          <w:color w:val="auto"/>
        </w:rPr>
        <w:t>For a discussion of accounting policies that we consider critical to our business operations and understanding of our results of operations, and that affect the more significant judgments and estimates used in the preparation of our unaudited Condensed Consolidated Financial Statements, see Item 7. “Management’s Discussion and Analysis of Financial Condition and Results of Operations—Critical Accounting Policies” contained in our annual report on Form 10-K filed for the fiscal year ended December 26, 2019 and incorporated by reference herein. As of September 24, 2020, there were no significant changes in those critical accounting policies except for the change in allowance for doubtful accounts upon the adoption of ASC 326 in the first quarter of 2020 and discussed further within Note 1—</w:t>
      </w:r>
      <w:r>
        <w:rPr>
          <w:rFonts w:ascii="Times New Roman" w:cs="Times New Roman" w:eastAsia="Times New Roman" w:hAnsi="Times New Roman"/>
          <w:sz w:val="18"/>
          <w:szCs w:val="18"/>
          <w:i w:val="1"/>
          <w:iCs w:val="1"/>
          <w:color w:val="auto"/>
        </w:rPr>
        <w:t>The Company</w:t>
      </w:r>
      <w:r>
        <w:rPr>
          <w:rFonts w:ascii="Times New Roman" w:cs="Times New Roman" w:eastAsia="Times New Roman" w:hAnsi="Times New Roman"/>
          <w:sz w:val="18"/>
          <w:szCs w:val="18"/>
          <w:color w:val="auto"/>
        </w:rPr>
        <w:t>, to the unaudited Condensed Consolidated Financial Statements in Part I, Item 1 of this Form 10-Q.</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3" w:lineRule="exact"/>
        <w:rPr>
          <w:sz w:val="20"/>
          <w:szCs w:val="20"/>
          <w:color w:val="auto"/>
        </w:rPr>
      </w:pPr>
    </w:p>
    <w:p>
      <w:pPr>
        <w:ind w:right="380" w:firstLine="526"/>
        <w:spacing w:after="0" w:line="284" w:lineRule="auto"/>
        <w:rPr>
          <w:sz w:val="20"/>
          <w:szCs w:val="20"/>
          <w:color w:val="auto"/>
        </w:rPr>
      </w:pPr>
      <w:r>
        <w:rPr>
          <w:rFonts w:ascii="Times New Roman" w:cs="Times New Roman" w:eastAsia="Times New Roman" w:hAnsi="Times New Roman"/>
          <w:sz w:val="18"/>
          <w:szCs w:val="18"/>
          <w:color w:val="auto"/>
        </w:rPr>
        <w:t>For a discussion of recent accounting pronouncements, see the information provided under Note 1—</w:t>
      </w:r>
      <w:r>
        <w:rPr>
          <w:rFonts w:ascii="Times New Roman" w:cs="Times New Roman" w:eastAsia="Times New Roman" w:hAnsi="Times New Roman"/>
          <w:sz w:val="18"/>
          <w:szCs w:val="18"/>
          <w:i w:val="1"/>
          <w:iCs w:val="1"/>
          <w:color w:val="auto"/>
        </w:rPr>
        <w:t>The Company</w:t>
      </w:r>
      <w:r>
        <w:rPr>
          <w:rFonts w:ascii="Times New Roman" w:cs="Times New Roman" w:eastAsia="Times New Roman" w:hAnsi="Times New Roman"/>
          <w:sz w:val="18"/>
          <w:szCs w:val="18"/>
          <w:color w:val="auto"/>
        </w:rPr>
        <w:t xml:space="preserve"> to the unaudited Condensed Consolidated Financial Statements in Part I, Item 1 of this Form 10-Q.</w:t>
      </w:r>
    </w:p>
    <w:p>
      <w:pPr>
        <w:spacing w:after="0" w:line="106" w:lineRule="exact"/>
        <w:rPr>
          <w:sz w:val="20"/>
          <w:szCs w:val="20"/>
          <w:color w:val="auto"/>
        </w:rPr>
      </w:pPr>
    </w:p>
    <w:p>
      <w:pPr>
        <w:jc w:val="both"/>
        <w:ind w:right="140" w:firstLine="526"/>
        <w:spacing w:after="0" w:line="282" w:lineRule="auto"/>
        <w:rPr>
          <w:sz w:val="20"/>
          <w:szCs w:val="20"/>
          <w:color w:val="auto"/>
        </w:rPr>
      </w:pPr>
      <w:r>
        <w:rPr>
          <w:rFonts w:ascii="Times New Roman" w:cs="Times New Roman" w:eastAsia="Times New Roman" w:hAnsi="Times New Roman"/>
          <w:sz w:val="18"/>
          <w:szCs w:val="18"/>
          <w:color w:val="auto"/>
        </w:rPr>
        <w:t>The Company has considered all other recently issued accounting pronouncements and does not believe the adoption of such pronouncements will have a material impact on its unaudited Condensed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73" w:lineRule="exact"/>
        <w:rPr>
          <w:sz w:val="20"/>
          <w:szCs w:val="20"/>
          <w:color w:val="auto"/>
        </w:rPr>
      </w:pPr>
    </w:p>
    <w:p>
      <w:pPr>
        <w:ind w:right="120" w:firstLine="526"/>
        <w:spacing w:after="0" w:line="284" w:lineRule="auto"/>
        <w:rPr>
          <w:sz w:val="20"/>
          <w:szCs w:val="20"/>
          <w:color w:val="auto"/>
        </w:rPr>
      </w:pPr>
      <w:r>
        <w:rPr>
          <w:rFonts w:ascii="Times New Roman" w:cs="Times New Roman" w:eastAsia="Times New Roman" w:hAnsi="Times New Roman"/>
          <w:sz w:val="18"/>
          <w:szCs w:val="18"/>
          <w:color w:val="auto"/>
        </w:rPr>
        <w:t>For a discussion of related party transactions, see the information provided under Note 5—</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to the unaudited Condensed Consolidated Financial Statements in Part I, Item 1 of this Form 10-Q.</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ind w:right="440" w:firstLine="526"/>
        <w:spacing w:after="0" w:line="282" w:lineRule="auto"/>
        <w:rPr>
          <w:sz w:val="20"/>
          <w:szCs w:val="20"/>
          <w:color w:val="auto"/>
        </w:rPr>
      </w:pPr>
      <w:r>
        <w:rPr>
          <w:rFonts w:ascii="Times New Roman" w:cs="Times New Roman" w:eastAsia="Times New Roman" w:hAnsi="Times New Roman"/>
          <w:sz w:val="18"/>
          <w:szCs w:val="18"/>
          <w:color w:val="auto"/>
        </w:rPr>
        <w:t>We do not believe the Company has any off-balance sheet arrangements that are material to our current or future financial condition, results of operations, liquidity, capital resources or capital expenditures.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and Other Obligations</w:t>
      </w:r>
    </w:p>
    <w:p>
      <w:pPr>
        <w:spacing w:after="0" w:line="175" w:lineRule="exact"/>
        <w:rPr>
          <w:sz w:val="20"/>
          <w:szCs w:val="20"/>
          <w:color w:val="auto"/>
        </w:rPr>
      </w:pPr>
    </w:p>
    <w:p>
      <w:pPr>
        <w:jc w:val="both"/>
        <w:ind w:right="140" w:firstLine="180"/>
        <w:spacing w:after="0" w:line="266" w:lineRule="auto"/>
        <w:rPr>
          <w:sz w:val="20"/>
          <w:szCs w:val="20"/>
          <w:color w:val="auto"/>
        </w:rPr>
      </w:pPr>
      <w:r>
        <w:rPr>
          <w:rFonts w:ascii="Times New Roman" w:cs="Times New Roman" w:eastAsia="Times New Roman" w:hAnsi="Times New Roman"/>
          <w:sz w:val="18"/>
          <w:szCs w:val="18"/>
          <w:color w:val="auto"/>
        </w:rPr>
        <w:t>See Item 7. “Management’s Discussion and Analysis of Financial Condition and Results of Operations – Contractual and Other Obligations” contained in our annual report on Form 10-K for the fiscal year ended December 26, 2019 and incorporated by reference herein. There were no material changes to our contractual obligations during the nine months ended September 24, 2020.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75" w:lineRule="exact"/>
        <w:rPr>
          <w:sz w:val="20"/>
          <w:szCs w:val="20"/>
          <w:color w:val="auto"/>
        </w:rPr>
      </w:pPr>
    </w:p>
    <w:p>
      <w:pPr>
        <w:ind w:firstLine="526"/>
        <w:spacing w:after="0" w:line="253" w:lineRule="auto"/>
        <w:rPr>
          <w:sz w:val="20"/>
          <w:szCs w:val="20"/>
          <w:color w:val="auto"/>
        </w:rPr>
      </w:pPr>
      <w:r>
        <w:rPr>
          <w:rFonts w:ascii="Times New Roman" w:cs="Times New Roman" w:eastAsia="Times New Roman" w:hAnsi="Times New Roman"/>
          <w:sz w:val="18"/>
          <w:szCs w:val="18"/>
          <w:color w:val="auto"/>
        </w:rPr>
        <w:t>Our revenue and operating results are seasonal in nature, coinciding with the timing of marketing expenditures by our advertising clients and to a lesser extent the attendance patterns within the film exhibition industry. Historically, both advertising expenditures and theater attendance have tended to be higher during the second, third, and fourth fiscal quarters. Advertising revenue is primarily correlated with advertising clients' new product releases, advertising client marketing priorities and economic cycles and to a lesser extent theater attendance levels. Seasonal demand during the summer is driven by the absence of alternative attractive advertising mediums and during the winter holiday season due to high client demand across all advertising mediums. The actual quarterly results for each quarter could differ materially depending on these factors or other risks and uncertainties. Based on our historical experience, our first quarter typically has less revenue than the other quarters of a given year due primarily to lower advertising client demand and increased inventory availability in competitive advertising mediums. Given the temporary closure of our theaters, we expect our 2020 quarterly results to vary from the historical trend. Accordingly, there can be no assurances that seasonal variations will not materially affect our results of operations in the future.</w:t>
      </w:r>
    </w:p>
    <w:p>
      <w:pPr>
        <w:spacing w:after="0" w:line="1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reflects the quarterly percentage of total revenue for the fiscal years ended 2017, 2018 and 2019.</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0" w:name="page41"/>
    <w:bookmarkEnd w:id="40"/>
    <w:tbl>
      <w:tblPr>
        <w:tblLayout w:type="fixed"/>
        <w:tblInd w:w="50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First</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146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Fourth</w:t>
            </w:r>
          </w:p>
        </w:tc>
      </w:tr>
      <w:tr>
        <w:trPr>
          <w:trHeight w:val="189"/>
        </w:trPr>
        <w:tc>
          <w:tcPr>
            <w:tcW w:w="408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46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Quarter</w:t>
            </w:r>
          </w:p>
        </w:tc>
      </w:tr>
      <w:tr>
        <w:trPr>
          <w:trHeight w:val="223"/>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 2017</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27.3 %</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33.0 %</w:t>
            </w: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 2018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31.1 %</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 2019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33.1 %</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121" w:lineRule="exact"/>
        <w:rPr>
          <w:sz w:val="20"/>
          <w:szCs w:val="20"/>
          <w:color w:val="auto"/>
        </w:rPr>
      </w:pPr>
    </w:p>
    <w:p>
      <w:pPr>
        <w:ind w:firstLine="526"/>
        <w:spacing w:after="0" w:line="258" w:lineRule="auto"/>
        <w:rPr>
          <w:sz w:val="20"/>
          <w:szCs w:val="20"/>
          <w:color w:val="auto"/>
        </w:rPr>
      </w:pPr>
      <w:r>
        <w:rPr>
          <w:rFonts w:ascii="Times New Roman" w:cs="Times New Roman" w:eastAsia="Times New Roman" w:hAnsi="Times New Roman"/>
          <w:sz w:val="18"/>
          <w:szCs w:val="18"/>
          <w:color w:val="auto"/>
        </w:rPr>
        <w:t>The primary market risk to which we are exposed is interest rate risk. The Notes due 2026 and the Notes due 2028 are at fixed rates, and therefore are not subject to market risk. As of September 24, 2020, the only interest rate risk that we are exposed to is related to our $175.0 million revolving credit facility and our term loan. A 100-basis point fluctuation in market interest rates underlying our term loan and revolving credit facility would have the effect of increasing or decreasing our cash interest expense by approximately $4.3 million for an annual period on the $167.0 million revolving credit balance and $264.6 million term loan outstanding as of September 24, 2020.</w:t>
      </w:r>
    </w:p>
    <w:p>
      <w:pPr>
        <w:spacing w:after="0" w:line="129" w:lineRule="exact"/>
        <w:rPr>
          <w:sz w:val="20"/>
          <w:szCs w:val="20"/>
          <w:color w:val="auto"/>
        </w:rPr>
      </w:pPr>
    </w:p>
    <w:p>
      <w:pPr>
        <w:ind w:right="320" w:firstLine="526"/>
        <w:spacing w:after="0" w:line="282" w:lineRule="auto"/>
        <w:rPr>
          <w:sz w:val="20"/>
          <w:szCs w:val="20"/>
          <w:color w:val="auto"/>
        </w:rPr>
      </w:pPr>
      <w:r>
        <w:rPr>
          <w:rFonts w:ascii="Times New Roman" w:cs="Times New Roman" w:eastAsia="Times New Roman" w:hAnsi="Times New Roman"/>
          <w:sz w:val="18"/>
          <w:szCs w:val="18"/>
          <w:color w:val="auto"/>
        </w:rPr>
        <w:t>In response to the COVID-19 Pandemic, the government lowered the Federal Reserve interest rate leading to historically low interest rates as of September 24, 2020 that has had the effect of reducing the Company's interest rate risk.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Controls and Procedures</w:t>
      </w:r>
    </w:p>
    <w:p>
      <w:pPr>
        <w:spacing w:after="0" w:line="121" w:lineRule="exact"/>
        <w:rPr>
          <w:sz w:val="20"/>
          <w:szCs w:val="20"/>
          <w:color w:val="auto"/>
        </w:rPr>
      </w:pPr>
    </w:p>
    <w:p>
      <w:pPr>
        <w:ind w:firstLine="567"/>
        <w:spacing w:after="0" w:line="258"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in Rules 13a-15(e) and 15d-15(e) of the Securities Exchange Act of 1934, as amended (the "Exchange Act"), that are designed to ensure that information required to be disclosed in the Company's reports filed under the Exchange Act, is recorded, processed, summarized and reported within the time periods specified by the SEC’s rules and forms, and that such information is accumulated and communicated to management, including the Chief Executive Officer (principal executive and financial officer), as appropriate, to allow timely decisions regarding required disclosure.</w:t>
      </w:r>
    </w:p>
    <w:p>
      <w:pPr>
        <w:spacing w:after="0" w:line="62" w:lineRule="exact"/>
        <w:rPr>
          <w:sz w:val="20"/>
          <w:szCs w:val="20"/>
          <w:color w:val="auto"/>
        </w:rPr>
      </w:pPr>
    </w:p>
    <w:p>
      <w:pPr>
        <w:ind w:right="120" w:firstLine="567"/>
        <w:spacing w:after="0" w:line="261" w:lineRule="auto"/>
        <w:rPr>
          <w:sz w:val="20"/>
          <w:szCs w:val="20"/>
          <w:color w:val="auto"/>
        </w:rPr>
      </w:pPr>
      <w:r>
        <w:rPr>
          <w:rFonts w:ascii="Times New Roman" w:cs="Times New Roman" w:eastAsia="Times New Roman" w:hAnsi="Times New Roman"/>
          <w:sz w:val="18"/>
          <w:szCs w:val="18"/>
          <w:color w:val="auto"/>
        </w:rPr>
        <w:t>Management, with the participation of the Chief Executive Officer, performed an evaluation of the effectiveness of the Company’s disclosure controls and procedures pursuant to Rules 13a-15(e) and 15d-15(e) of the Exchange Act as of September 24, 2020, the end of the period covered by this Quarterly Report on Form 10-Q. Based on such evaluation, the Company’s Chief Executive Officer concluded that the Company’s disclosure controls and procedures as of September 24, 2020 were effective.</w:t>
      </w:r>
    </w:p>
    <w:p>
      <w:pPr>
        <w:spacing w:after="0" w:line="58" w:lineRule="exact"/>
        <w:rPr>
          <w:sz w:val="20"/>
          <w:szCs w:val="20"/>
          <w:color w:val="auto"/>
        </w:rPr>
      </w:pPr>
    </w:p>
    <w:p>
      <w:pPr>
        <w:ind w:right="380" w:firstLine="526"/>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 no matter how well designed and operated, can provide only reasonable, not absolute, assurance of achieving the desired control objectives. Due to the inherent limitations in all control systems, no evaluation of controls can provide absolute assurance that misstatements due to error or fraud will not occur or that all control issues and instances of fraud, if any, within the Company have been detected.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8" w:lineRule="exact"/>
        <w:rPr>
          <w:sz w:val="20"/>
          <w:szCs w:val="20"/>
          <w:color w:val="auto"/>
        </w:rPr>
      </w:pPr>
    </w:p>
    <w:p>
      <w:pPr>
        <w:ind w:right="640" w:firstLine="567"/>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that occurred during the quarter ended September 24, 2020 that have materially affected, or are reasonably likely to materially affect, our internal control over financial reporting.</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Legal Proceedings</w:t>
      </w:r>
    </w:p>
    <w:p>
      <w:pPr>
        <w:spacing w:after="0" w:line="175" w:lineRule="exact"/>
        <w:rPr>
          <w:sz w:val="20"/>
          <w:szCs w:val="20"/>
          <w:color w:val="auto"/>
        </w:rPr>
      </w:pPr>
    </w:p>
    <w:p>
      <w:pPr>
        <w:ind w:right="560" w:firstLine="526"/>
        <w:spacing w:after="0" w:line="282" w:lineRule="auto"/>
        <w:rPr>
          <w:sz w:val="20"/>
          <w:szCs w:val="20"/>
          <w:color w:val="auto"/>
        </w:rPr>
      </w:pPr>
      <w:r>
        <w:rPr>
          <w:rFonts w:ascii="Times New Roman" w:cs="Times New Roman" w:eastAsia="Times New Roman" w:hAnsi="Times New Roman"/>
          <w:sz w:val="18"/>
          <w:szCs w:val="18"/>
          <w:color w:val="auto"/>
        </w:rPr>
        <w:t>We are sometimes involved in legal proceedings arising in the ordinary course of business. We are not aware of any other litigation currently pending that would have a material adverse effect on our operating results or financial condition.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u w:val="single" w:color="auto"/>
          <w:color w:val="auto"/>
        </w:rPr>
        <w:t>Risk Factors</w:t>
      </w:r>
    </w:p>
    <w:p>
      <w:pPr>
        <w:spacing w:after="0" w:line="175" w:lineRule="exact"/>
        <w:rPr>
          <w:sz w:val="20"/>
          <w:szCs w:val="20"/>
          <w:color w:val="auto"/>
        </w:rPr>
      </w:pPr>
    </w:p>
    <w:p>
      <w:pPr>
        <w:ind w:right="180" w:firstLine="567"/>
        <w:spacing w:after="0" w:line="266" w:lineRule="auto"/>
        <w:rPr>
          <w:sz w:val="20"/>
          <w:szCs w:val="20"/>
          <w:color w:val="auto"/>
        </w:rPr>
      </w:pPr>
      <w:r>
        <w:rPr>
          <w:rFonts w:ascii="Times New Roman" w:cs="Times New Roman" w:eastAsia="Times New Roman" w:hAnsi="Times New Roman"/>
          <w:sz w:val="18"/>
          <w:szCs w:val="18"/>
          <w:color w:val="auto"/>
        </w:rPr>
        <w:t>Excluding the risk factors outlined below, there have been no material changes from risk factors as previously disclosed in our annual report on Form 10-K filed with the SEC on February 20, 2020 for the fiscal year ended December 26, 2019 and updated in our quarterly report on Form 10-Q filed with the SEC on May 5, 2020 for the quarter ended March 26, 2020.</w:t>
      </w:r>
    </w:p>
    <w:p>
      <w:pPr>
        <w:spacing w:after="0" w:line="118" w:lineRule="exact"/>
        <w:rPr>
          <w:sz w:val="20"/>
          <w:szCs w:val="20"/>
          <w:color w:val="auto"/>
        </w:rPr>
      </w:pPr>
    </w:p>
    <w:p>
      <w:pPr>
        <w:jc w:val="both"/>
        <w:ind w:right="80" w:firstLine="567"/>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Pandemics, epidemics or disease outbreaks, such as the novel coronavirus (COVID-19 virus), have disrupted and are continuing to disrupt our business and the business of our founding members and network affiliates, which has and could continue to materially affect our operations, liquidity and results of operations.</w:t>
      </w:r>
    </w:p>
    <w:p>
      <w:pPr>
        <w:spacing w:after="0" w:line="121" w:lineRule="exact"/>
        <w:rPr>
          <w:sz w:val="20"/>
          <w:szCs w:val="20"/>
          <w:color w:val="auto"/>
        </w:rPr>
      </w:pPr>
    </w:p>
    <w:p>
      <w:pPr>
        <w:ind w:right="20" w:firstLine="567"/>
        <w:spacing w:after="0" w:line="266" w:lineRule="auto"/>
        <w:rPr>
          <w:sz w:val="20"/>
          <w:szCs w:val="20"/>
          <w:color w:val="auto"/>
        </w:rPr>
      </w:pPr>
      <w:r>
        <w:rPr>
          <w:rFonts w:ascii="Times New Roman" w:cs="Times New Roman" w:eastAsia="Times New Roman" w:hAnsi="Times New Roman"/>
          <w:sz w:val="18"/>
          <w:szCs w:val="18"/>
          <w:color w:val="auto"/>
        </w:rPr>
        <w:t>Pandemics or disease outbreaks such as the novel coronavirus (COVID-19 virus) have and are continuing to disrupt our business and the business of our founding member and network affiliates’ theaters. Following the World Health Organization’s declaration of the COVID-19 virus as a pandemic, the United States’ government and other state and local governments issued</w:t>
      </w:r>
    </w:p>
    <w:p>
      <w:pPr>
        <w:sectPr>
          <w:pgSz w:w="11900" w:h="16838" w:orient="portrait"/>
          <w:cols w:equalWidth="0" w:num="1">
            <w:col w:w="11220"/>
          </w:cols>
          <w:pgMar w:left="320" w:top="100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5" w:right="359" w:bottom="1440" w:gutter="0" w:footer="0" w:header="0"/>
          <w:type w:val="continuous"/>
        </w:sectPr>
      </w:pPr>
    </w:p>
    <w:bookmarkStart w:id="41" w:name="page42"/>
    <w:bookmarkEnd w:id="41"/>
    <w:p>
      <w:pPr>
        <w:spacing w:after="0" w:line="256" w:lineRule="auto"/>
        <w:rPr>
          <w:sz w:val="20"/>
          <w:szCs w:val="20"/>
          <w:color w:val="auto"/>
        </w:rPr>
      </w:pPr>
      <w:r>
        <w:rPr>
          <w:rFonts w:ascii="Times New Roman" w:cs="Times New Roman" w:eastAsia="Times New Roman" w:hAnsi="Times New Roman"/>
          <w:sz w:val="18"/>
          <w:szCs w:val="18"/>
          <w:color w:val="auto"/>
        </w:rPr>
        <w:t>precautionary restrictions on travel, public gatherings and other events and issued social distancing guidelines. Beginning in mid-March 2020, each of our founding members and all of our network affiliates announced that their theaters would be temporarily closed and almost all of the theaters within our network remained closed until late August 2020. The Company generated no in-theater advertising revenue for the approximate six months that the theaters were closed. As of the date of this filing, approximately 53% of theaters within our network are open, with 47% remaining closed due to local government mandates or the lack of major motion picture releases. Many of the open theaters are operating at reduced hours and offering a limited number of movie showtimes and attendance has not returned to historical levels.</w:t>
      </w:r>
    </w:p>
    <w:p>
      <w:pPr>
        <w:spacing w:after="0" w:line="79" w:lineRule="exact"/>
        <w:rPr>
          <w:sz w:val="20"/>
          <w:szCs w:val="20"/>
          <w:color w:val="auto"/>
        </w:rPr>
      </w:pPr>
    </w:p>
    <w:p>
      <w:pPr>
        <w:jc w:val="both"/>
        <w:ind w:right="80" w:firstLine="567"/>
        <w:spacing w:after="0" w:line="266" w:lineRule="auto"/>
        <w:rPr>
          <w:sz w:val="20"/>
          <w:szCs w:val="20"/>
          <w:color w:val="auto"/>
        </w:rPr>
      </w:pPr>
      <w:r>
        <w:rPr>
          <w:rFonts w:ascii="Times New Roman" w:cs="Times New Roman" w:eastAsia="Times New Roman" w:hAnsi="Times New Roman"/>
          <w:sz w:val="18"/>
          <w:szCs w:val="18"/>
          <w:color w:val="auto"/>
        </w:rPr>
        <w:t>A number of major motion picture releases were delayed until later in 2020 or 2021 and a few studios shortened the “release window” between the release of motion pictures in theaters and an alternative delivery method or released motion pictures directly to alternative delivery methods bypassing the theater entirely and this may continue during the COVID-19 Pandemic and after it has subsided.</w:t>
      </w:r>
    </w:p>
    <w:p>
      <w:pPr>
        <w:spacing w:after="0" w:line="68" w:lineRule="exact"/>
        <w:rPr>
          <w:sz w:val="20"/>
          <w:szCs w:val="20"/>
          <w:color w:val="auto"/>
        </w:rPr>
      </w:pPr>
    </w:p>
    <w:p>
      <w:pPr>
        <w:ind w:right="100" w:firstLine="567"/>
        <w:spacing w:after="0" w:line="256" w:lineRule="auto"/>
        <w:rPr>
          <w:sz w:val="20"/>
          <w:szCs w:val="20"/>
          <w:color w:val="auto"/>
        </w:rPr>
      </w:pPr>
      <w:r>
        <w:rPr>
          <w:rFonts w:ascii="Times New Roman" w:cs="Times New Roman" w:eastAsia="Times New Roman" w:hAnsi="Times New Roman"/>
          <w:sz w:val="17"/>
          <w:szCs w:val="17"/>
          <w:color w:val="auto"/>
        </w:rPr>
        <w:t>As a result of the impact of the COVID-19 Pandemic, the Company may not be able to meet certain of its financial covenants within the next twelve months. The Company is actively pursuing and expects to obtain an amendment to its Senior Secured Credit Facility to obtain a waiver to its financial covenants. Until an amendment is obtained, substantial doubt exists about the Company’s ability to continue as a going concern during the next twelve months. If the amendment is not finalized before the completion of the Company’s 2020 annual audit in the first quarter of 2021 and a qualified audit opinion is issued by the Company’s independent auditors at that time, a majority of the lenders could choose to accelerate the debt, which could also result in a cross-default under NCM LLC’s senior notes. Management expects to complete the amendment during the next several months. However, there can be no assurance that NCM LLC will be able to amend the Credit Agreement before the completion of the Company’s 2020 annual audit, or at all.</w:t>
      </w:r>
    </w:p>
    <w:p>
      <w:pPr>
        <w:spacing w:after="0" w:line="93" w:lineRule="exact"/>
        <w:rPr>
          <w:sz w:val="20"/>
          <w:szCs w:val="20"/>
          <w:color w:val="auto"/>
        </w:rPr>
      </w:pPr>
    </w:p>
    <w:p>
      <w:pPr>
        <w:ind w:right="120" w:firstLine="567"/>
        <w:spacing w:after="0" w:line="250" w:lineRule="auto"/>
        <w:rPr>
          <w:sz w:val="20"/>
          <w:szCs w:val="20"/>
          <w:color w:val="auto"/>
        </w:rPr>
      </w:pPr>
      <w:r>
        <w:rPr>
          <w:rFonts w:ascii="Times New Roman" w:cs="Times New Roman" w:eastAsia="Times New Roman" w:hAnsi="Times New Roman"/>
          <w:sz w:val="18"/>
          <w:szCs w:val="18"/>
          <w:color w:val="auto"/>
        </w:rPr>
        <w:t>In response to the COVID-19 Pandemic, we implemented a number of cost-saving measures, described elsewhere in this filing. To prepare for the reopening of theaters and resumption of in theater advertising we began to ease certain of these measures, but as of the date of this filing the revenue generated by our operations has not reached historical levels and 47% of the theaters within our network remain closed. We may not generate sufficient revenue in the short term to cover these increased costs.</w:t>
      </w:r>
    </w:p>
    <w:p>
      <w:pPr>
        <w:spacing w:after="0" w:line="69" w:lineRule="exact"/>
        <w:rPr>
          <w:sz w:val="20"/>
          <w:szCs w:val="20"/>
          <w:color w:val="auto"/>
        </w:rPr>
      </w:pPr>
    </w:p>
    <w:p>
      <w:pPr>
        <w:ind w:right="20" w:firstLine="567"/>
        <w:spacing w:after="0" w:line="254" w:lineRule="auto"/>
        <w:rPr>
          <w:sz w:val="20"/>
          <w:szCs w:val="20"/>
          <w:color w:val="auto"/>
        </w:rPr>
      </w:pPr>
      <w:r>
        <w:rPr>
          <w:rFonts w:ascii="Times New Roman" w:cs="Times New Roman" w:eastAsia="Times New Roman" w:hAnsi="Times New Roman"/>
          <w:sz w:val="18"/>
          <w:szCs w:val="18"/>
          <w:color w:val="auto"/>
        </w:rPr>
        <w:t>The impact, extent and duration of the government-imposed restrictions on travel, public gatherings, other events and business generally, as well as the overall effect of the COVID-19 virus is currently unknown but has had and is continuing to have a material adverse impact on our business, liquidity, financial conditions and/or results of operations. Even when the COVID-19 Pandemic subsides, we cannot guarantee that we will recover as rapidly as other industries as advertising expenditures may remain decreased due to an economic slowdown, consumers may be hesitant to return to theaters or other long-term changes may have impacted the advertising or exhibition industries. We cannot predict when the effects of the COVID-19 Pandemic will subside when all of our theaters will reopen and patrons are comfortable attending, or when our business will return to normal levels. The longer and more severe the pandemic, including repeat or cyclical outbreaks or increases in rates of infection, the more severe the adverse effects will be on our business, liquidity, financial conditions and/or results of operations. Significant impacts on our business caused by the COVID-19 Pandemic and other pandemics include and are likely to continue to include among others:</w:t>
      </w:r>
    </w:p>
    <w:p>
      <w:pPr>
        <w:spacing w:after="0" w:line="80" w:lineRule="exact"/>
        <w:rPr>
          <w:sz w:val="20"/>
          <w:szCs w:val="20"/>
          <w:color w:val="auto"/>
        </w:rPr>
      </w:pPr>
    </w:p>
    <w:p>
      <w:pPr>
        <w:ind w:left="660" w:right="80" w:hanging="328"/>
        <w:spacing w:after="0" w:line="28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attendance in theaters after they reopen, including due to (i) continued safety and health concerns and social distancing requirements or (ii) a change in consumer behavior in favor of alternative forms of entertainment;</w:t>
      </w:r>
    </w:p>
    <w:p>
      <w:pPr>
        <w:spacing w:after="0" w:line="1"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advertisers’ perception of cinema advertising may change based on future attendance, shortened theatrical windows, and potential impacts of film production;</w:t>
      </w:r>
    </w:p>
    <w:p>
      <w:pPr>
        <w:spacing w:after="0" w:line="1" w:lineRule="exact"/>
        <w:rPr>
          <w:rFonts w:ascii="Times New Roman" w:cs="Times New Roman" w:eastAsia="Times New Roman" w:hAnsi="Times New Roman"/>
          <w:sz w:val="18"/>
          <w:szCs w:val="18"/>
          <w:color w:val="auto"/>
        </w:rPr>
      </w:pPr>
    </w:p>
    <w:p>
      <w:pPr>
        <w:ind w:left="660" w:right="260" w:hanging="328"/>
        <w:spacing w:after="0" w:line="28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adverse business impacts, advertisers may be less willing to invest in advertising and may prioritize other types of investment during the COVID-19 Pandemic;</w:t>
      </w:r>
    </w:p>
    <w:p>
      <w:pPr>
        <w:spacing w:after="0" w:line="1" w:lineRule="exact"/>
        <w:rPr>
          <w:rFonts w:ascii="Times New Roman" w:cs="Times New Roman" w:eastAsia="Times New Roman" w:hAnsi="Times New Roman"/>
          <w:sz w:val="18"/>
          <w:szCs w:val="18"/>
          <w:color w:val="auto"/>
        </w:rPr>
      </w:pPr>
    </w:p>
    <w:p>
      <w:pPr>
        <w:ind w:left="660" w:right="300" w:hanging="328"/>
        <w:spacing w:after="0" w:line="28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advertisers may be unwilling to enter into upfront advertising arrangements with us or commit to allocate budgets to cinema advertising due to uncertainty regarding the opening of cinemas, upcoming film releases, and the availability of other advertising options;</w:t>
      </w:r>
    </w:p>
    <w:p>
      <w:pPr>
        <w:spacing w:after="0" w:line="1" w:lineRule="exact"/>
        <w:rPr>
          <w:rFonts w:ascii="Times New Roman" w:cs="Times New Roman" w:eastAsia="Times New Roman" w:hAnsi="Times New Roman"/>
          <w:sz w:val="18"/>
          <w:szCs w:val="18"/>
          <w:color w:val="auto"/>
        </w:rPr>
      </w:pPr>
    </w:p>
    <w:p>
      <w:pPr>
        <w:ind w:left="660" w:right="480" w:hanging="328"/>
        <w:spacing w:after="0" w:line="28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or restructuring of our founding members or other network affiliates in which the agreement with that party may be rejected, renegotiated or deemed unenforceable;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costs without associated revenues during periods where theaters are open but attendance has not reached historical levels;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collect accounts receivable from small business advertisers that have been temporarily or permanently closed;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and delays associated with planned operating and capital expenditures;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 related to employee matters, including increased turnover and litigation and claims relating to furloughs or pay reductions;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2" w:name="page43"/>
    <w:bookmarkEnd w:id="42"/>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impairment charges and additional deferred tax expense related to the increase of valuation allowances on our deferred tax assets;</w:t>
      </w:r>
    </w:p>
    <w:p>
      <w:pPr>
        <w:spacing w:after="0" w:line="63"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business continuity plans in a fast-moving emergency, which could have an adverse effect on our internal controls (potentially giving rise to significant deficiencies or material weaknesses) and also increase our vulnerability to information technology and other systems disruptions;</w:t>
      </w:r>
    </w:p>
    <w:p>
      <w:pPr>
        <w:spacing w:after="0" w:line="13" w:lineRule="exact"/>
        <w:rPr>
          <w:rFonts w:ascii="Times New Roman" w:cs="Times New Roman" w:eastAsia="Times New Roman" w:hAnsi="Times New Roman"/>
          <w:sz w:val="18"/>
          <w:szCs w:val="18"/>
          <w:color w:val="auto"/>
        </w:rPr>
      </w:pPr>
    </w:p>
    <w:p>
      <w:pPr>
        <w:ind w:left="660" w:right="40" w:hanging="328"/>
        <w:spacing w:after="0" w:line="28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significant cash flow from operations, which could lead to a substantial increase in indebtedness and negatively affect our ability to comply with the financial covenants, if applicable, in our debt agreements;</w:t>
      </w:r>
    </w:p>
    <w:p>
      <w:pPr>
        <w:spacing w:after="0" w:line="1" w:lineRule="exact"/>
        <w:rPr>
          <w:rFonts w:ascii="Times New Roman" w:cs="Times New Roman" w:eastAsia="Times New Roman" w:hAnsi="Times New Roman"/>
          <w:sz w:val="18"/>
          <w:szCs w:val="18"/>
          <w:color w:val="auto"/>
        </w:rPr>
      </w:pPr>
    </w:p>
    <w:p>
      <w:pPr>
        <w:ind w:left="660" w:right="420" w:hanging="328"/>
        <w:spacing w:after="0" w:line="28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access lending, capital markets and other sources of liquidity, if needed, on reasonable terms, or at all, or obtain amendments, extensions and waivers;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meet our short- and long-term obligations;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service our existing and future indebtedness.</w:t>
      </w:r>
    </w:p>
    <w:p>
      <w:pPr>
        <w:spacing w:after="0" w:line="171" w:lineRule="exact"/>
        <w:rPr>
          <w:sz w:val="20"/>
          <w:szCs w:val="20"/>
          <w:color w:val="auto"/>
        </w:rPr>
      </w:pPr>
    </w:p>
    <w:p>
      <w:pPr>
        <w:ind w:right="60" w:firstLine="567"/>
        <w:spacing w:after="0" w:line="254" w:lineRule="auto"/>
        <w:rPr>
          <w:sz w:val="20"/>
          <w:szCs w:val="20"/>
          <w:color w:val="auto"/>
        </w:rPr>
      </w:pPr>
      <w:r>
        <w:rPr>
          <w:rFonts w:ascii="Times New Roman" w:cs="Times New Roman" w:eastAsia="Times New Roman" w:hAnsi="Times New Roman"/>
          <w:sz w:val="18"/>
          <w:szCs w:val="18"/>
          <w:color w:val="auto"/>
        </w:rPr>
        <w:t>The spread of COVID-19 has developed into a worldwide health crisis and may have broader macro-economic implications. The United States has experienced significantly increased rates of unemployment and these deteriorating economic conditions, including reduced levels of economic growth and possibly a recession, may extend well beyond the time the spread of infection is contained. Consumers and advertisers may also change their long-term behavior related to perceived risk of infection or health risk, other pandemic fears, quarantines and other restrictions. Many of our clients and prospective clients have experienced significant negative impacts from the COVID-19 Pandemic and have decreased advertising budgets during the COVID-19 Pandemic. Additionally, a significant number of small businesses have temporarily or permanently closed, which may reduce local advertising revenue. The perceived risk of infection or health risk may adversely affect our business, liquidity, financial condition and results of operations even after the COVID-19 Pandemic subsides.</w:t>
      </w:r>
    </w:p>
    <w:p>
      <w:pPr>
        <w:spacing w:after="0" w:line="138" w:lineRule="exact"/>
        <w:rPr>
          <w:sz w:val="20"/>
          <w:szCs w:val="20"/>
          <w:color w:val="auto"/>
        </w:rPr>
      </w:pPr>
    </w:p>
    <w:p>
      <w:pPr>
        <w:ind w:right="80" w:firstLine="567"/>
        <w:spacing w:after="0" w:line="261" w:lineRule="auto"/>
        <w:rPr>
          <w:sz w:val="20"/>
          <w:szCs w:val="20"/>
          <w:color w:val="auto"/>
        </w:rPr>
      </w:pPr>
      <w:r>
        <w:rPr>
          <w:rFonts w:ascii="Times New Roman" w:cs="Times New Roman" w:eastAsia="Times New Roman" w:hAnsi="Times New Roman"/>
          <w:sz w:val="18"/>
          <w:szCs w:val="18"/>
          <w:color w:val="auto"/>
        </w:rPr>
        <w:t>To the extent the COVID-19 Pandemic adversely affects our business and financial results, it may also have the effect of heightening many of the other risks described herein and in the “Risk Factors” section of our annual report on Form 10-K for the fiscal year ended December 26, 2019 and our quarterly report on Form 10-Q for the quarter ended March 26, 2020, including but not limited to those relating to NCM LLC’s high level of indebtedness, the risks associated with the loss of major content partners or advertising clients, and reductions in spending on advertising.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Unregistered Sales of Equity Securities and Use of Proceeds</w:t>
      </w:r>
    </w:p>
    <w:p>
      <w:pPr>
        <w:spacing w:after="0" w:line="175" w:lineRule="exact"/>
        <w:rPr>
          <w:sz w:val="20"/>
          <w:szCs w:val="20"/>
          <w:color w:val="auto"/>
        </w:rPr>
      </w:pPr>
    </w:p>
    <w:p>
      <w:pPr>
        <w:ind w:right="220" w:firstLine="526"/>
        <w:spacing w:after="0" w:line="282" w:lineRule="auto"/>
        <w:rPr>
          <w:sz w:val="20"/>
          <w:szCs w:val="20"/>
          <w:color w:val="auto"/>
        </w:rPr>
      </w:pPr>
      <w:r>
        <w:rPr>
          <w:rFonts w:ascii="Times New Roman" w:cs="Times New Roman" w:eastAsia="Times New Roman" w:hAnsi="Times New Roman"/>
          <w:sz w:val="18"/>
          <w:szCs w:val="18"/>
          <w:color w:val="auto"/>
        </w:rPr>
        <w:t>The table below provides information about shares delivered to the Company from restricted stock held by Company employees upon vesting for purpose of funding the recipient’s tax withholding obligations.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(or Approximate</w:t>
            </w: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4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2380" w:type="dxa"/>
            <w:vAlign w:val="bottom"/>
            <w:gridSpan w:val="2"/>
            <w:vMerge w:val="restart"/>
          </w:tcPr>
          <w:p>
            <w:pPr>
              <w:jc w:val="center"/>
              <w:ind w:left="657"/>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20" w:type="dxa"/>
            <w:vAlign w:val="bottom"/>
          </w:tcPr>
          <w:p>
            <w:pPr>
              <w:spacing w:after="0"/>
              <w:rPr>
                <w:sz w:val="11"/>
                <w:szCs w:val="11"/>
                <w:color w:val="auto"/>
              </w:rPr>
            </w:pPr>
          </w:p>
        </w:tc>
        <w:tc>
          <w:tcPr>
            <w:tcW w:w="14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5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4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Shares that may yet</w:t>
            </w:r>
          </w:p>
        </w:tc>
        <w:tc>
          <w:tcPr>
            <w:tcW w:w="0" w:type="dxa"/>
            <w:vAlign w:val="bottom"/>
          </w:tcPr>
          <w:p>
            <w:pPr>
              <w:spacing w:after="0"/>
              <w:rPr>
                <w:sz w:val="1"/>
                <w:szCs w:val="1"/>
                <w:color w:val="auto"/>
              </w:rPr>
            </w:pPr>
          </w:p>
        </w:tc>
      </w:tr>
      <w:tr>
        <w:trPr>
          <w:trHeight w:val="135"/>
        </w:trPr>
        <w:tc>
          <w:tcPr>
            <w:tcW w:w="4320" w:type="dxa"/>
            <w:vAlign w:val="bottom"/>
            <w:vMerge w:val="restart"/>
          </w:tcPr>
          <w:p>
            <w:pPr>
              <w:ind w:left="23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3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4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be Purchased under</w:t>
            </w:r>
          </w:p>
        </w:tc>
        <w:tc>
          <w:tcPr>
            <w:tcW w:w="0" w:type="dxa"/>
            <w:vAlign w:val="bottom"/>
          </w:tcPr>
          <w:p>
            <w:pPr>
              <w:spacing w:after="0"/>
              <w:rPr>
                <w:sz w:val="1"/>
                <w:szCs w:val="1"/>
                <w:color w:val="auto"/>
              </w:rPr>
            </w:pPr>
          </w:p>
        </w:tc>
      </w:tr>
      <w:tr>
        <w:trPr>
          <w:trHeight w:val="189"/>
        </w:trPr>
        <w:tc>
          <w:tcPr>
            <w:tcW w:w="4320" w:type="dxa"/>
            <w:vAlign w:val="bottom"/>
            <w:vMerge w:val="continue"/>
          </w:tcPr>
          <w:p>
            <w:pPr>
              <w:spacing w:after="0"/>
              <w:rPr>
                <w:sz w:val="16"/>
                <w:szCs w:val="16"/>
                <w:color w:val="auto"/>
              </w:rPr>
            </w:pPr>
          </w:p>
        </w:tc>
        <w:tc>
          <w:tcPr>
            <w:tcW w:w="2380" w:type="dxa"/>
            <w:vAlign w:val="bottom"/>
            <w:gridSpan w:val="2"/>
          </w:tcPr>
          <w:p>
            <w:pPr>
              <w:jc w:val="center"/>
              <w:ind w:left="657"/>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Plans or Programs</w:t>
            </w:r>
          </w:p>
        </w:tc>
        <w:tc>
          <w:tcPr>
            <w:tcW w:w="0" w:type="dxa"/>
            <w:vAlign w:val="bottom"/>
          </w:tcPr>
          <w:p>
            <w:pPr>
              <w:spacing w:after="0"/>
              <w:rPr>
                <w:sz w:val="1"/>
                <w:szCs w:val="1"/>
                <w:color w:val="auto"/>
              </w:rPr>
            </w:pPr>
          </w:p>
        </w:tc>
      </w:tr>
      <w:tr>
        <w:trPr>
          <w:trHeight w:val="223"/>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26, 2020 through July 23, 2020</w:t>
            </w: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24, 2020 through August 27, 2020</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9"/>
                <w:szCs w:val="19"/>
                <w:color w:val="auto"/>
              </w:rPr>
            </w:pP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28, 2020 through September 24, 2020</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Defaults Upon Senior Securities</w:t>
      </w:r>
    </w:p>
    <w:p>
      <w:pPr>
        <w:spacing w:after="0" w:line="17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Mine Safety Disclosures</w:t>
      </w:r>
    </w:p>
    <w:p>
      <w:pPr>
        <w:spacing w:after="0" w:line="17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u w:val="single" w:color="auto"/>
          <w:color w:val="auto"/>
        </w:rPr>
        <w:t>Other Information</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u w:val="single" w:color="auto"/>
          <w:color w:val="auto"/>
        </w:rPr>
        <w:t>Exhibits</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6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r>
      <w:tr>
        <w:trPr>
          <w:trHeight w:val="40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6780" w:type="dxa"/>
            <w:vAlign w:val="bottom"/>
            <w:gridSpan w:val="2"/>
          </w:tcPr>
          <w:p>
            <w:pPr>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Form of 2020 Restricted Stock Unit Agreement (Performance Based). +</w:t>
              </w:r>
            </w:hyperlink>
          </w:p>
        </w:tc>
      </w:tr>
      <w:tr>
        <w:trPr>
          <w:trHeight w:val="23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2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6780" w:type="dxa"/>
            <w:vAlign w:val="bottom"/>
            <w:gridSpan w:val="2"/>
          </w:tcPr>
          <w:p>
            <w:pPr>
              <w:spacing w:after="0"/>
              <w:rPr>
                <w:rFonts w:ascii="Times New Roman" w:cs="Times New Roman" w:eastAsia="Times New Roman" w:hAnsi="Times New Roman"/>
                <w:sz w:val="18"/>
                <w:szCs w:val="18"/>
                <w:u w:val="single" w:color="auto"/>
                <w:color w:val="0000FF"/>
              </w:rPr>
            </w:pPr>
            <w:hyperlink w:anchor="page50">
              <w:r>
                <w:rPr>
                  <w:rFonts w:ascii="Times New Roman" w:cs="Times New Roman" w:eastAsia="Times New Roman" w:hAnsi="Times New Roman"/>
                  <w:sz w:val="18"/>
                  <w:szCs w:val="18"/>
                  <w:u w:val="single" w:color="auto"/>
                  <w:color w:val="0000FF"/>
                </w:rPr>
                <w:t>Rule 13a-14(a) Certification of Chief Executive Officer and Interim PFO.</w:t>
              </w:r>
            </w:hyperlink>
          </w:p>
        </w:tc>
      </w:tr>
      <w:tr>
        <w:trPr>
          <w:trHeight w:val="229"/>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2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6780" w:type="dxa"/>
            <w:vAlign w:val="bottom"/>
            <w:gridSpan w:val="2"/>
          </w:tcPr>
          <w:p>
            <w:pPr>
              <w:spacing w:after="0"/>
              <w:rPr>
                <w:rFonts w:ascii="Times New Roman" w:cs="Times New Roman" w:eastAsia="Times New Roman" w:hAnsi="Times New Roman"/>
                <w:sz w:val="18"/>
                <w:szCs w:val="18"/>
                <w:color w:val="0000FF"/>
                <w:w w:val="99"/>
              </w:rPr>
            </w:pPr>
            <w:hyperlink w:anchor="page51">
              <w:r>
                <w:rPr>
                  <w:rFonts w:ascii="Times New Roman" w:cs="Times New Roman" w:eastAsia="Times New Roman" w:hAnsi="Times New Roman"/>
                  <w:sz w:val="18"/>
                  <w:szCs w:val="18"/>
                  <w:u w:val="single" w:color="auto"/>
                  <w:color w:val="0000FF"/>
                  <w:w w:val="99"/>
                </w:rPr>
                <w:t>Certification of Chief Executive Officer and Interim PFO Pursuant to 18 U.S.C. Section 1350</w:t>
              </w:r>
              <w:r>
                <w:rPr>
                  <w:rFonts w:ascii="Times New Roman" w:cs="Times New Roman" w:eastAsia="Times New Roman" w:hAnsi="Times New Roman"/>
                  <w:sz w:val="18"/>
                  <w:szCs w:val="18"/>
                  <w:color w:val="0000FF"/>
                  <w:w w:val="99"/>
                </w:rPr>
                <w:t>.</w:t>
              </w:r>
            </w:hyperlink>
          </w:p>
        </w:tc>
      </w:tr>
      <w:tr>
        <w:trPr>
          <w:trHeight w:val="230"/>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29"/>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29"/>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30"/>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29"/>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0" w:lineRule="exact"/>
        <w:rPr>
          <w:sz w:val="20"/>
          <w:szCs w:val="20"/>
          <w:color w:val="auto"/>
        </w:rPr>
      </w:pPr>
    </w:p>
    <w:p>
      <w:pPr>
        <w:spacing w:after="0" w:line="2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00" w:lineRule="exact"/>
        <w:rPr>
          <w:sz w:val="20"/>
          <w:szCs w:val="20"/>
          <w:color w:val="auto"/>
        </w:rPr>
      </w:pPr>
    </w:p>
    <w:p>
      <w:pPr>
        <w:spacing w:after="0" w:line="228" w:lineRule="exact"/>
        <w:rPr>
          <w:sz w:val="20"/>
          <w:szCs w:val="20"/>
          <w:color w:val="auto"/>
        </w:rPr>
      </w:pPr>
    </w:p>
    <w:p>
      <w:pPr>
        <w:ind w:left="820" w:hanging="794"/>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820" w:hanging="794"/>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3" w:lineRule="exact"/>
        <w:rPr>
          <w:sz w:val="20"/>
          <w:szCs w:val="20"/>
          <w:color w:val="auto"/>
        </w:rPr>
      </w:pPr>
    </w:p>
    <w:p>
      <w:pPr>
        <w:ind w:left="820" w:hanging="794"/>
        <w:spacing w:after="0"/>
        <w:tabs>
          <w:tab w:leader="none" w:pos="82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Management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87" w:right="1440"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40" w:firstLine="52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NATIONAL CINEMEDIA, INC.</w:t>
            </w:r>
          </w:p>
        </w:tc>
      </w:tr>
      <w:tr>
        <w:trPr>
          <w:trHeight w:val="234"/>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499"/>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5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November 2, 2020</w:t>
            </w: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Thomas F. Lesinski</w:t>
            </w:r>
          </w:p>
        </w:tc>
      </w:tr>
      <w:tr>
        <w:trPr>
          <w:trHeight w:val="216"/>
        </w:trPr>
        <w:tc>
          <w:tcPr>
            <w:tcW w:w="580" w:type="dxa"/>
            <w:vAlign w:val="bottom"/>
            <w:tcBorders>
              <w:top w:val="single" w:sz="8" w:color="auto"/>
            </w:tcBorders>
          </w:tcPr>
          <w:p>
            <w:pPr>
              <w:spacing w:after="0"/>
              <w:rPr>
                <w:sz w:val="18"/>
                <w:szCs w:val="18"/>
                <w:color w:val="auto"/>
              </w:rPr>
            </w:pPr>
          </w:p>
        </w:tc>
        <w:tc>
          <w:tcPr>
            <w:tcW w:w="504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4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Thomas F. Lesinski</w:t>
            </w:r>
          </w:p>
        </w:tc>
      </w:tr>
      <w:tr>
        <w:trPr>
          <w:trHeight w:val="230"/>
        </w:trPr>
        <w:tc>
          <w:tcPr>
            <w:tcW w:w="58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tc>
      </w:tr>
      <w:tr>
        <w:trPr>
          <w:trHeight w:val="182"/>
        </w:trPr>
        <w:tc>
          <w:tcPr>
            <w:tcW w:w="58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9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(Principal Executive Officer and Interim Principal Financial</w:t>
            </w:r>
          </w:p>
        </w:tc>
      </w:tr>
      <w:tr>
        <w:trPr>
          <w:trHeight w:val="236"/>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887" w:right="339" w:bottom="1440" w:gutter="0" w:footer="0" w:header="0"/>
        </w:sectPr>
      </w:pPr>
    </w:p>
    <w:bookmarkStart w:id="45" w:name="page46"/>
    <w:bookmarkEnd w:id="45"/>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NATIONAL CINEMEDIA, INC. 2020 OMNIBUS INCENTIVE PLAN</w:t>
      </w:r>
    </w:p>
    <w:p>
      <w:pPr>
        <w:spacing w:after="0" w:line="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20XX PERFORMANCE-BASED RESTRICTED STOCK UNIT AGREEMENT</w:t>
      </w:r>
    </w:p>
    <w:p>
      <w:pPr>
        <w:spacing w:after="0" w:line="20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b w:val="1"/>
          <w:bCs w:val="1"/>
          <w:color w:val="auto"/>
        </w:rPr>
        <w:t>Performance Period: Fiscal Year [___] - Fiscal Year [____]</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Compensation Committee of the Board of Directors of National CineMedia, Inc., a Delaware corporation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granted an award of Performance-Based Restricted Stock Units under the National CineMedia, Inc. 2020 Omnibus</w:t>
      </w:r>
    </w:p>
    <w:p>
      <w:pPr>
        <w:spacing w:after="0" w:line="231" w:lineRule="auto"/>
        <w:rPr>
          <w:sz w:val="20"/>
          <w:szCs w:val="20"/>
          <w:color w:val="auto"/>
        </w:rPr>
      </w:pPr>
      <w:r>
        <w:rPr>
          <w:rFonts w:ascii="Times New Roman" w:cs="Times New Roman" w:eastAsia="Times New Roman" w:hAnsi="Times New Roman"/>
          <w:sz w:val="22"/>
          <w:szCs w:val="22"/>
          <w:color w:val="auto"/>
        </w:rPr>
        <w:t>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to the Grantee named below. This Performance- Based Restricted Stock Unit Agreement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evidences the terms of the Company’s grant of Restricted Stock Units, each representing the right to receive one</w:t>
      </w:r>
    </w:p>
    <w:p>
      <w:pPr>
        <w:spacing w:after="0" w:line="231" w:lineRule="auto"/>
        <w:rPr>
          <w:sz w:val="20"/>
          <w:szCs w:val="20"/>
          <w:color w:val="auto"/>
        </w:rPr>
      </w:pPr>
      <w:r>
        <w:rPr>
          <w:rFonts w:ascii="Times New Roman" w:cs="Times New Roman" w:eastAsia="Times New Roman" w:hAnsi="Times New Roman"/>
          <w:sz w:val="22"/>
          <w:szCs w:val="22"/>
          <w:color w:val="auto"/>
        </w:rPr>
        <w:t>share of the Company’s Common Stock, on the terms and subject to the conditions set forth herein and in the Plan.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capitalized term in this Agreement shall have the meaning assigned to it in this Agreement or in the Plan, as applicable.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 NOTICE OF GRANT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Name of Grantee: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Target Number of Restricted Stock Units:</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Grant Date:</w:t>
      </w:r>
    </w:p>
    <w:p>
      <w:pPr>
        <w:spacing w:after="0" w:line="1" w:lineRule="exact"/>
        <w:rPr>
          <w:sz w:val="20"/>
          <w:szCs w:val="20"/>
          <w:color w:val="auto"/>
        </w:rPr>
      </w:pPr>
    </w:p>
    <w:p>
      <w:pPr>
        <w:ind w:right="620"/>
        <w:spacing w:after="0" w:line="237" w:lineRule="auto"/>
        <w:rPr>
          <w:sz w:val="20"/>
          <w:szCs w:val="20"/>
          <w:color w:val="auto"/>
        </w:rPr>
      </w:pPr>
      <w:r>
        <w:rPr>
          <w:rFonts w:ascii="Times New Roman" w:cs="Times New Roman" w:eastAsia="Times New Roman" w:hAnsi="Times New Roman"/>
          <w:sz w:val="22"/>
          <w:szCs w:val="22"/>
          <w:b w:val="1"/>
          <w:bCs w:val="1"/>
          <w:color w:val="auto"/>
        </w:rPr>
        <w:t>Vesting Schedule of Restricted Stock Units</w:t>
      </w:r>
      <w:r>
        <w:rPr>
          <w:rFonts w:ascii="Times New Roman" w:cs="Times New Roman" w:eastAsia="Times New Roman" w:hAnsi="Times New Roman"/>
          <w:sz w:val="22"/>
          <w:szCs w:val="22"/>
          <w:color w:val="auto"/>
        </w:rPr>
        <w:t>: The Performance-Based Restricted Stock Units shall vest as follows: [insert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performance-based vesting metrics]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 RESTRICTED STOCK UNIT AGREEMENT</w:t>
      </w:r>
    </w:p>
    <w:p>
      <w:pPr>
        <w:spacing w:after="0" w:line="233" w:lineRule="exact"/>
        <w:rPr>
          <w:sz w:val="20"/>
          <w:szCs w:val="20"/>
          <w:color w:val="auto"/>
        </w:rPr>
      </w:pPr>
    </w:p>
    <w:p>
      <w:pPr>
        <w:ind w:firstLine="8"/>
        <w:spacing w:after="0" w:line="234" w:lineRule="auto"/>
        <w:tabs>
          <w:tab w:leader="none" w:pos="216"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b w:val="1"/>
          <w:bCs w:val="1"/>
          <w:color w:val="auto"/>
        </w:rPr>
        <w:t>rant of Restricted Stock Units.</w:t>
      </w:r>
      <w:r>
        <w:rPr>
          <w:rFonts w:ascii="Times New Roman" w:cs="Times New Roman" w:eastAsia="Times New Roman" w:hAnsi="Times New Roman"/>
          <w:sz w:val="22"/>
          <w:szCs w:val="22"/>
          <w:color w:val="auto"/>
        </w:rPr>
        <w:t xml:space="preserve"> Subject to the terms and conditions of this Agreement and the Plan, the Company granted to Grantee the number of Restricted Stock Units set forth in the Notice of Grant, effective on the Grant Date set forth in the Notice of Grant, and subject to the terms and conditions of the Plan, which is incorporated herein by reference. Each Restricted Stock Unit represents the right to receive one share of Common Stock, on the terms and subject to the conditions set forth in this Agreement and the Plan. In the event of a conflict between the terms and conditions of the Plan and this Agreement, the terms and conditions of the Plan shall govern.</w:t>
      </w:r>
    </w:p>
    <w:p>
      <w:pPr>
        <w:spacing w:after="0" w:line="6" w:lineRule="exact"/>
        <w:rPr>
          <w:rFonts w:ascii="Times New Roman" w:cs="Times New Roman" w:eastAsia="Times New Roman" w:hAnsi="Times New Roman"/>
          <w:sz w:val="22"/>
          <w:szCs w:val="22"/>
          <w:b w:val="1"/>
          <w:bCs w:val="1"/>
          <w:color w:val="auto"/>
        </w:rPr>
      </w:pPr>
    </w:p>
    <w:p>
      <w:pPr>
        <w:ind w:firstLine="8"/>
        <w:spacing w:after="0" w:line="230" w:lineRule="auto"/>
        <w:tabs>
          <w:tab w:leader="none" w:pos="216"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Transfer Restrictions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shall not sell, transfer, assign, pledge or otherwise encumber or dispose of, by operation of law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otherwise, the Restricted Stock Units.</w:t>
      </w:r>
    </w:p>
    <w:p>
      <w:pPr>
        <w:spacing w:after="0" w:line="1" w:lineRule="exact"/>
        <w:rPr>
          <w:rFonts w:ascii="Times New Roman" w:cs="Times New Roman" w:eastAsia="Times New Roman" w:hAnsi="Times New Roman"/>
          <w:sz w:val="22"/>
          <w:szCs w:val="22"/>
          <w:b w:val="1"/>
          <w:bCs w:val="1"/>
          <w:color w:val="auto"/>
        </w:rPr>
      </w:pPr>
    </w:p>
    <w:p>
      <w:pPr>
        <w:ind w:right="120" w:firstLine="8"/>
        <w:spacing w:after="0" w:line="232" w:lineRule="auto"/>
        <w:tabs>
          <w:tab w:leader="none" w:pos="216"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 Lapse of Restrictions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period between the Grant Date and the final Vesting Date is referred to as the “</w:t>
      </w:r>
      <w:r>
        <w:rPr>
          <w:rFonts w:ascii="Times New Roman" w:cs="Times New Roman" w:eastAsia="Times New Roman" w:hAnsi="Times New Roman"/>
          <w:sz w:val="22"/>
          <w:szCs w:val="22"/>
          <w:b w:val="1"/>
          <w:bCs w:val="1"/>
          <w:color w:val="auto"/>
        </w:rPr>
        <w:t>Vesting Period</w:t>
      </w:r>
      <w:r>
        <w:rPr>
          <w:rFonts w:ascii="Times New Roman" w:cs="Times New Roman" w:eastAsia="Times New Roman" w:hAnsi="Times New Roman"/>
          <w:sz w:val="22"/>
          <w:szCs w:val="22"/>
          <w:color w:val="auto"/>
        </w:rPr>
        <w:t>.” Except as provided otherwise in this Agreement and the Plan (including but not limited to Section 10(c) of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provides for accelerated vesting upon certain terminations in connection with a Change of Control), if the applicable performance metrics set forth in the Notice of Grant have been achieved and the Grantee has been in continuous service to the Company or another entity the service providers of which are eligible to receive Awards under the Plan from the Grant Date through the applicable Vesting Date as an employee, director, consultant or advisor (herein referred to as “</w:t>
      </w:r>
      <w:r>
        <w:rPr>
          <w:rFonts w:ascii="Times New Roman" w:cs="Times New Roman" w:eastAsia="Times New Roman" w:hAnsi="Times New Roman"/>
          <w:sz w:val="22"/>
          <w:szCs w:val="22"/>
          <w:b w:val="1"/>
          <w:bCs w:val="1"/>
          <w:color w:val="auto"/>
        </w:rPr>
        <w:t>Service</w:t>
      </w:r>
      <w:r>
        <w:rPr>
          <w:rFonts w:ascii="Times New Roman" w:cs="Times New Roman" w:eastAsia="Times New Roman" w:hAnsi="Times New Roman"/>
          <w:sz w:val="22"/>
          <w:szCs w:val="22"/>
          <w:color w:val="auto"/>
        </w:rPr>
        <w:t>”), the Restricted Stock Units shall vest as set forth on the Vesting Schedule in the Notice of Grant. As soon as practicable after the Vesting Date and in all events no later than March 15 of the calendar year following the calendar year in which the Vesting Date occurs, the Company will issue to the Grantee the shares of Common Stock subject to the Restricted Stock Units that vested on such Vesting Date. Only following the issuance of the shares of Common Stock to the</w:t>
      </w:r>
    </w:p>
    <w:p>
      <w:pPr>
        <w:sectPr>
          <w:pgSz w:w="11900" w:h="16838" w:orient="portrait"/>
          <w:cols w:equalWidth="0" w:num="1">
            <w:col w:w="11200"/>
          </w:cols>
          <w:pgMar w:left="320" w:top="1404" w:right="379" w:bottom="1440" w:gutter="0" w:footer="0" w:header="0"/>
        </w:sectPr>
      </w:pPr>
    </w:p>
    <w:bookmarkStart w:id="46" w:name="page47"/>
    <w:bookmarkEnd w:id="46"/>
    <w:p>
      <w:pPr>
        <w:ind w:right="800"/>
        <w:spacing w:after="0" w:line="241" w:lineRule="auto"/>
        <w:rPr>
          <w:sz w:val="20"/>
          <w:szCs w:val="20"/>
          <w:color w:val="auto"/>
        </w:rPr>
      </w:pPr>
      <w:r>
        <w:rPr>
          <w:rFonts w:ascii="Times New Roman" w:cs="Times New Roman" w:eastAsia="Times New Roman" w:hAnsi="Times New Roman"/>
          <w:sz w:val="22"/>
          <w:szCs w:val="22"/>
          <w:color w:val="auto"/>
        </w:rPr>
        <w:t>Grantee may the Grantee transfer the shares of Common Stock (subject to applicable securities law requirements and the Company’s policies and procedures).</w:t>
      </w:r>
    </w:p>
    <w:p>
      <w:pPr>
        <w:spacing w:after="0" w:line="2" w:lineRule="exact"/>
        <w:rPr>
          <w:sz w:val="20"/>
          <w:szCs w:val="20"/>
          <w:color w:val="auto"/>
        </w:rPr>
      </w:pPr>
    </w:p>
    <w:p>
      <w:pPr>
        <w:ind w:right="60" w:firstLine="8"/>
        <w:spacing w:after="0" w:line="241" w:lineRule="auto"/>
        <w:tabs>
          <w:tab w:leader="none" w:pos="216" w:val="left"/>
        </w:tabs>
        <w:numPr>
          <w:ilvl w:val="0"/>
          <w:numId w:val="2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Termination of Service</w:t>
      </w:r>
      <w:r>
        <w:rPr>
          <w:rFonts w:ascii="Times New Roman" w:cs="Times New Roman" w:eastAsia="Times New Roman" w:hAnsi="Times New Roman"/>
          <w:sz w:val="21"/>
          <w:szCs w:val="21"/>
          <w:color w:val="auto"/>
        </w:rPr>
        <w:t>. If Grantee terminates Service prior to the Vesting Date on account of death, becoming disabled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defined in Section 409A of the Internal Revenue Code), or termination by the Company other than for Cause, Grantee shall be entitled to retain a percentage of the target number of Restricted Stock Units (the “</w:t>
      </w:r>
      <w:r>
        <w:rPr>
          <w:rFonts w:ascii="Times New Roman" w:cs="Times New Roman" w:eastAsia="Times New Roman" w:hAnsi="Times New Roman"/>
          <w:sz w:val="21"/>
          <w:szCs w:val="21"/>
          <w:b w:val="1"/>
          <w:bCs w:val="1"/>
          <w:color w:val="auto"/>
        </w:rPr>
        <w:t>Retained Units</w:t>
      </w:r>
      <w:r>
        <w:rPr>
          <w:rFonts w:ascii="Times New Roman" w:cs="Times New Roman" w:eastAsia="Times New Roman" w:hAnsi="Times New Roman"/>
          <w:sz w:val="21"/>
          <w:szCs w:val="21"/>
          <w:color w:val="auto"/>
        </w:rPr>
        <w:t>”) equal to the ratio that the number of days of Service of Grantee during the Vesting Period bears to the total number of days in the Vesting Period (less any previously vested Restricted Stock Units). The Retained Units shall vest in accordance with the Vesting Schedules set forth in the Notice of Grant as though the Retained Units were the target number of Restricted Stock Units set forth in the Notice of Grant and the remaining Restricted Stock Units shall be forfeited upon Grantee’s termination of Service. If Grantee terminates Service prior to the Vesting Date as a result of termination by the Company for Cause or voluntary termination by Grantee, all Restricted Stock Units shall be forfeited upon Grantee’s termination of Service and Grantee shall have no further rights thereto. Section 10(c) of the Plan provides for accelerated vesting with respect to certain terminations in connection with a Change of Control.</w:t>
      </w:r>
    </w:p>
    <w:p>
      <w:pPr>
        <w:spacing w:after="0" w:line="5" w:lineRule="exact"/>
        <w:rPr>
          <w:rFonts w:ascii="Times New Roman" w:cs="Times New Roman" w:eastAsia="Times New Roman" w:hAnsi="Times New Roman"/>
          <w:sz w:val="21"/>
          <w:szCs w:val="21"/>
          <w:b w:val="1"/>
          <w:bCs w:val="1"/>
          <w:color w:val="auto"/>
        </w:rPr>
      </w:pPr>
    </w:p>
    <w:p>
      <w:pPr>
        <w:ind w:right="120" w:firstLine="8"/>
        <w:spacing w:after="0" w:line="230" w:lineRule="auto"/>
        <w:tabs>
          <w:tab w:leader="none" w:pos="216"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Leave of Absence</w:t>
      </w:r>
      <w:r>
        <w:rPr>
          <w:rFonts w:ascii="Times New Roman" w:cs="Times New Roman" w:eastAsia="Times New Roman" w:hAnsi="Times New Roman"/>
          <w:sz w:val="22"/>
          <w:szCs w:val="22"/>
          <w:color w:val="auto"/>
        </w:rPr>
        <w:t>. For purposes of the Restricted Stock Units, Service does not terminate when Grantee goes on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leave of absence that was approved by the Company or an affiliate in writing, if the terms of the leave provide for continued Service crediting, or when continued Service crediting is required by applicable law. However, Service will be treated as terminating 90 days after Grantee went on the approved leave, unless Grantee’s right to return to active work is guaranteed by law or by a contract. Service terminates in any event when the approved leave ends unless Grantee immediately returns to active Service. The Compensation Committee determines, in its sole discretion, which leaves of absence count for this purpose, and when Service terminates for all purposes under the Plan.</w:t>
      </w:r>
    </w:p>
    <w:p>
      <w:pPr>
        <w:spacing w:after="0" w:line="3" w:lineRule="exact"/>
        <w:rPr>
          <w:rFonts w:ascii="Times New Roman" w:cs="Times New Roman" w:eastAsia="Times New Roman" w:hAnsi="Times New Roman"/>
          <w:sz w:val="22"/>
          <w:szCs w:val="22"/>
          <w:b w:val="1"/>
          <w:bCs w:val="1"/>
          <w:color w:val="auto"/>
        </w:rPr>
      </w:pPr>
    </w:p>
    <w:p>
      <w:pPr>
        <w:ind w:firstLine="8"/>
        <w:spacing w:after="0" w:line="230" w:lineRule="auto"/>
        <w:tabs>
          <w:tab w:leader="none" w:pos="216"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Dividends</w:t>
      </w:r>
      <w:r>
        <w:rPr>
          <w:rFonts w:ascii="Times New Roman" w:cs="Times New Roman" w:eastAsia="Times New Roman" w:hAnsi="Times New Roman"/>
          <w:sz w:val="22"/>
          <w:szCs w:val="22"/>
          <w:color w:val="auto"/>
        </w:rPr>
        <w:t>. During the period between the Grant Date and the Vesting Date, the Company shall accrue an amount equal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regular, special and extraordinary cash dividends declared and paid with respect to each share of Common Stock underlying the Restricted Stock Units which amount shall be retained by the Company and shall be subject to the same vesting requirements as specified in the Notice of Grant above. Any accrued dividend equivalents to which Grantee becomes entitled upon vesting on the Vesting Date shall be paid to Grantee as soon as practicable following the Vesting Date, but in no event later than March 15 of the calendar year following the calendar year in which the Restricted Stock Units vest.</w:t>
      </w:r>
    </w:p>
    <w:p>
      <w:pPr>
        <w:spacing w:after="0" w:line="3" w:lineRule="exact"/>
        <w:rPr>
          <w:rFonts w:ascii="Times New Roman" w:cs="Times New Roman" w:eastAsia="Times New Roman" w:hAnsi="Times New Roman"/>
          <w:sz w:val="22"/>
          <w:szCs w:val="22"/>
          <w:b w:val="1"/>
          <w:bCs w:val="1"/>
          <w:color w:val="auto"/>
        </w:rPr>
      </w:pPr>
    </w:p>
    <w:p>
      <w:pPr>
        <w:ind w:right="120" w:firstLine="8"/>
        <w:spacing w:after="0" w:line="232" w:lineRule="auto"/>
        <w:tabs>
          <w:tab w:leader="none" w:pos="216"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 Withholding</w:t>
      </w:r>
      <w:r>
        <w:rPr>
          <w:rFonts w:ascii="Times New Roman" w:cs="Times New Roman" w:eastAsia="Times New Roman" w:hAnsi="Times New Roman"/>
          <w:sz w:val="22"/>
          <w:szCs w:val="22"/>
          <w:color w:val="auto"/>
        </w:rPr>
        <w:t>. The Company or any affiliate shall have the right to deduct from payments of any kind otherwise due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any federal, state, local or foreign taxes of any kind required by law to be withheld upon the issuance, vesting or payment of any shares of Common Stock upon the vesting of the Restricted Stock Units or the payment of dividend equivalents. By accepting this Agreement, Grantee hereby authorizes the Company to withhold from the number of shares of Common Stock that would otherwise be issued to Grantee upon vesting of the Restricted Stock Units a number of whole shares of Common Stock having a fair market value equal to the Company’s required tax withholding with respect to the Award and to deduct any remaining amount due from any payments due to Grantee. Any shares of Common Stock withheld shall have an aggregate fair market value not in excess of the minimum statutory total tax withholding obligation. The fair market value of the shares of Common Stock used to satisfy the withholding obligation shall be determined by the Company as of the date that the amount of tax to be withheld is to be determined. Shares of Common Stock used to satisfy any</w:t>
      </w:r>
    </w:p>
    <w:p>
      <w:pPr>
        <w:sectPr>
          <w:pgSz w:w="11900" w:h="16838" w:orient="portrait"/>
          <w:cols w:equalWidth="0" w:num="1">
            <w:col w:w="11240"/>
          </w:cols>
          <w:pgMar w:left="320" w:top="1408" w:right="339" w:bottom="1440" w:gutter="0" w:footer="0" w:header="0"/>
        </w:sectPr>
      </w:pPr>
    </w:p>
    <w:bookmarkStart w:id="47" w:name="page48"/>
    <w:bookmarkEnd w:id="47"/>
    <w:p>
      <w:pPr>
        <w:spacing w:after="0" w:line="233" w:lineRule="auto"/>
        <w:rPr>
          <w:sz w:val="20"/>
          <w:szCs w:val="20"/>
          <w:color w:val="auto"/>
        </w:rPr>
      </w:pPr>
      <w:r>
        <w:rPr>
          <w:rFonts w:ascii="Times New Roman" w:cs="Times New Roman" w:eastAsia="Times New Roman" w:hAnsi="Times New Roman"/>
          <w:sz w:val="22"/>
          <w:szCs w:val="22"/>
          <w:color w:val="auto"/>
        </w:rPr>
        <w:t>tax withholding obligation must be vested and cannot be subject to any repurchase, forfeiture, or other similar requirements. Notwithstanding the foregoing, in lieu of share withholding, Grantee may irrevocably elect to satisfy the required tax withholding obligation by delivering a cashier’s check or other check or wire transfer acceptable to the Company in the amount determined by the Company to satisfy the required tax withholding obligation. Any election to deliver a check / wire transfer shall be indicated within Solium (</w:t>
      </w:r>
      <w:r>
        <w:rPr>
          <w:rFonts w:ascii="Times New Roman" w:cs="Times New Roman" w:eastAsia="Times New Roman" w:hAnsi="Times New Roman"/>
          <w:sz w:val="22"/>
          <w:szCs w:val="22"/>
          <w:u w:val="single" w:color="auto"/>
          <w:color w:val="0000FF"/>
        </w:rPr>
        <w:t>https://shareworks.solium.com</w:t>
      </w:r>
      <w:r>
        <w:rPr>
          <w:rFonts w:ascii="Times New Roman" w:cs="Times New Roman" w:eastAsia="Times New Roman" w:hAnsi="Times New Roman"/>
          <w:sz w:val="22"/>
          <w:szCs w:val="22"/>
          <w:color w:val="auto"/>
        </w:rPr>
        <w:t>) or any vendor replacement for Solium as designated by the Company and communicated to the Financial Reporting team prior to the vesting of the grant and shall be subject to any restrictions or limitations that the Company, in its sole discretion, deems appropriate.</w:t>
      </w:r>
    </w:p>
    <w:p>
      <w:pPr>
        <w:spacing w:after="0" w:line="6" w:lineRule="exact"/>
        <w:rPr>
          <w:sz w:val="20"/>
          <w:szCs w:val="20"/>
          <w:color w:val="auto"/>
        </w:rPr>
      </w:pPr>
    </w:p>
    <w:p>
      <w:pPr>
        <w:ind w:right="40" w:firstLine="8"/>
        <w:spacing w:after="0" w:line="230" w:lineRule="auto"/>
        <w:tabs>
          <w:tab w:leader="none" w:pos="216"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Effect of Prohibited Transfer</w:t>
      </w:r>
      <w:r>
        <w:rPr>
          <w:rFonts w:ascii="Times New Roman" w:cs="Times New Roman" w:eastAsia="Times New Roman" w:hAnsi="Times New Roman"/>
          <w:sz w:val="22"/>
          <w:szCs w:val="22"/>
          <w:color w:val="auto"/>
        </w:rPr>
        <w:t>. If any transfer of Restricted Stock Units is made or attempted to be made contrary to the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this Agreement, the Company shall have the right to disregard such transfer and to terminate this award of Restricted Stock Units as a result of such prohibited transfer. In addition to any other legal or equitable remedies it may have, the Company may enforce its rights to specific performance to the extent permitted by law and may exercise such other equitable remedies then available. The Company may refuse for any purpose to recognize any transferee who receives Restricted Stock Units contrary to the provisions of this Agreement as a holder of the Restricted Stock Units and shall not be obligated, and will not, issue any shares of Common Stock upon the vesting of such Restricted Stock Units to such prohibited transferee.</w:t>
      </w:r>
    </w:p>
    <w:p>
      <w:pPr>
        <w:spacing w:after="0" w:line="3" w:lineRule="exact"/>
        <w:rPr>
          <w:rFonts w:ascii="Times New Roman" w:cs="Times New Roman" w:eastAsia="Times New Roman" w:hAnsi="Times New Roman"/>
          <w:sz w:val="22"/>
          <w:szCs w:val="22"/>
          <w:b w:val="1"/>
          <w:bCs w:val="1"/>
          <w:color w:val="auto"/>
        </w:rPr>
      </w:pPr>
    </w:p>
    <w:p>
      <w:pPr>
        <w:ind w:right="20" w:firstLine="8"/>
        <w:spacing w:after="0" w:line="230" w:lineRule="auto"/>
        <w:tabs>
          <w:tab w:leader="none" w:pos="216"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Investment Representations</w:t>
      </w:r>
      <w:r>
        <w:rPr>
          <w:rFonts w:ascii="Times New Roman" w:cs="Times New Roman" w:eastAsia="Times New Roman" w:hAnsi="Times New Roman"/>
          <w:sz w:val="22"/>
          <w:szCs w:val="22"/>
          <w:color w:val="auto"/>
        </w:rPr>
        <w:t>. The Compensation Committee may require Grantee (or Grantee’s estate or heirs) to represent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warrant in writing that the individual is acquiring the shares of Common Stock upon vesting of the Restricted Stock Units for investment and without any present intention to sell or distribute such shares and to make such other representations as are deemed necessary or appropriate by the Company and its counsel.</w:t>
      </w:r>
    </w:p>
    <w:p>
      <w:pPr>
        <w:spacing w:after="0" w:line="2" w:lineRule="exact"/>
        <w:rPr>
          <w:rFonts w:ascii="Times New Roman" w:cs="Times New Roman" w:eastAsia="Times New Roman" w:hAnsi="Times New Roman"/>
          <w:sz w:val="22"/>
          <w:szCs w:val="22"/>
          <w:b w:val="1"/>
          <w:bCs w:val="1"/>
          <w:color w:val="auto"/>
        </w:rPr>
      </w:pPr>
    </w:p>
    <w:p>
      <w:pPr>
        <w:ind w:right="80" w:firstLine="8"/>
        <w:spacing w:after="0" w:line="230" w:lineRule="auto"/>
        <w:tabs>
          <w:tab w:leader="none" w:pos="324"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Continued Service</w:t>
      </w:r>
      <w:r>
        <w:rPr>
          <w:rFonts w:ascii="Times New Roman" w:cs="Times New Roman" w:eastAsia="Times New Roman" w:hAnsi="Times New Roman"/>
          <w:sz w:val="22"/>
          <w:szCs w:val="22"/>
          <w:color w:val="auto"/>
        </w:rPr>
        <w:t>. Neither the grant of the Restricted Stock Units nor this Agreement gives Grantee the right to continue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Service with the Company or its affiliates in any capacity. The Company and its affiliates reserve the right to terminate Grantee’s Service at any time and for any reason not prohibited by law.</w:t>
      </w:r>
    </w:p>
    <w:p>
      <w:pPr>
        <w:spacing w:after="0" w:line="1" w:lineRule="exact"/>
        <w:rPr>
          <w:rFonts w:ascii="Times New Roman" w:cs="Times New Roman" w:eastAsia="Times New Roman" w:hAnsi="Times New Roman"/>
          <w:sz w:val="22"/>
          <w:szCs w:val="22"/>
          <w:b w:val="1"/>
          <w:bCs w:val="1"/>
          <w:color w:val="auto"/>
        </w:rPr>
      </w:pPr>
    </w:p>
    <w:p>
      <w:pPr>
        <w:jc w:val="both"/>
        <w:ind w:right="400" w:firstLine="8"/>
        <w:spacing w:after="0" w:line="241" w:lineRule="auto"/>
        <w:tabs>
          <w:tab w:leader="none" w:pos="312" w:val="left"/>
        </w:tabs>
        <w:numPr>
          <w:ilvl w:val="0"/>
          <w:numId w:val="2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Governing Law</w:t>
      </w:r>
      <w:r>
        <w:rPr>
          <w:rFonts w:ascii="Times New Roman" w:cs="Times New Roman" w:eastAsia="Times New Roman" w:hAnsi="Times New Roman"/>
          <w:sz w:val="21"/>
          <w:szCs w:val="21"/>
          <w:color w:val="auto"/>
        </w:rPr>
        <w:t>. The validity and construction of this Agreement and the Plan shall be construed in accordance with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governed by the laws of the State of Delaware other than any conflicts or choice of law rule or principle that might otherwise refer construction or interpretation of the Plan and this Agreement to the substantive laws of any other jurisdiction.</w:t>
      </w:r>
    </w:p>
    <w:p>
      <w:pPr>
        <w:spacing w:after="0" w:line="1" w:lineRule="exact"/>
        <w:rPr>
          <w:rFonts w:ascii="Times New Roman" w:cs="Times New Roman" w:eastAsia="Times New Roman" w:hAnsi="Times New Roman"/>
          <w:sz w:val="21"/>
          <w:szCs w:val="21"/>
          <w:b w:val="1"/>
          <w:bCs w:val="1"/>
          <w:color w:val="auto"/>
        </w:rPr>
      </w:pPr>
    </w:p>
    <w:p>
      <w:pPr>
        <w:ind w:right="700" w:firstLine="8"/>
        <w:spacing w:after="0" w:line="230" w:lineRule="auto"/>
        <w:tabs>
          <w:tab w:leader="none" w:pos="324"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Binding Effect</w:t>
      </w:r>
      <w:r>
        <w:rPr>
          <w:rFonts w:ascii="Times New Roman" w:cs="Times New Roman" w:eastAsia="Times New Roman" w:hAnsi="Times New Roman"/>
          <w:sz w:val="22"/>
          <w:szCs w:val="22"/>
          <w:color w:val="auto"/>
        </w:rPr>
        <w:t>. This Agreement shall be binding upon and inure to the benefit of the Company and Grantee and their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respective heirs, executors, administrators, legal representatives, successors and assigns.</w:t>
      </w:r>
    </w:p>
    <w:p>
      <w:pPr>
        <w:spacing w:after="0" w:line="1" w:lineRule="exact"/>
        <w:rPr>
          <w:rFonts w:ascii="Times New Roman" w:cs="Times New Roman" w:eastAsia="Times New Roman" w:hAnsi="Times New Roman"/>
          <w:sz w:val="22"/>
          <w:szCs w:val="22"/>
          <w:b w:val="1"/>
          <w:bCs w:val="1"/>
          <w:color w:val="auto"/>
        </w:rPr>
      </w:pPr>
    </w:p>
    <w:p>
      <w:pPr>
        <w:ind w:right="260" w:firstLine="8"/>
        <w:spacing w:after="0" w:line="230" w:lineRule="auto"/>
        <w:tabs>
          <w:tab w:leader="none" w:pos="324"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 Treatment; Section 83(b)</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may incur tax liability as a result of the vesting of the Restricted Stock Units,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payment of dividend equivalents or the disposition of shares of Common Stock issued upon the vesting of the Restricted Stock Units. Grantee should consult his or her own tax adviser for tax advice.</w:t>
      </w:r>
    </w:p>
    <w:p>
      <w:pPr>
        <w:spacing w:after="0" w:line="1" w:lineRule="exact"/>
        <w:rPr>
          <w:rFonts w:ascii="Times New Roman" w:cs="Times New Roman" w:eastAsia="Times New Roman" w:hAnsi="Times New Roman"/>
          <w:sz w:val="22"/>
          <w:szCs w:val="22"/>
          <w:b w:val="1"/>
          <w:bCs w:val="1"/>
          <w:color w:val="auto"/>
        </w:rPr>
      </w:pPr>
    </w:p>
    <w:p>
      <w:pPr>
        <w:ind w:right="100"/>
        <w:spacing w:after="0" w:line="230"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Grantee hereby acknowledges that Grantee has been informed that no election under Section 83(b) of the Internal Revenue Code is permitted with respect to the Restricted Stock Units.</w:t>
      </w:r>
    </w:p>
    <w:p>
      <w:pPr>
        <w:spacing w:after="0" w:line="1" w:lineRule="exact"/>
        <w:rPr>
          <w:rFonts w:ascii="Times New Roman" w:cs="Times New Roman" w:eastAsia="Times New Roman" w:hAnsi="Times New Roman"/>
          <w:sz w:val="22"/>
          <w:szCs w:val="22"/>
          <w:b w:val="1"/>
          <w:bCs w:val="1"/>
          <w:color w:val="auto"/>
        </w:rPr>
      </w:pPr>
    </w:p>
    <w:p>
      <w:pPr>
        <w:ind w:right="600" w:firstLine="8"/>
        <w:spacing w:after="0" w:line="230" w:lineRule="auto"/>
        <w:tabs>
          <w:tab w:leader="none" w:pos="324"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The terms and conditions set forth in this Agreement may only be amended by the written consent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and Grantee, except to the extent set forth in the Plan.</w:t>
      </w:r>
    </w:p>
    <w:p>
      <w:pPr>
        <w:spacing w:after="0" w:line="1" w:lineRule="exact"/>
        <w:rPr>
          <w:rFonts w:ascii="Times New Roman" w:cs="Times New Roman" w:eastAsia="Times New Roman" w:hAnsi="Times New Roman"/>
          <w:sz w:val="22"/>
          <w:szCs w:val="22"/>
          <w:b w:val="1"/>
          <w:bCs w:val="1"/>
          <w:color w:val="auto"/>
        </w:rPr>
      </w:pPr>
    </w:p>
    <w:p>
      <w:pPr>
        <w:ind w:right="140" w:firstLine="8"/>
        <w:spacing w:after="0" w:line="237" w:lineRule="auto"/>
        <w:tabs>
          <w:tab w:leader="none" w:pos="324"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2020 Omnibus Incentive Plan</w:t>
      </w:r>
      <w:r>
        <w:rPr>
          <w:rFonts w:ascii="Times New Roman" w:cs="Times New Roman" w:eastAsia="Times New Roman" w:hAnsi="Times New Roman"/>
          <w:sz w:val="22"/>
          <w:szCs w:val="22"/>
          <w:color w:val="auto"/>
        </w:rPr>
        <w:t>. The Restricted Stock Units and payment of dividend equivalents granted hereunder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such additional terms and conditions as may be</w:t>
      </w:r>
    </w:p>
    <w:p>
      <w:pPr>
        <w:sectPr>
          <w:pgSz w:w="11900" w:h="16838" w:orient="portrait"/>
          <w:cols w:equalWidth="0" w:num="1">
            <w:col w:w="11220"/>
          </w:cols>
          <w:pgMar w:left="320" w:top="1408" w:right="359" w:bottom="1440" w:gutter="0" w:footer="0" w:header="0"/>
        </w:sectPr>
      </w:pPr>
    </w:p>
    <w:bookmarkStart w:id="48" w:name="page49"/>
    <w:bookmarkEnd w:id="48"/>
    <w:p>
      <w:pPr>
        <w:spacing w:after="0" w:line="258" w:lineRule="auto"/>
        <w:rPr>
          <w:sz w:val="20"/>
          <w:szCs w:val="20"/>
          <w:color w:val="auto"/>
        </w:rPr>
      </w:pPr>
      <w:r>
        <w:rPr>
          <w:rFonts w:ascii="Times New Roman" w:cs="Times New Roman" w:eastAsia="Times New Roman" w:hAnsi="Times New Roman"/>
          <w:sz w:val="22"/>
          <w:szCs w:val="22"/>
          <w:color w:val="auto"/>
        </w:rPr>
        <w:t>imposed under the terms of the Plan, a copy of which has been provided to Grantee. A copy of the Prospectus for the 2020 Omnibus Incentive Plan shall also be provided to Grantee.</w:t>
      </w:r>
    </w:p>
    <w:p>
      <w:pPr>
        <w:spacing w:after="0" w:line="200" w:lineRule="exact"/>
        <w:rPr>
          <w:sz w:val="20"/>
          <w:szCs w:val="20"/>
          <w:color w:val="auto"/>
        </w:rPr>
      </w:pPr>
    </w:p>
    <w:p>
      <w:pPr>
        <w:spacing w:after="0" w:line="27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auto"/>
        </w:rPr>
        <w:t>NATIONAL CINEMEDIA, INC.</w:t>
      </w:r>
    </w:p>
    <w:p>
      <w:pPr>
        <w:spacing w:after="0" w:line="4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17145</wp:posOffset>
            </wp:positionV>
            <wp:extent cx="25031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Sarah Kinnick Hilty</w:t>
      </w:r>
    </w:p>
    <w:p>
      <w:pPr>
        <w:spacing w:after="0" w:line="4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Executive Vice President,</w:t>
      </w:r>
    </w:p>
    <w:p>
      <w:pPr>
        <w:spacing w:after="0" w:line="4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General Counsel and Secretary</w:t>
      </w:r>
    </w:p>
    <w:p>
      <w:pPr>
        <w:sectPr>
          <w:pgSz w:w="11900" w:h="16838" w:orient="portrait"/>
          <w:cols w:equalWidth="0" w:num="1">
            <w:col w:w="10600"/>
          </w:cols>
          <w:pgMar w:left="320" w:top="1408" w:right="97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F. Lesinski, certify that:</w:t>
      </w:r>
    </w:p>
    <w:p>
      <w:pPr>
        <w:spacing w:after="0" w:line="171" w:lineRule="exact"/>
        <w:rPr>
          <w:sz w:val="20"/>
          <w:szCs w:val="20"/>
          <w:color w:val="auto"/>
        </w:rPr>
      </w:pPr>
    </w:p>
    <w:p>
      <w:pPr>
        <w:ind w:left="680" w:hanging="186"/>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National CineMedia, Inc.;</w:t>
      </w:r>
    </w:p>
    <w:p>
      <w:pPr>
        <w:spacing w:after="0" w:line="171" w:lineRule="exact"/>
        <w:rPr>
          <w:rFonts w:ascii="Times New Roman" w:cs="Times New Roman" w:eastAsia="Times New Roman" w:hAnsi="Times New Roman"/>
          <w:sz w:val="18"/>
          <w:szCs w:val="18"/>
          <w:color w:val="auto"/>
        </w:rPr>
      </w:pPr>
    </w:p>
    <w:p>
      <w:pPr>
        <w:ind w:right="100" w:firstLine="494"/>
        <w:spacing w:after="0" w:line="282" w:lineRule="auto"/>
        <w:tabs>
          <w:tab w:leader="none" w:pos="66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right="80" w:firstLine="494"/>
        <w:spacing w:after="0" w:line="266" w:lineRule="auto"/>
        <w:tabs>
          <w:tab w:leader="none" w:pos="66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980" w:right="440"/>
        <w:spacing w:after="0" w:line="266" w:lineRule="auto"/>
        <w:tabs>
          <w:tab w:leader="none" w:pos="122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980" w:right="200"/>
        <w:spacing w:after="0" w:line="266" w:lineRule="auto"/>
        <w:tabs>
          <w:tab w:leader="none" w:pos="123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980" w:right="320"/>
        <w:spacing w:after="0" w:line="312" w:lineRule="auto"/>
        <w:tabs>
          <w:tab w:leader="none" w:pos="1225"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980" w:right="60"/>
        <w:spacing w:after="0" w:line="266" w:lineRule="auto"/>
        <w:tabs>
          <w:tab w:leader="none" w:pos="123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right="540"/>
        <w:spacing w:after="0" w:line="282" w:lineRule="auto"/>
        <w:tabs>
          <w:tab w:leader="none" w:pos="122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220"/>
        <w:spacing w:after="0" w:line="282" w:lineRule="auto"/>
        <w:tabs>
          <w:tab w:leader="none" w:pos="123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 2020</w:t>
            </w:r>
          </w:p>
        </w:tc>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Thomas F. Lesinski</w:t>
            </w:r>
          </w:p>
        </w:tc>
      </w:tr>
      <w:tr>
        <w:trPr>
          <w:trHeight w:val="218"/>
        </w:trPr>
        <w:tc>
          <w:tcPr>
            <w:tcW w:w="4580" w:type="dxa"/>
            <w:vAlign w:val="bottom"/>
          </w:tcPr>
          <w:p>
            <w:pPr>
              <w:spacing w:after="0"/>
              <w:rPr>
                <w:sz w:val="18"/>
                <w:szCs w:val="18"/>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F. Lesinski</w:t>
            </w:r>
          </w:p>
        </w:tc>
      </w:tr>
      <w:tr>
        <w:trPr>
          <w:trHeight w:val="234"/>
        </w:trPr>
        <w:tc>
          <w:tcPr>
            <w:tcW w:w="4580" w:type="dxa"/>
            <w:vAlign w:val="bottom"/>
          </w:tcPr>
          <w:p>
            <w:pPr>
              <w:spacing w:after="0"/>
              <w:rPr>
                <w:sz w:val="20"/>
                <w:szCs w:val="20"/>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43"/>
        </w:trPr>
        <w:tc>
          <w:tcPr>
            <w:tcW w:w="458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 and Interim Principal Financial Officer)</w:t>
            </w:r>
          </w:p>
        </w:tc>
      </w:tr>
    </w:tbl>
    <w:p>
      <w:pPr>
        <w:sectPr>
          <w:pgSz w:w="11900" w:h="16838" w:orient="portrait"/>
          <w:cols w:equalWidth="0" w:num="1">
            <w:col w:w="11240"/>
          </w:cols>
          <w:pgMar w:left="320" w:top="88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00" w:firstLine="486"/>
        <w:spacing w:after="0" w:line="289" w:lineRule="auto"/>
        <w:rPr>
          <w:sz w:val="20"/>
          <w:szCs w:val="20"/>
          <w:color w:val="auto"/>
        </w:rPr>
      </w:pPr>
      <w:r>
        <w:rPr>
          <w:rFonts w:ascii="Times New Roman" w:cs="Times New Roman" w:eastAsia="Times New Roman" w:hAnsi="Times New Roman"/>
          <w:sz w:val="17"/>
          <w:szCs w:val="17"/>
          <w:color w:val="auto"/>
        </w:rPr>
        <w:t>In connection with the Quarterly Report on Form 10-Q for the period ending September 24, 2020 (the “Report”) of National CineMedia, Inc. (the “Registrant”) as filed with the Securities and Exchange Commission on the date hereof, I, Thomas F. Lesinski, the Chief Executive Officer and Director of the Registrant, certify, pursuant to 18 U.S.C. § 1350, as adopted pursuant to § 906 of the Sarbanes-Oxley Act of 2002, that to the best of my knowledge:</w:t>
      </w:r>
    </w:p>
    <w:p>
      <w:pPr>
        <w:spacing w:after="0" w:line="104" w:lineRule="exact"/>
        <w:rPr>
          <w:sz w:val="20"/>
          <w:szCs w:val="20"/>
          <w:color w:val="auto"/>
        </w:rPr>
      </w:pPr>
    </w:p>
    <w:p>
      <w:pPr>
        <w:ind w:left="680" w:hanging="186"/>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680" w:hanging="186"/>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 2020</w:t>
            </w:r>
          </w:p>
        </w:tc>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Thomas F. Lesinski</w:t>
            </w:r>
          </w:p>
        </w:tc>
      </w:tr>
      <w:tr>
        <w:trPr>
          <w:trHeight w:val="225"/>
        </w:trPr>
        <w:tc>
          <w:tcPr>
            <w:tcW w:w="4300" w:type="dxa"/>
            <w:vAlign w:val="bottom"/>
          </w:tcPr>
          <w:p>
            <w:pPr>
              <w:spacing w:after="0"/>
              <w:rPr>
                <w:sz w:val="19"/>
                <w:szCs w:val="19"/>
                <w:color w:val="auto"/>
              </w:rPr>
            </w:pPr>
          </w:p>
        </w:tc>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F. Lesinski</w:t>
            </w:r>
          </w:p>
        </w:tc>
      </w:tr>
      <w:tr>
        <w:trPr>
          <w:trHeight w:val="234"/>
        </w:trPr>
        <w:tc>
          <w:tcPr>
            <w:tcW w:w="4300" w:type="dxa"/>
            <w:vAlign w:val="bottom"/>
          </w:tcPr>
          <w:p>
            <w:pPr>
              <w:spacing w:after="0"/>
              <w:rPr>
                <w:sz w:val="20"/>
                <w:szCs w:val="20"/>
                <w:color w:val="auto"/>
              </w:rPr>
            </w:pPr>
          </w:p>
        </w:tc>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43"/>
        </w:trPr>
        <w:tc>
          <w:tcPr>
            <w:tcW w:w="4300" w:type="dxa"/>
            <w:vAlign w:val="bottom"/>
          </w:tcPr>
          <w:p>
            <w:pPr>
              <w:spacing w:after="0"/>
              <w:rPr>
                <w:sz w:val="21"/>
                <w:szCs w:val="21"/>
                <w:color w:val="auto"/>
              </w:rPr>
            </w:pPr>
          </w:p>
        </w:tc>
        <w:tc>
          <w:tcPr>
            <w:tcW w:w="6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 and Interim Principal Financial Officer)</w:t>
            </w:r>
          </w:p>
        </w:tc>
      </w:tr>
    </w:tbl>
    <w:p>
      <w:pPr>
        <w:spacing w:after="0" w:line="25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decimal"/>
      <w:start w:val="1"/>
    </w:lvl>
    <w:lvl w:ilvl="1">
      <w:lvlJc w:val="left"/>
      <w:lvlText w:val="(%2)"/>
      <w:numFmt w:val="decimal"/>
      <w:start w:val="1"/>
    </w:lvl>
  </w:abstractNum>
  <w:abstractNum w:abstractNumId="10">
    <w:nsid w:val="628C895D"/>
    <w:multiLevelType w:val="hybridMultilevel"/>
    <w:lvl w:ilvl="0">
      <w:lvlJc w:val="left"/>
      <w:lvlText w:val="%1."/>
      <w:numFmt w:val="decimal"/>
      <w:start w:val="10"/>
    </w:lvl>
    <w:lvl w:ilvl="1">
      <w:lvlJc w:val="left"/>
      <w:lvlText w:val="%2"/>
      <w:numFmt w:val="decimal"/>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
      <w:numFmt w:val="bullet"/>
      <w:start w:val="1"/>
    </w:lvl>
    <w:lvl w:ilvl="1">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1."/>
      <w:numFmt w:val="decimal"/>
      <w:start w:val="4"/>
    </w:lvl>
  </w:abstractNum>
  <w:abstractNum w:abstractNumId="28">
    <w:nsid w:val="8138641"/>
    <w:multiLevelType w:val="hybridMultilevel"/>
    <w:lvl w:ilvl="0">
      <w:lvlJc w:val="left"/>
      <w:lvlText w:val="%1."/>
      <w:numFmt w:val="decimal"/>
      <w:start w:val="8"/>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2020-11-02T15:31:55Z</dcterms:created>
  <dcterms:modified xsi:type="dcterms:W3CDTF">2020-11-02T15:31:55Z</dcterms:modified>
</cp:coreProperties>
</file>