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50626.htm"/>
      <w:bookmarkStart w:id="1" w:name="ksncmi20250626"/>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26,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ind w:left="0" w:right="0" w:firstLine="45"/>
              <w:jc w:val="center"/>
              <w:rPr>
                <w:color w:val="000000"/>
              </w:rPr>
            </w:pPr>
            <w:r>
              <w:rPr>
                <w:color w:val="000000"/>
              </w:rPr>
              <w:t>☐</w:t>
            </w:r>
          </w:p>
        </w:tc>
        <w:tc>
          <w:tcPr>
            <w:tcW w:w="9829" w:type="dxa"/>
            <w:tcBorders/>
            <w:tcMar>
              <w:top w:w="0" w:type="dxa"/>
              <w:left w:w="0" w:type="dxa"/>
              <w:bottom w:w="0" w:type="dxa"/>
              <w:right w:w="0" w:type="dxa"/>
            </w:tcMar>
            <w:vAlign w:val="center"/>
          </w:tcPr>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001-33296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5525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7334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39" w:type="dxa"/>
        <w:jc w:val="left"/>
        <w:tblInd w:w="0" w:type="dxa"/>
        <w:tblLayout w:type="fixed"/>
        <w:tblCellMar>
          <w:top w:w="28" w:type="dxa"/>
          <w:left w:w="28" w:type="dxa"/>
          <w:bottom w:w="28" w:type="dxa"/>
          <w:right w:w="28" w:type="dxa"/>
        </w:tblCellMar>
      </w:tblPr>
      <w:tblGrid>
        <w:gridCol w:w="3016"/>
        <w:gridCol w:w="1021"/>
        <w:gridCol w:w="9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300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9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(303) 792-3600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793" w:type="dxa"/>
        <w:jc w:val="left"/>
        <w:tblInd w:w="0" w:type="dxa"/>
        <w:tblLayout w:type="fixed"/>
        <w:tblCellMar>
          <w:top w:w="28" w:type="dxa"/>
          <w:left w:w="28" w:type="dxa"/>
          <w:bottom w:w="28" w:type="dxa"/>
          <w:right w:w="28" w:type="dxa"/>
        </w:tblCellMar>
      </w:tblPr>
      <w:tblGrid>
        <w:gridCol w:w="3496"/>
        <w:gridCol w:w="1591"/>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59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2025, 93,710,120 shares of the registrant’s common stock (including unvested restricted shares), par value of $0.01 per share,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balance_sheets">
              <w:r>
                <w:rPr>
                  <w:rStyle w:val="InternetLink"/>
                  <w:rFonts w:ascii="Times New Roman" w:hAnsi="Times New Roman"/>
                  <w:color w:val="0000FF"/>
                  <w:sz w:val="20"/>
                  <w:u w:val="single"/>
                </w:rPr>
                <w:t>Unaudited 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statements_opera">
              <w:r>
                <w:rPr>
                  <w:rStyle w:val="InternetLink"/>
                  <w:rFonts w:ascii="Times New Roman" w:hAnsi="Times New Roman"/>
                  <w:color w:val="0000FF"/>
                  <w:sz w:val="20"/>
                  <w:u w:val="single"/>
                </w:rPr>
                <w:t>Unaudited Condensed Consolidated Statements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_statements_of_cash_flows">
              <w:r>
                <w:rPr>
                  <w:rStyle w:val="InternetLink"/>
                  <w:rFonts w:ascii="Times New Roman" w:hAnsi="Times New Roman"/>
                  <w:color w:val="0000FF"/>
                  <w:sz w:val="20"/>
                  <w:u w:val="single"/>
                </w:rPr>
                <w:t>Unaudited 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solidated_statements_of_equity">
              <w:r>
                <w:rPr>
                  <w:rStyle w:val="InternetLink"/>
                  <w:rFonts w:ascii="Times New Roman" w:hAnsi="Times New Roman"/>
                  <w:color w:val="0000FF"/>
                  <w:sz w:val="20"/>
                  <w:u w:val="single"/>
                </w:rPr>
                <w:t>Unaudited Condensed Consolidated Statements of Equity</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the_company">
              <w:r>
                <w:rPr>
                  <w:rStyle w:val="InternetLink"/>
                  <w:rFonts w:ascii="Times New Roman" w:hAnsi="Times New Roman"/>
                  <w:color w:val="0000FF"/>
                  <w:sz w:val="20"/>
                  <w:u w:val="single"/>
                </w:rPr>
                <w:t>Notes to Unaudited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5" w:name="item_1_financial_statements"/>
      <w:bookmarkEnd w:id="5"/>
      <w:r>
        <w:rPr>
          <w:rFonts w:ascii="Times New Roman" w:hAnsi="Times New Roman"/>
          <w:b/>
          <w:color w:val="000000"/>
          <w:sz w:val="20"/>
        </w:rPr>
        <w:t xml:space="preserve">Item 1.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195" w:type="dxa"/>
        <w:jc w:val="left"/>
        <w:tblInd w:w="0" w:type="dxa"/>
        <w:tblLayout w:type="fixed"/>
        <w:tblCellMar>
          <w:top w:w="28" w:type="dxa"/>
          <w:left w:w="28" w:type="dxa"/>
          <w:bottom w:w="28" w:type="dxa"/>
          <w:right w:w="28" w:type="dxa"/>
        </w:tblCellMar>
      </w:tblPr>
      <w:tblGrid>
        <w:gridCol w:w="6341"/>
        <w:gridCol w:w="146"/>
        <w:gridCol w:w="312"/>
        <w:gridCol w:w="813"/>
        <w:gridCol w:w="146"/>
        <w:gridCol w:w="146"/>
        <w:gridCol w:w="414"/>
        <w:gridCol w:w="1086"/>
        <w:gridCol w:w="791"/>
      </w:tblGrid>
      <w:tr>
        <w:trPr/>
        <w:tc>
          <w:tcPr>
            <w:tcW w:w="6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Receivables, net of allowance of $1.1</w:t>
            </w:r>
            <w:r>
              <w:rPr>
                <w:rFonts w:ascii="Times New Roman" w:hAnsi="Times New Roman"/>
                <w:color w:val="000000"/>
                <w:sz w:val="20"/>
              </w:rPr>
              <w:t> </w:t>
            </w:r>
            <w:r>
              <w:rPr>
                <w:rFonts w:ascii="Times New Roman" w:hAnsi="Times New Roman"/>
                <w:color w:val="000000"/>
                <w:sz w:val="18"/>
              </w:rPr>
              <w:t>and $1.2,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from ESA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Property and equipment, net of accumulated depreciation of $6.9</w:t>
            </w:r>
            <w:r>
              <w:rPr>
                <w:rFonts w:ascii="Times New Roman" w:hAnsi="Times New Roman"/>
                <w:color w:val="000000"/>
                <w:sz w:val="20"/>
              </w:rPr>
              <w:t> </w:t>
            </w:r>
            <w:r>
              <w:rPr>
                <w:rFonts w:ascii="Times New Roman" w:hAnsi="Times New Roman"/>
                <w:color w:val="000000"/>
                <w:sz w:val="18"/>
              </w:rPr>
              <w:t xml:space="preserve">and $4.8,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Intangible assets, net of accumulated amortization of $70.4</w:t>
            </w:r>
            <w:r>
              <w:rPr>
                <w:rFonts w:ascii="Times New Roman" w:hAnsi="Times New Roman"/>
                <w:color w:val="000000"/>
                <w:sz w:val="20"/>
              </w:rPr>
              <w:t> </w:t>
            </w:r>
            <w:r>
              <w:rPr>
                <w:rFonts w:ascii="Times New Roman" w:hAnsi="Times New Roman"/>
                <w:color w:val="000000"/>
                <w:sz w:val="18"/>
              </w:rPr>
              <w:t>and $52.8,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issuance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to ESA Parties,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NCM,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50</w:t>
            </w:r>
            <w:r>
              <w:rPr>
                <w:rFonts w:ascii="Times New Roman" w:hAnsi="Times New Roman"/>
                <w:color w:val="000000"/>
                <w:sz w:val="20"/>
              </w:rPr>
              <w:t> </w:t>
            </w:r>
            <w:r>
              <w:rPr>
                <w:rFonts w:ascii="Times New Roman" w:hAnsi="Times New Roman"/>
                <w:color w:val="000000"/>
                <w:sz w:val="18"/>
              </w:rPr>
              <w:t>issued</w:t>
              <w:br/>
              <w:t>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7030A0"/>
              </w:rPr>
            </w:pPr>
            <w:r>
              <w:rPr>
                <w:color w:val="7030A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260,000,000</w:t>
            </w:r>
            <w:r>
              <w:rPr>
                <w:rFonts w:ascii="Times New Roman" w:hAnsi="Times New Roman"/>
                <w:color w:val="000000"/>
                <w:sz w:val="20"/>
              </w:rPr>
              <w:t> </w:t>
            </w:r>
            <w:r>
              <w:rPr>
                <w:rFonts w:ascii="Times New Roman" w:hAnsi="Times New Roman"/>
                <w:color w:val="000000"/>
                <w:sz w:val="18"/>
              </w:rPr>
              <w:t>shares authorized, 93,424,020</w:t>
            </w:r>
            <w:r>
              <w:rPr>
                <w:rFonts w:ascii="Times New Roman" w:hAnsi="Times New Roman"/>
                <w:color w:val="000000"/>
                <w:sz w:val="20"/>
              </w:rPr>
              <w:t> </w:t>
            </w:r>
            <w:r>
              <w:rPr>
                <w:rFonts w:ascii="Times New Roman" w:hAnsi="Times New Roman"/>
                <w:color w:val="000000"/>
                <w:sz w:val="18"/>
              </w:rPr>
              <w:t xml:space="preserve">and </w:t>
              <w:br/>
              <w:t>   95,755,491</w:t>
            </w:r>
            <w:r>
              <w:rPr>
                <w:rFonts w:ascii="Times New Roman" w:hAnsi="Times New Roman"/>
                <w:color w:val="000000"/>
                <w:sz w:val="20"/>
              </w:rPr>
              <w:t> </w:t>
            </w:r>
            <w:r>
              <w:rPr>
                <w:rFonts w:ascii="Times New Roman" w:hAnsi="Times New Roman"/>
                <w:color w:val="000000"/>
                <w:sz w:val="18"/>
              </w:rPr>
              <w:t>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NCM,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7" w:name="condensed_consolidated_statements_opera"/>
      <w:bookmarkEnd w:id="7"/>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(Gain) loss on re-measurement of the payable under </w:t>
              <w:br/>
              <w:t>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8" w:name="condense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millions) (UNAUDITED)</w:t>
      </w:r>
    </w:p>
    <w:p>
      <w:pPr>
        <w:pStyle w:val="TextBody"/>
        <w:bidi w:val="0"/>
        <w:jc w:val="left"/>
        <w:rPr/>
      </w:pPr>
      <w:r>
        <w:rPr/>
        <w:t> </w:t>
      </w:r>
    </w:p>
    <w:tbl>
      <w:tblPr>
        <w:tblW w:w="9670" w:type="dxa"/>
        <w:jc w:val="left"/>
        <w:tblInd w:w="0" w:type="dxa"/>
        <w:tblLayout w:type="fixed"/>
        <w:tblCellMar>
          <w:top w:w="28" w:type="dxa"/>
          <w:left w:w="28" w:type="dxa"/>
          <w:bottom w:w="28" w:type="dxa"/>
          <w:right w:w="28" w:type="dxa"/>
        </w:tblCellMar>
      </w:tblPr>
      <w:tblGrid>
        <w:gridCol w:w="5971"/>
        <w:gridCol w:w="146"/>
        <w:gridCol w:w="322"/>
        <w:gridCol w:w="803"/>
        <w:gridCol w:w="166"/>
        <w:gridCol w:w="146"/>
        <w:gridCol w:w="322"/>
        <w:gridCol w:w="803"/>
        <w:gridCol w:w="9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consolidated net loss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Non-cash loss on re-measurement of the payable under </w:t>
              <w:br/>
              <w:t>   the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ESA integration and other encumbered theater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to the ESA Parties under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ESA amounts due to/from,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redemption of NCM LLC common membership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Repayment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Repurchase of stock for restricted stock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9" w:name="consolidated_statements_of_cash_flows"/>
      <w:bookmarkEnd w:id="9"/>
      <w:r>
        <w:rPr>
          <w:rFonts w:ascii="Times New Roman" w:hAnsi="Times New Roman"/>
          <w:b/>
          <w:color w:val="000000"/>
          <w:sz w:val="18"/>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6696"/>
        <w:gridCol w:w="146"/>
        <w:gridCol w:w="415"/>
        <w:gridCol w:w="710"/>
        <w:gridCol w:w="146"/>
        <w:gridCol w:w="146"/>
        <w:gridCol w:w="415"/>
        <w:gridCol w:w="710"/>
        <w:gridCol w:w="391"/>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an intangible asset with NCM LLC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dividend equivalent accrual not requiring cash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method investment obtained in exchange for future advertising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10" w:name="consolidated_statements_of_equity"/>
      <w:bookmarkEnd w:id="10"/>
      <w:r>
        <w:rPr>
          <w:rFonts w:ascii="Times New Roman" w:hAnsi="Times New Roman"/>
          <w:b/>
          <w:color w:val="000000"/>
          <w:sz w:val="18"/>
        </w:rPr>
        <w:t>CONDENSED 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0"/>
        <w:gridCol w:w="146"/>
        <w:gridCol w:w="275"/>
        <w:gridCol w:w="686"/>
        <w:gridCol w:w="151"/>
        <w:gridCol w:w="146"/>
        <w:gridCol w:w="146"/>
        <w:gridCol w:w="796"/>
        <w:gridCol w:w="151"/>
        <w:gridCol w:w="146"/>
        <w:gridCol w:w="216"/>
        <w:gridCol w:w="415"/>
        <w:gridCol w:w="146"/>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b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97,082,436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of </w:t>
              <w:br/>
              <w:t>   NCM LLC ownership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equity issued for purchase of </w:t>
              <w:br/>
              <w:t>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Cash redemption of NCM LLC common </w:t>
              <w:br/>
              <w:t>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(1,911,587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95,238,849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94,863,471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(1,796,726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93,424,020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5"/>
        <w:gridCol w:w="146"/>
        <w:gridCol w:w="275"/>
        <w:gridCol w:w="686"/>
        <w:gridCol w:w="151"/>
        <w:gridCol w:w="146"/>
        <w:gridCol w:w="146"/>
        <w:gridCol w:w="796"/>
        <w:gridCol w:w="151"/>
        <w:gridCol w:w="146"/>
        <w:gridCol w:w="216"/>
        <w:gridCol w:w="415"/>
        <w:gridCol w:w="151"/>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b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96,837,039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of </w:t>
              <w:br/>
              <w:t>   NCM LLC ownership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equity issued for purchase of </w:t>
              <w:br/>
              <w:t>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Cash redemption of NCM LLC common </w:t>
              <w:br/>
              <w:t>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(1,919,587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95,238,849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95,755,491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(3,252,394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$0.06</w:t>
            </w:r>
            <w:r>
              <w:rPr>
                <w:rFonts w:ascii="Times New Roman" w:hAnsi="Times New Roman"/>
                <w:color w:val="000000"/>
                <w:sz w:val="20"/>
              </w:rPr>
              <w:t> </w:t>
            </w:r>
            <w:r>
              <w:rPr>
                <w:rFonts w:ascii="Times New Roman" w:hAnsi="Times New Roman"/>
                <w:color w:val="000000"/>
                <w:sz w:val="15"/>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93,424,020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the_company"/>
      <w:bookmarkEnd w:id="11"/>
      <w:r>
        <w:rPr>
          <w:rFonts w:ascii="Times New Roman" w:hAnsi="Times New Roman"/>
          <w:b/>
          <w:color w:val="000000"/>
          <w:sz w:val="20"/>
        </w:rPr>
        <w:t>1.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CineMedia, Inc., a Delaware corporation (“NCM, Inc.”), is a holding company with the sole purpose of becoming a member and sole manager of National CineMedia, LLC (“NCM LLC”), a Delaware limited liability company. NCM, Inc. currently owns 100.0% of NCM LLC. The terms “NCM”, “the Company” or “we” shall, unless the context otherwise requires, be deemed to reference the consolidated entity.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hAnsi="Times New Roman"/>
          <w:i/>
          <w:color w:val="000000"/>
          <w:sz w:val="20"/>
        </w:rPr>
        <w:t>Noovie</w:t>
      </w:r>
      <w:r>
        <w:rPr>
          <w:rFonts w:ascii="Times New Roman" w:hAnsi="Times New Roman"/>
          <w:color w:val="000000"/>
          <w:sz w:val="20"/>
        </w:rPr>
        <w:t>® Show is presented exclusively in 42 leading national and regional theater circuits including the only three national chains, Cinemark USA, Inc., a wholly owned subsidiary of Cinemark Holdings, Inc. (“Cinemark”), American Multi-Cinema, Inc., a wholly owned subsidiary of AMC Entertainment, Inc. (“AMC”) and Regal Cinemas, Inc., a wholly owned subsidiary of Cineworld Group plc and Regal Entertainment Group (“Regal”). NCM’s cinema advertising platform consists of more than 17,500 screens in over 1,350 theaters in 184 Designated Market Areas® (“DMA®”), including all of the top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long-term exhibitor service agreements (“ESAs”) with Cinemark and AMC and long-term agreements with certain network affiliates, including Regal, which grant the Company the exclusive rights in their respective theaters to sell advertising, subject to limited exceptions. As of June 26, 2025, the weighted average remaining term of the ESAs with Cinemark and AMC was approximately 16.2 years. The network affiliate agreements expire at various dates between January 2026 and July 2033. The weighted average remaining term of the ESAs and the network affiliate agreements together is 12.4 years as of June 26,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the Company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and also referred to as the "Revolving Credit Facility 2023") to support operations upon emergence. As a result of the Plan, all historical debt of NCM LLC was discharged and NCM LLC recorded a gain on bankruptcy of $916.4 million for the year ended December 28,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NCM LLC was therefore reconsolidated into the Company’s financial statements prospectively, as of August 7, 2023, akin to an acquisition under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the assets and liabilities of NCM LLC were 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26, 2025, the Company had not completed all agreed upon payments to the General Unsecured Claim Pool and held a total of $3.0 million within the escrow accounts and accruals, presented within ‘Restricted cash’ and ‘Accounts payable’ on the unaudited Condensed Consolidated Balance Sheet as of June 26, 2025. On March 28, 2025, a final decree was entered by the Bankruptcy Court administratively closing the Chapter 11 Case. After this administrative closing the Bankruptcy Court will continue to have jurisdiction over the ongoing claims related to the Chapter 11 Case.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redemptions of their outstanding membership units in 2022 and 2023, Cinemark and AMC's ownership interests in NCM LLC were reduced to 0.0%.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During the quarter ended March 27, 2025, in accordance with the Common Unit Adjustment Agreement, NCM LLC calculated a reduction of common membership units for AMC and Cinemark to be settled on April 2, 2025. During the quarter ended March 27, 2025, Cinemark, who held no membership units, remitted cash to settle the negative common membership unit adjustment. AMC returned all of their units during the quarter ended June 26, 2025. As of June 26, 2025, AMC and Cinemark hold no ownership interest in NCM LLC and following the AMC Termination Agreement, AMC will no longer receive common membership units. AMC and Cinemark and their affiliates are referred to in this document as “ESA Parties”.</w:t>
      </w:r>
    </w:p>
    <w:p>
      <w:pPr>
        <w:pStyle w:val="TextBody"/>
        <w:bidi w:val="0"/>
        <w:spacing w:before="120" w:after="283"/>
        <w:jc w:val="left"/>
        <w:rPr>
          <w:rFonts w:ascii="Times New Roman" w:hAnsi="Times New Roman"/>
          <w:sz w:val="20"/>
        </w:rPr>
      </w:pPr>
      <w:r>
        <w:rPr>
          <w:rFonts w:ascii="Times New Roman" w:hAnsi="Times New Roman"/>
          <w:color w:val="000000"/>
          <w:sz w:val="20"/>
        </w:rPr>
        <w:t>On April 17, 2025, the Company and AMC, entered into the Second Amended and Restated Exhibitor Services Agreement (the “2025 AMC Agreement”) and a separate termination agreement (the “AMC Termination Agreement”) by and among NCM LLC, the Company and AMC. The 2025 AMC Agreement extends the term of the ESA by five years and more closely aligns the program 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ASC 842—</w:t>
      </w:r>
      <w:r>
        <w:rPr>
          <w:rFonts w:ascii="Times New Roman" w:hAnsi="Times New Roman"/>
          <w:i/>
          <w:color w:val="000000"/>
          <w:sz w:val="20"/>
        </w:rPr>
        <w:t>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quarter ended June 26, 2025, NCM LLC released $21.6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rights to advertise in AMC's theaters. The net impact of these reversals was recorded to the 'Intangible Assets, net of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4—</w:t>
      </w:r>
      <w:r>
        <w:rPr>
          <w:rFonts w:ascii="Times New Roman" w:hAnsi="Times New Roman"/>
          <w:i/>
          <w:color w:val="000000"/>
          <w:sz w:val="20"/>
        </w:rPr>
        <w:t>Intangible Assets</w:t>
      </w:r>
      <w:r>
        <w:rPr>
          <w:rFonts w:ascii="Times New Roman" w:hAnsi="Times New Roman"/>
          <w:color w:val="000000"/>
          <w:sz w:val="20"/>
        </w:rPr>
        <w:t>, Note 7—</w:t>
      </w:r>
      <w:r>
        <w:rPr>
          <w:rFonts w:ascii="Times New Roman" w:hAnsi="Times New Roman"/>
          <w:i/>
          <w:color w:val="000000"/>
          <w:sz w:val="20"/>
        </w:rPr>
        <w:t>Income Taxes</w:t>
      </w:r>
      <w:r>
        <w:rPr>
          <w:rFonts w:ascii="Times New Roman" w:hAnsi="Times New Roman"/>
          <w:color w:val="000000"/>
          <w:sz w:val="20"/>
        </w:rPr>
        <w:t>, and Note 8—</w:t>
      </w:r>
      <w:r>
        <w:rPr>
          <w:rFonts w:ascii="Times New Roman" w:hAnsi="Times New Roman"/>
          <w:i/>
          <w:color w:val="000000"/>
          <w:sz w:val="20"/>
        </w:rPr>
        <w:t xml:space="preserve">Commitments and Contingencies </w:t>
      </w:r>
      <w:r>
        <w:rPr>
          <w:rFonts w:ascii="Times New Roman" w:hAnsi="Times New Roman"/>
          <w:color w:val="000000"/>
          <w:sz w:val="20"/>
        </w:rPr>
        <w:t>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June 26,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2024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26,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consisting of only normal recurring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w:t>
      </w:r>
      <w:r>
        <w:rPr>
          <w:rFonts w:ascii="Times New Roman" w:hAnsi="Times New Roman"/>
          <w:color w:val="EE2724"/>
          <w:sz w:val="20"/>
        </w:rPr>
        <w:t xml:space="preserve"> </w:t>
      </w:r>
      <w:r>
        <w:rPr>
          <w:rFonts w:ascii="Times New Roman" w:hAnsi="Times New Roman"/>
          <w:color w:val="000000"/>
          <w:sz w:val="20"/>
        </w:rPr>
        <w:t>As a result of the various related party agreements discussed in Note 5—</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r>
        <w:rPr>
          <w:rFonts w:ascii="Times New Roman" w:hAnsi="Times New Roman"/>
          <w:color w:val="EE2724"/>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undiscounted cash flows utilized in assessing whether there are impairment indicators for the Company's intangible assets, the reserve for uncollectible accounts receivable, share-based compensation and income taxes. Actual results could differ from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financial statements included in its Form 10-K, filed for the fiscal year ended December 26, 2024, contain a complete discussion of the Company’s significant accounting policies. The following is additional information related to the Company’s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across the U.S., as well as on our lobby network ("LEN"), a series of strategically-placed screens located in movie theater lobbies, as well as other forms of advertising, promotions and experiences in theater lobbies. In addition, the Company sells data and digital advertising, including through the </w:t>
      </w:r>
      <w:r>
        <w:rPr>
          <w:rFonts w:ascii="Times New Roman" w:hAnsi="Times New Roman"/>
          <w:i/>
          <w:color w:val="000000"/>
          <w:sz w:val="20"/>
        </w:rPr>
        <w:t>NCMx</w:t>
      </w:r>
      <w:r>
        <w:rPr>
          <w:rFonts w:ascii="Times New Roman" w:hAnsi="Times New Roman"/>
          <w:color w:val="000000"/>
          <w:sz w:val="20"/>
        </w:rPr>
        <w:t xml:space="preserve"> suite of products and through NCM’s digital gaming products, which can be played on the mobile apps and through partnerships with certain internet platforms. Further the Company sells advertising in a variety of complementary out-of-home venues. The Company also has a long-term agreement to exhibit the advertising of the ESA Parties’ beverage suppliers.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—The risk of credit loss related to the Company’s trade receivables and unbilled 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one agency through which it sourced advertising revenue that accounted for 10.1% of the Company’s gross outstanding receivable balance, as of June 26, 2025, and had one agency through which it sourced advertising revenue that accounted for more than 14.7% of the Company's gross outstanding receivable balance as of December 26, 2024. During the three and six months ended June 26, 2025, and the three and six months ended June 27, 2024 , the Company had no customers that accounted for more than 10.0% of the Company's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—The Company assesses impairment of long-lived assets pursuant to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This includes determining whether certain triggering events have occurred that could affect the value of an asset. The Company did not record losses related to long-lived assets during the three months ended June 26, 2025 and June 27, 2024, or the six months ended June 26, 2025 and June 27, 2024,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—The Company has issued stock options and restricted stock units to certain employees and its independent directors. The restricted stock unit grants for Company management vest upon the achievement of Company performance measures, market conditions and/or service conditions, while non-management grants vest only upon the achievement of service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units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judgment. The fair value of the granted restricted stock units is expensed over an estimated derived service period, which also requires considerable judgment. In accordance with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718—Stock Compensation</w:t>
      </w:r>
      <w:r>
        <w:rPr>
          <w:rFonts w:ascii="Times New Roman" w:hAnsi="Times New Roman"/>
          <w:color w:val="000000"/>
          <w:sz w:val="20"/>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and six months ended June 26, 2025 and June 27, 2024, 1.2 million, 0.1 million, 1.5 million, and 6.4 million shares, respectively, of restricted stock units were granted. During the three and six months ended June 26, 2025 and June 27, 2024, 0.4 million, 0.1 million, 1.0 million, and 0.3 million shares of restricted stock units vested, respectively. Additionally, the Company recorded $2.9 million, $3.5 million, $5.6 million, and $6.1 million in share-based compensation expense during the three and six months ended June 26, 2025 and June 27, 2024, respectively, within ‘Network operating costs,’ ‘Selling and marketing costs’ and ‘Administrative and other costs’ within the unaudited Condensed Consolidated Statements of Operations or have been capitalized within ‘Property and equipment, net’ within the unaudited Condensed Balance Sheets. During the three and six months ended June 26, 2025, certain awards were modified resulting in incremental share-based compensation expense of $0.4 million for the three and six months ended June 26, 2025.</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six months ended June 26, 2025 and June 27, 2024, 1.8 million, 1.9 million, 3.3 million and 1.9 million shares, respectively, were repurchased on the open market. In accordance with </w:t>
      </w:r>
      <w:r>
        <w:rPr>
          <w:rFonts w:ascii="Times New Roman" w:hAnsi="Times New Roman"/>
          <w:i/>
          <w:color w:val="000000"/>
          <w:sz w:val="20"/>
        </w:rPr>
        <w:t>ASC 505 —Equity</w:t>
      </w:r>
      <w:r>
        <w:rPr>
          <w:rFonts w:ascii="Times New Roman" w:hAnsi="Times New Roman"/>
          <w:color w:val="000000"/>
          <w:sz w:val="20"/>
        </w:rPr>
        <w:t>, the Company elected to retire the shares. Upon the retirement of these shares, any excess over par value paid, inclusive of direct costs, was recorded as a reduction to retained earnings of $9.9 million, $9.3 million, $18.8 million and $9.5 million for the three and six months ended June 26, 2025 and June 27, 2024, respectively.</w:t>
      </w:r>
    </w:p>
    <w:p>
      <w:pPr>
        <w:pStyle w:val="TextBody"/>
        <w:bidi w:val="0"/>
        <w:spacing w:before="120" w:after="12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—Advertising is the principal business activity of the Company and is the Company’s only operating and reportable segment under the requirements of </w:t>
      </w:r>
      <w:r>
        <w:rPr>
          <w:rFonts w:ascii="Times New Roman" w:hAnsi="Times New Roman"/>
          <w:i/>
          <w:color w:val="000000"/>
          <w:sz w:val="20"/>
        </w:rPr>
        <w:t>ASC 280</w:t>
      </w:r>
      <w:r>
        <w:rPr>
          <w:rFonts w:ascii="Times New Roman" w:hAnsi="Times New Roman"/>
          <w:color w:val="000000"/>
          <w:sz w:val="20"/>
        </w:rPr>
        <w:t>—</w:t>
      </w:r>
      <w:r>
        <w:rPr>
          <w:rFonts w:ascii="Times New Roman" w:hAnsi="Times New Roman"/>
          <w:i/>
          <w:color w:val="000000"/>
          <w:sz w:val="20"/>
        </w:rPr>
        <w:t>Segment Reporting</w:t>
      </w:r>
      <w:r>
        <w:rPr>
          <w:rFonts w:ascii="Times New Roman" w:hAnsi="Times New Roman"/>
          <w:color w:val="000000"/>
          <w:sz w:val="20"/>
        </w:rPr>
        <w:t>.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related to services performed within the United States. The Company’s segment assets are generated and domiciled within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chief operating decision maker assesses performance for the one operating and reportable segment and decides how to allocate resources using consolidated net loss, as presented on the unaudited Condensed Consolidated Statement of Operations as ‘Consolidated net loss,’ among other measures. Consolidated net loss is presented herein as the primary measure as it most closely aligns with US GAAP. The chief operating decision maker uses consolidated net loss to decide whether to utilize profits to invest in the Company or to recommend actions to the Board of Directors such as stock repurchases or future dividends. Consolidated net loss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unaudited Condensed Consolidated Statement of Operations. The Company’s other segment items are consistent with the non-operating income and expense financial statement line items as presented within the unaudited Condensed Consolidated Statement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measure of segment assets used to allocate resources is total assets as reported on the unaudited Condensed Consolidated Balance Sheets, inclusive of cash and cash equivalents as well as accounts receivable as reported on the unaudited Condensed Consolidated Balance Sheets as ‘Cash and cash equivalents’ and ‘Receivables, net of allowance,’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—Capital expenditures include digital applications being developed primarily by the Company’s programmers and outside 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three and six months ended June 26, 2025 and June 27, 2024, were $1.7 million, $1.3 million, $2.4 million and $2.8 million,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 xml:space="preserve">—NCM, Inc. consolidates the accounts of NCM LLC, a variable interest entity wherein NCM, Inc. is the primary beneficiary, under the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Consolidation</w:t>
      </w:r>
      <w:r>
        <w:rPr>
          <w:rFonts w:ascii="Times New Roman" w:hAnsi="Times New Roman"/>
          <w:color w:val="000000"/>
          <w:sz w:val="20"/>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 xml:space="preserve">Consolidation. </w:t>
      </w:r>
      <w:r>
        <w:rPr>
          <w:rFonts w:ascii="Times New Roman" w:hAnsi="Times New Roman"/>
          <w:color w:val="000000"/>
          <w:sz w:val="20"/>
        </w:rPr>
        <w:t>The following table presents the changes in NCM, Inc.’s equity resulting from net income attributable to NCM, Inc. and transfers to or from noncontrolling interests (in millions):</w:t>
      </w:r>
    </w:p>
    <w:tbl>
      <w:tblPr>
        <w:tblW w:w="10205" w:type="dxa"/>
        <w:jc w:val="left"/>
        <w:tblInd w:w="0" w:type="dxa"/>
        <w:tblLayout w:type="fixed"/>
        <w:tblCellMar>
          <w:top w:w="28" w:type="dxa"/>
          <w:left w:w="28" w:type="dxa"/>
          <w:bottom w:w="28" w:type="dxa"/>
          <w:right w:w="28" w:type="dxa"/>
        </w:tblCellMar>
      </w:tblPr>
      <w:tblGrid>
        <w:gridCol w:w="4646"/>
        <w:gridCol w:w="146"/>
        <w:gridCol w:w="306"/>
        <w:gridCol w:w="763"/>
        <w:gridCol w:w="166"/>
        <w:gridCol w:w="146"/>
        <w:gridCol w:w="351"/>
        <w:gridCol w:w="703"/>
        <w:gridCol w:w="166"/>
        <w:gridCol w:w="146"/>
        <w:gridCol w:w="306"/>
        <w:gridCol w:w="763"/>
        <w:gridCol w:w="166"/>
        <w:gridCol w:w="146"/>
        <w:gridCol w:w="306"/>
        <w:gridCol w:w="763"/>
        <w:gridCol w:w="216"/>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NCM LLC equity issued for purchase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and other impacts of subsidiary ownership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redemption of NCM LLC common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Change from net loss attributable to NCM, Inc. and </w:t>
              <w:br/>
              <w:t>   transfers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accounting pronouncements during the three and six months ended June 26,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commonly presented expense captions. Under the new guidance, entities must disclose additional information about certain costs and expenses on an annual and interim basis to enable investors to develop more decision-useful financial analyses. This guidance is effective for issuances on and after December 15, 2026. The Company does not believe this will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REVENUE FROM CONTRACTS WITH CUSTOMERS AND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and the Company’s digital gaming products</w:t>
      </w:r>
      <w:r>
        <w:rPr>
          <w:rFonts w:ascii="Times New Roman" w:hAnsi="Times New Roman"/>
          <w:i/>
          <w:color w:val="000000"/>
          <w:sz w:val="20"/>
        </w:rPr>
        <w:t xml:space="preserve">. </w:t>
      </w:r>
      <w:r>
        <w:rPr>
          <w:rFonts w:ascii="Times New Roman" w:hAnsi="Times New Roman"/>
          <w:color w:val="000000"/>
          <w:sz w:val="20"/>
        </w:rPr>
        <w:t>Further the Company sells advertising in a variety of complementary out-of-home venues. The Company also has a long-term agreement to exhibit up to 90 seconds of advertising to satisfy the ESA Parties’ on-screen advertising commitments under their beverage concessionaire agreements at contractual rates outlined within the ESAs.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does not have any significant contracts with customers with terms in excess of one year that are noncancellable as of June 26, 2025. Agreements with a duration of less than one year or are longer than one year that are cancellable are not considered within unsatisfied performance obligations as the Company elected to use the practical expedient in </w:t>
      </w:r>
      <w:r>
        <w:rPr>
          <w:rFonts w:ascii="Times New Roman" w:hAnsi="Times New Roman"/>
          <w:i/>
          <w:color w:val="000000"/>
          <w:sz w:val="20"/>
        </w:rPr>
        <w:t>ASC 606-10-50-14</w:t>
      </w:r>
      <w:r>
        <w:rPr>
          <w:rFonts w:ascii="Times New Roman" w:hAnsi="Times New Roman"/>
          <w:color w:val="000000"/>
          <w:sz w:val="20"/>
        </w:rPr>
        <w:t xml:space="preserve"> for those contracts.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into the following categories based upon the combination of multiple factors including the type of customer, the products included within a contract and the geographic scope resulting in the following categories: national;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and regional and beverage concessionaire.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three and six months ended June 26, 2025 and June 27, 2024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7"/>
        <w:gridCol w:w="146"/>
        <w:gridCol w:w="341"/>
        <w:gridCol w:w="755"/>
        <w:gridCol w:w="146"/>
        <w:gridCol w:w="146"/>
        <w:gridCol w:w="341"/>
        <w:gridCol w:w="755"/>
        <w:gridCol w:w="146"/>
        <w:gridCol w:w="146"/>
        <w:gridCol w:w="341"/>
        <w:gridCol w:w="755"/>
        <w:gridCol w:w="146"/>
        <w:gridCol w:w="146"/>
        <w:gridCol w:w="341"/>
        <w:gridCol w:w="755"/>
        <w:gridCol w:w="392"/>
      </w:tblGrid>
      <w:tr>
        <w:trPr/>
        <w:tc>
          <w:tcPr>
            <w:tcW w:w="4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advertising revenue from beverage concessionaire </w:t>
              <w:br/>
              <w: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recognized, in the six months ended June 26, 2025, that was included within the ‘Deferred revenue’ balance as of December 26, 2024, was $16.8 million. As of June 26, 2025 and December 26, 2024, the Company had $5.9 million and $2.5 million in unbilled accounts receivable, respectively, within ‘Receivables, net of allowance’ within the unaudited Condensed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Doubtful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doubtful accounts balance is determined separately for each pool of the Company’s receivables with similar risk characteristics. The Company has determined that the use of two pools, national customers and local/regional customers, is appropriate. The changes within the allowance for doubtful accounts balances for the six months ended June 26, 2025 and June 27, 2024, respectively, were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7"/>
        <w:gridCol w:w="146"/>
        <w:gridCol w:w="565"/>
        <w:gridCol w:w="1131"/>
        <w:gridCol w:w="166"/>
        <w:gridCol w:w="146"/>
        <w:gridCol w:w="615"/>
        <w:gridCol w:w="1234"/>
        <w:gridCol w:w="166"/>
        <w:gridCol w:w="146"/>
        <w:gridCol w:w="565"/>
        <w:gridCol w:w="1131"/>
        <w:gridCol w:w="166"/>
        <w:gridCol w:w="146"/>
        <w:gridCol w:w="615"/>
        <w:gridCol w:w="1234"/>
        <w:gridCol w:w="416"/>
      </w:tblGrid>
      <w:tr>
        <w:trPr/>
        <w:tc>
          <w:tcPr>
            <w:tcW w:w="1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2" w:name="section12"/>
      <w:bookmarkEnd w:id="12"/>
      <w:r>
        <w:rPr>
          <w:rFonts w:ascii="Times New Roman" w:hAnsi="Times New Roman"/>
          <w:b/>
          <w:color w:val="000000"/>
          <w:sz w:val="20"/>
        </w:rPr>
        <w:t>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w:t>
              <w:br/>
              <w:t>   and exchangeable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NCM, Inc.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effect of the 214, 16,500, 1,739, and</w:t>
      </w:r>
      <w:r>
        <w:rPr>
          <w:rFonts w:ascii="Times New Roman" w:hAnsi="Times New Roman"/>
          <w:color w:val="FF0000"/>
          <w:sz w:val="20"/>
        </w:rPr>
        <w:t xml:space="preserve"> </w:t>
      </w:r>
      <w:r>
        <w:rPr>
          <w:rFonts w:ascii="Times New Roman" w:hAnsi="Times New Roman"/>
          <w:color w:val="000000"/>
          <w:sz w:val="20"/>
        </w:rPr>
        <w:t>8,250</w:t>
      </w:r>
      <w:r>
        <w:rPr>
          <w:rFonts w:ascii="Times New Roman" w:hAnsi="Times New Roman"/>
          <w:color w:val="FF0000"/>
          <w:sz w:val="20"/>
        </w:rPr>
        <w:t xml:space="preserve"> </w:t>
      </w:r>
      <w:r>
        <w:rPr>
          <w:rFonts w:ascii="Times New Roman" w:hAnsi="Times New Roman"/>
          <w:color w:val="000000"/>
          <w:sz w:val="20"/>
        </w:rPr>
        <w:t>weighted average exchangeable NCM LLC common units held by AMC, for the three and six months ended June 26, 2025, have been excluded from the calculation of diluted weighted average shares and loss per NCM, Inc. share as they were anti-dilutive. NCM LLC common units do not participate in dividends paid on NCM, Inc.'s common stock. In addition, there were 6,334,462, 7,001,408, 6,334,462, and 7,001,408 stock options and non-vested (restricted) shares for the three and six months ended June 26, 2025 and June 27, 2024, respectively,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b/>
          <w:color w:val="000000"/>
          <w:sz w:val="20"/>
        </w:rPr>
      </w:pPr>
      <w:bookmarkStart w:id="13" w:name="section14"/>
      <w:bookmarkEnd w:id="13"/>
      <w:r>
        <w:rPr>
          <w:rFonts w:ascii="Times New Roman" w:hAnsi="Times New Roman"/>
          <w:b/>
          <w:color w:val="000000"/>
          <w:sz w:val="20"/>
        </w:rPr>
        <w:t>4.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the network affiliate agreements, as well as for customer relationships developed and maintained by the Company’s sales force, trademarks held and used by the Company and datasets acquired and used by the Company. The Company's intangible assets, as of the reconsolidation date of August 7, 2023, were revalued at their estimated fair values</w:t>
      </w:r>
      <w:r>
        <w:rPr>
          <w:rFonts w:ascii="Times New Roman" w:hAnsi="Times New Roman"/>
          <w:i/>
          <w:color w:val="000000"/>
          <w:sz w:val="20"/>
        </w:rPr>
        <w:t>,</w:t>
      </w:r>
      <w:r>
        <w:rPr>
          <w:rFonts w:ascii="Times New Roman" w:hAnsi="Times New Roman"/>
          <w:color w:val="000000"/>
          <w:sz w:val="20"/>
        </w:rPr>
        <w:t xml:space="preserve"> net of accumulated amortization. Subsequently acquired intangible assets are recorded at cost. The Company records amortization using the straight-line method over the estimated useful life of each intangible asset. For the contractual rights to provide advertising services within the theaters under the ESA and network affiliate agreements, the estimated useful life corresponds to the term of the ESAs and the average renewable term of the contracts with the network affiliates. For the customer relationships developed and maintained by the Company’s sales force and trademarks held and used by the Company, the estimated useful life corresponds to industry standard lives for customer relationships and trademarks. For the datasets, the estimated useful life corresponds to the shorter of the use rights outlined in the contract under which they were acquired and the estimated rate of obsolescence of the datasets' usefulness.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Upon entering into the 2025 AMC Agreement, the Company determined that there was a triggering event for the Company’s intangible asset group, including the amount related to AMC, under </w:t>
      </w:r>
      <w:r>
        <w:rPr>
          <w:rFonts w:ascii="Times New Roman" w:hAnsi="Times New Roman"/>
          <w:i/>
          <w:color w:val="000000"/>
          <w:sz w:val="20"/>
        </w:rPr>
        <w:t>ASC 360—Impairment and Disposal of Long-Lived Assets</w:t>
      </w:r>
      <w:r>
        <w:rPr>
          <w:rFonts w:ascii="Times New Roman" w:hAnsi="Times New Roman"/>
          <w:color w:val="000000"/>
          <w:sz w:val="20"/>
        </w:rPr>
        <w:t xml:space="preserve"> during the quarter ended June 26, 2025. Management estimated future undiscounted cash flows, including the impacts of the new fee structure under the 2025 AMC Agreement, which has been adjusted to be based on the attendance, the operating screens and the revenue generated by the Company through the advertising displayed in AMC's theaters beginning on July 1, 2025, and the increase in the useful life due to the five year extension. The estimated future cash flows calculated within the analysis were well in excess of the net book value of the Company’s intangible assets and no impairment was recorded in the quarter ended June 26, 2025. Such analysis required management to make estimates and assumptions based on historical data and consideration of future market conditions. Actual results may differ from the estimates and assumptions used, or conditions may change, which could result in impairment charges in the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and Cinemark based on theater additions, new builds or dispositions during the previous year. In the event that either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27, 2025, in accordance with the Common Unit Adjustment Agreement, NCM LLC calculated a reduction of common membership units for AMC and Cinemark to be settled on April 2, 2025. During the quarter ended March 27, 2025, Cinemark, who held no membership units, remitted cash to settle the negative common membership unit adjustment, resulting in a reduction of the intangible asset of $0.1 million as of March 27, 2025. In connection with the Common Unit Adjustment Agreement and the AMC Termination Agreement, AMC returned all of its units and was forgiven any remaining negative common unit adjustment, resulting in a minimal reduction to the intangible asset, during the quarter ended June 26, 2025. As of June 26, 2025, AMC and Cinemark hold no ownership interest in NCM LLC. Following the AMC Termination Agreement, AMC is no longer a party to the Common Unit Adjustment Agreement and will no longer receive NCM LLC Common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27,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a cash settlement as provided in NCM LLC’s Operating Agreement. This redemption reduced Cinemark’s ownership interest in NCM LLC to 0.0% as of April 16, 2024 while AMC’s ownership interest is de minimis.</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 xml:space="preserve">—If an existing on-screen advertising agreement with an alternative provider is in place with respect to any acquired theaters (“Encumbered Theaters”), the applicable ESA Party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Integration payments were calculated based upon the advertising cash flow that the Company would have generated if it had exclusive access to sell advertising in the theaters with pre-existing advertising agreements. The ESAs with AMC and Cinemark additionally entitle NCM LLC to payments related to the ESA Parties’ on-screen advertising commitments under their beverage concessionaire agreements for Encumbered Theaters. The encumbered beverage payments are also accounted for as a reduction to the intangible asset related to the ESAs. Given that the Carmike Cinemas, Inc. (“Carmike”) theaters acquired by AMC are subject to an existing on-screen advertising agreement with an alternative provider, AMC made integration payments and encumbered beverage payments to NCM LLC prior to the 2025 AMC Agreement. Upon the effectiveness of the 2025 AMC Agreement, and assuming the opt out provision is not exercised, AMC will no longer be required to make integration payments, and the $10.6 million in accrued integration payments owed by AMC was forgiven. The Company recorded the forgiveness of the receivable as an increase to the ESA Party intangible asset, during the quarter ended June 26, 2025, in accordance with the lease modification guidance outlined in </w:t>
      </w:r>
      <w:r>
        <w:rPr>
          <w:rFonts w:ascii="Times New Roman" w:hAnsi="Times New Roman"/>
          <w:i/>
          <w:color w:val="000000"/>
          <w:sz w:val="20"/>
        </w:rPr>
        <w:t>ASC 842</w:t>
      </w:r>
      <w:r>
        <w:rPr>
          <w:rFonts w:ascii="Times New Roman" w:hAnsi="Times New Roman"/>
          <w:color w:val="000000"/>
          <w:sz w:val="20"/>
        </w:rPr>
        <w:t>—Leases. During the three and six months ended June 26, 2025 and June 27, 2024, and prior to the effectiveness of the 2025 AMC Agreement, the Company recorded a reduction to net intangible assets of $0.3 million, $0.8 million, $0.6 million, and 1.0 million, respectively, related to integration and other Encumbered Theater payments.</w:t>
      </w:r>
      <w:r>
        <w:rPr>
          <w:rFonts w:ascii="Times New Roman" w:hAnsi="Times New Roman"/>
          <w:color w:val="EE2724"/>
          <w:sz w:val="20"/>
        </w:rPr>
        <w:t xml:space="preserve"> </w:t>
      </w:r>
      <w:r>
        <w:rPr>
          <w:rFonts w:ascii="Times New Roman" w:hAnsi="Times New Roman"/>
          <w:color w:val="000000"/>
          <w:sz w:val="20"/>
        </w:rPr>
        <w:t xml:space="preserve">During the three and six months ended June 26, 2025 and June 27, 2024, AMC and Cinemark paid a total of $0.2 million, $0.2 million, $0.6 million, and $0.5 million, respectively, in integration and Encumbered Theater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and December 26, 2024, the Company’s intangible assets related to the ESA Party agreements were $192.7 million, net of accumulated amortization of $34.3 million, and $212.3 million, net of accumulated amortization of $26.3 million, respectively, with weighted average remaining lives of 15.6 years and 11.6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and December 26, 2024, the Company’s intangible assets related to the network affiliate agreements were $66.1 million, net of accumulated amortization of $8.9 million, and $68.5 million, net of accumulated amortization of $6.5 million, respectively, with weighted average remaining lives of 14.1 years and 14.6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and December 26, 2024, the Company’s intangible assets related to customer relationships were $51.3 million, net of accumulated amortization of $23.7 million, and $57.6 million, net of accumulated amortization of $17.4 million, respectively, with weighted average remaining lives of 4.1 years and 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and December 26, 2024, the Company’s intangible asset related to the trademark was $11.5 million, net of accumulated amortization of $3.5 million, and $12.4 million, net of accumulated amortization of $2.6 million, respectively, with weighted average remaining lives of 6.1 years and 6.6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and December 26, 2024, the Company’s intangible assets related to the datasets were $0.4 million, net of accumulated amortization of $0.0 million, and $0.0 million, net of accumulated amortization of $0.0 million, respectively, with weighted average remaining lives of 2.3 years and 0.0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aggregate amortization expense for the remainder of fiscal 2025 is $15.8 million, $31.5 million for fiscal years 2026 through 2027, and $31.4 million for fiscal year 2028.</w:t>
      </w:r>
    </w:p>
    <w:p>
      <w:pPr>
        <w:pStyle w:val="TextBody"/>
        <w:bidi w:val="0"/>
        <w:spacing w:before="120" w:after="283"/>
        <w:jc w:val="left"/>
        <w:rPr>
          <w:rFonts w:ascii="Times New Roman" w:hAnsi="Times New Roman"/>
          <w:b/>
          <w:color w:val="000000"/>
          <w:sz w:val="20"/>
        </w:rPr>
      </w:pPr>
      <w:bookmarkStart w:id="14" w:name="section15"/>
      <w:bookmarkEnd w:id="14"/>
      <w:r>
        <w:rPr>
          <w:rFonts w:ascii="Times New Roman" w:hAnsi="Times New Roman"/>
          <w:b/>
          <w:color w:val="000000"/>
          <w:sz w:val="20"/>
        </w:rPr>
        <w:t>5. 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—In December 2013, NCM LLC sold its Fathom Events business to a newly formed limited liability company, AC JV, LLC, owned 32% each by AMC, Cinemark and Regal and 4% by NCM LLC. The Company accounts for its investment in AC JV, LLC under the equity method of accounting in accordance with </w:t>
      </w:r>
      <w:r>
        <w:rPr>
          <w:rFonts w:ascii="Times New Roman" w:hAnsi="Times New Roman"/>
          <w:i/>
          <w:color w:val="000000"/>
          <w:sz w:val="20"/>
        </w:rPr>
        <w:t>ASC 323-30, Investments—Equity Method and Joint Ventures</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323-30</w:t>
      </w:r>
      <w:r>
        <w:rPr>
          <w:rFonts w:ascii="Times New Roman" w:hAnsi="Times New Roman"/>
          <w:color w:val="000000"/>
          <w:sz w:val="20"/>
        </w:rPr>
        <w:t xml:space="preserve">”) because AC JV, LLC is a limited liability company with the characteristics of a limited partnership and </w:t>
      </w:r>
      <w:r>
        <w:rPr>
          <w:rFonts w:ascii="Times New Roman" w:hAnsi="Times New Roman"/>
          <w:i/>
          <w:color w:val="000000"/>
          <w:sz w:val="20"/>
        </w:rPr>
        <w:t>ASC 323-30</w:t>
      </w:r>
      <w:r>
        <w:rPr>
          <w:rFonts w:ascii="Times New Roman" w:hAnsi="Times New Roman"/>
          <w:color w:val="000000"/>
          <w:sz w:val="20"/>
        </w:rPr>
        <w:t xml:space="preserve">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$0.8 million and $0.8 million as of June 26, 2025 and December 26, 2024, respectively. During the three and six months ended June 26, 2025 and June 27, 2024, NCM LLC received cash and accrued distributions from AC JV, LLC of $0.3 million, $0.2 million, $0.3 million, and $0.4 million, respectively. Equity in earnings from AC JV, LLC were $0.2 million, $0.2 million, $0.3 million, and $0.7 million, for the three and six months ended June 26, 2025 and June 27, 2024, respectively, and are included in “Other non-operating income, net” in the unaudited Condensed Consolidated Statements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5" w:name="section16"/>
      <w:bookmarkEnd w:id="15"/>
      <w:r>
        <w:rPr>
          <w:rFonts w:ascii="Times New Roman" w:hAnsi="Times New Roman"/>
          <w:b/>
          <w:color w:val="000000"/>
          <w:sz w:val="20"/>
        </w:rPr>
        <w:t>6.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outstanding debt, as of June 26, 2025 and December 26, 2024, and the significant terms of its borrowing arrangements (in millions):</w:t>
      </w:r>
    </w:p>
    <w:p>
      <w:pPr>
        <w:pStyle w:val="TextBody"/>
        <w:bidi w:val="0"/>
        <w:jc w:val="left"/>
        <w:rPr/>
      </w:pPr>
      <w:r>
        <w:rPr/>
        <w:t> </w:t>
      </w:r>
    </w:p>
    <w:tbl>
      <w:tblPr>
        <w:tblW w:w="9946" w:type="dxa"/>
        <w:jc w:val="left"/>
        <w:tblInd w:w="0" w:type="dxa"/>
        <w:tblLayout w:type="fixed"/>
        <w:tblCellMar>
          <w:top w:w="28" w:type="dxa"/>
          <w:left w:w="28" w:type="dxa"/>
          <w:bottom w:w="28" w:type="dxa"/>
          <w:right w:w="28" w:type="dxa"/>
        </w:tblCellMar>
      </w:tblPr>
      <w:tblGrid>
        <w:gridCol w:w="3191"/>
        <w:gridCol w:w="146"/>
        <w:gridCol w:w="427"/>
        <w:gridCol w:w="698"/>
        <w:gridCol w:w="192"/>
        <w:gridCol w:w="192"/>
        <w:gridCol w:w="467"/>
        <w:gridCol w:w="1033"/>
        <w:gridCol w:w="146"/>
        <w:gridCol w:w="146"/>
        <w:gridCol w:w="1501"/>
        <w:gridCol w:w="146"/>
        <w:gridCol w:w="367"/>
        <w:gridCol w:w="683"/>
        <w:gridCol w:w="61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2025 Credit Facility are described below.</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Revolving Credit Facility 2023 are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agreement provides for a $45.0 million senior secured revolving credit facility that matures on January 24, 2028. As of June 26, 2025, NCM LLC has not made any borrowings under the 2025 Credit Facility. Upon execution of the 2025 Credit Facility, NCM LLC recorded $0.9 million of debt issuance costs. As of June 26, 2025, NCM LLC's maximum availability under the $45.0 million 2025 Credit Facility was $44.4 million, net of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Credit Facility contains affirmative and negative covenants customary for financings of this type, with which NCM LLC was in compliance at June 26, 2025, including limitations on the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As of June 26, 2025, the NCM LLC’s fixed charge coverage ratio was 6.3 to 1.0 (versus the required ratio of 1.1 to 1.0).</w:t>
      </w:r>
    </w:p>
    <w:p>
      <w:pPr>
        <w:pStyle w:val="TextBody"/>
        <w:bidi w:val="0"/>
        <w:spacing w:before="120" w:after="283"/>
        <w:jc w:val="left"/>
        <w:rPr>
          <w:rFonts w:ascii="Times New Roman" w:hAnsi="Times New Roman"/>
          <w:sz w:val="20"/>
        </w:rPr>
      </w:pPr>
      <w:r>
        <w:rPr>
          <w:rFonts w:ascii="Times New Roman" w:hAnsi="Times New Roman"/>
          <w:b/>
          <w:i/>
          <w:color w:val="000000"/>
          <w:sz w:val="20"/>
        </w:rPr>
        <w:t>Loan, Security and Guarantee Agreement</w:t>
      </w:r>
      <w:r>
        <w:rPr>
          <w:rFonts w:ascii="Times New Roman" w:hAnsi="Times New Roman"/>
          <w:color w:val="000000"/>
          <w:sz w:val="20"/>
        </w:rPr>
        <w:t xml:space="preserve">—On August 7, 2023, NCM LLC entered into a Loan, Security and Guarantee Agreement (the “Revolving Credit Facility 2023”) with CIT Northbridge Credit LLC as agent. The Revolving Credit Facility 2023 was an asset backed line facility where the capacity depends upon NCM LLC’s trade accounts receivable balance, as adjusted for aged balances and other considerations. The maximum availability NCM LLC had access to under the Revolving Credit Facility 2023 was $55,000,000. The proceeds of the Revolving Credit Facility 2023 could have been used for, inter alia, working capital and capital expenditures. The Revolving Credit Facility 2023 was to mature on August 7, 2026. The interest rate under the Revolving Credit Facility 2023 was a base rate of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$5,000,000 and (b) 10% of aggregate revolving commitments. A Trigger Period ended only if (i) no event of default existed for the preceding thirty (30) consecutive days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(ii) availability was greater than both (a) $5,000,000 and (b) 10% of aggregate revolving commitments. Upon the effectiveness of the Revolving Credit Facility 2023, NCM LLC immediately drew $10.0 million from the facility, which represents the only amount outstanding under the Revolving Credit Facility 2023 at any time. The Revolving Credit Facility 2023 also contained customary representations, warranties, covenants, events of default, terms and conditions, including limitations on liens, incurrence of debt, mergers and significant asset dispositions.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entering into the 2025 Credit Facility, NCM LLC repaid the $10.0 million balance outstanding in full and terminated all commitments under its Revolving Credit Facility 2023, and in connection with this termination, paid a prepayment fee equal to 1% of the total commitment. This resulted in a loss on debt extinguishment of $1.8 million within the three months ended March 27, 2025.</w:t>
      </w:r>
    </w:p>
    <w:p>
      <w:pPr>
        <w:pStyle w:val="TextBody"/>
        <w:bidi w:val="0"/>
        <w:spacing w:before="120" w:after="283"/>
        <w:jc w:val="left"/>
        <w:rPr>
          <w:rFonts w:ascii="Times New Roman" w:hAnsi="Times New Roman"/>
          <w:b/>
          <w:color w:val="000000"/>
          <w:sz w:val="20"/>
        </w:rPr>
      </w:pPr>
      <w:bookmarkStart w:id="16" w:name="section17"/>
      <w:bookmarkEnd w:id="16"/>
      <w:r>
        <w:rPr>
          <w:rFonts w:ascii="Times New Roman" w:hAnsi="Times New Roman"/>
          <w:b/>
          <w:color w:val="000000"/>
          <w:sz w:val="20"/>
        </w:rPr>
        <w:t>7.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 Company’s Effective Tax Rate</w:t>
      </w:r>
      <w:r>
        <w:rPr>
          <w:rFonts w:ascii="Times New Roman" w:hAnsi="Times New Roman"/>
          <w:color w:val="000000"/>
          <w:sz w:val="20"/>
        </w:rPr>
        <w:t xml:space="preserve">—The Company recorded income tax expense of $0.0 million for the three and six months ended June 26, 2025 and for the three and six months ended June 27, 2024, resulting in an effective tax rate of 0.0% for these periods. The Company held a full valuation allowance on its net deferred tax assets as of December 26, 2024 following the determination it was more-likely-than-not that the Company will not be able to realize the benefit of those assets. The Company maintained a full valuation allowance as of June 26, 2025, resulting in deferred tax expense of $0.0 million for the three months and six months ended June 26, 2025 and the Company’s effective tax rate of 0.0%. </w:t>
      </w:r>
    </w:p>
    <w:p>
      <w:pPr>
        <w:pStyle w:val="TextBody"/>
        <w:bidi w:val="0"/>
        <w:spacing w:before="120" w:after="283"/>
        <w:jc w:val="left"/>
        <w:rPr>
          <w:rFonts w:ascii="Times New Roman" w:hAnsi="Times New Roman"/>
          <w:sz w:val="20"/>
        </w:rPr>
      </w:pPr>
      <w:r>
        <w:rPr>
          <w:rFonts w:ascii="Times New Roman" w:hAnsi="Times New Roman"/>
          <w:b/>
          <w:i/>
          <w:color w:val="000000"/>
          <w:sz w:val="20"/>
        </w:rPr>
        <w:t>Adjustments to the Company's Payable under the TRA</w:t>
      </w:r>
      <w:r>
        <w:rPr>
          <w:rFonts w:ascii="Times New Roman" w:hAnsi="Times New Roman"/>
          <w:color w:val="000000"/>
          <w:sz w:val="20"/>
        </w:rPr>
        <w:t xml:space="preserve">—Within the AMC Termination Agreement, AMC waived all rights and interests as to the TRA and the Company reduced the 'Payable under the TRA' on the unaudited Condensed Consolidated Balance Sheets for the amounts recorded associated with AMC of $21.6 million. The cancellation of this payable was considered akin to a lease incentive related to the modification of the short-term operating lease of AMC's screens under </w:t>
      </w:r>
      <w:r>
        <w:rPr>
          <w:rFonts w:ascii="Times New Roman" w:hAnsi="Times New Roman"/>
          <w:i/>
          <w:color w:val="000000"/>
          <w:sz w:val="20"/>
        </w:rPr>
        <w:t>ASC 842—Leases</w:t>
      </w:r>
      <w:r>
        <w:rPr>
          <w:rFonts w:ascii="Times New Roman" w:hAnsi="Times New Roman"/>
          <w:color w:val="000000"/>
          <w:sz w:val="20"/>
        </w:rPr>
        <w:t xml:space="preserve"> and it was recorded against the intangible asset for the ESA Parties upon the effectiveness of the AMC Termination Agreement in the three months ended June 26, 2025. The adjustment will reduce amortization expense of the intangible over the remainder of its useful life, which is considered akin to lease expense.</w:t>
      </w:r>
    </w:p>
    <w:p>
      <w:pPr>
        <w:pStyle w:val="TextBody"/>
        <w:bidi w:val="0"/>
        <w:spacing w:before="120" w:after="283"/>
        <w:jc w:val="left"/>
        <w:rPr>
          <w:rFonts w:ascii="Times New Roman" w:hAnsi="Times New Roman"/>
          <w:b/>
          <w:color w:val="000000"/>
          <w:sz w:val="20"/>
        </w:rPr>
      </w:pPr>
      <w:bookmarkStart w:id="17" w:name="section18"/>
      <w:bookmarkEnd w:id="17"/>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adverse effect individually or in the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Facilities</w:t>
      </w:r>
      <w:r>
        <w:rPr>
          <w:rFonts w:ascii="Times New Roman" w:hAnsi="Times New Roman"/>
          <w:color w:val="000000"/>
          <w:sz w:val="20"/>
        </w:rPr>
        <w:t xml:space="preserve">—The Company has entered into operating lease agreements for its corporate headquarters and other regional offices. The Company has right-of-use (“ROU”) assets of $11.4 million and short-term and long-term lease liabilities of $2.1 million and $11.4 million, respectively, on the balance sheet as of June 26, 2025, for all material leases with terms longer than twelve months. As of December 26, 2024, the Company had ROU assets of $12.2 million and short-term and long-term lease liabilities of $1.7 million and $12.5 million, respectively, for all material leases with terms longer than twelve months. These balances are included within ‘Other assets’, ‘Other current liabilities’ and ‘Long-term lease liabilities’, respectively, on the unaudited Condensed Consolidated Balance Sheets. As of June 26, 2025, the Company had a weighted average remaining lease term of 7.1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June 26, 2025, the Company’s weighted average annual discount rate used to establish the ROU assets and lease liabilities was 4.7%.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26, 2025 and June 27, 2024,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pStyle w:val="TextBody"/>
        <w:bidi w:val="0"/>
        <w:jc w:val="left"/>
        <w:rPr/>
      </w:pPr>
      <w:r>
        <w:rPr/>
        <w:t> </w:t>
      </w:r>
    </w:p>
    <w:tbl>
      <w:tblPr>
        <w:tblW w:w="7503" w:type="dxa"/>
        <w:jc w:val="left"/>
        <w:tblInd w:w="0" w:type="dxa"/>
        <w:tblLayout w:type="fixed"/>
        <w:tblCellMar>
          <w:top w:w="28" w:type="dxa"/>
          <w:left w:w="28" w:type="dxa"/>
          <w:bottom w:w="28" w:type="dxa"/>
          <w:right w:w="28" w:type="dxa"/>
        </w:tblCellMar>
      </w:tblPr>
      <w:tblGrid>
        <w:gridCol w:w="1756"/>
        <w:gridCol w:w="146"/>
        <w:gridCol w:w="414"/>
        <w:gridCol w:w="711"/>
        <w:gridCol w:w="163"/>
        <w:gridCol w:w="163"/>
        <w:gridCol w:w="414"/>
        <w:gridCol w:w="711"/>
        <w:gridCol w:w="146"/>
        <w:gridCol w:w="146"/>
        <w:gridCol w:w="415"/>
        <w:gridCol w:w="710"/>
        <w:gridCol w:w="146"/>
        <w:gridCol w:w="146"/>
        <w:gridCol w:w="415"/>
        <w:gridCol w:w="710"/>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made total lease payments of $0.5 million, $0.4 million, $1.0 million, and $1.2 million during the three and six months ended June 26, 2025 and June 27, 2024, respectively. These payments are included within cash flows from operating activities within the unaudited Condensed Consolidated Statement of Cash Flows.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ESAs and Affiliate Agreements</w:t>
      </w:r>
      <w:r>
        <w:rPr>
          <w:rFonts w:ascii="Times New Roman" w:hAnsi="Times New Roman"/>
          <w:color w:val="000000"/>
          <w:sz w:val="20"/>
        </w:rPr>
        <w:t>—The Company has entered into long-term ESAs and multi-year agreements with 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the ESA Parties in accordance with NCM LLC’s Common Unit Adjustment Agreement and upfront cash payments to the affiliates for the contractual rights to provide the Company’s services within their theaters as further discussed within Note 4—</w:t>
      </w:r>
      <w:r>
        <w:rPr>
          <w:rFonts w:ascii="Times New Roman" w:hAnsi="Times New Roman"/>
          <w:i/>
          <w:color w:val="000000"/>
          <w:sz w:val="20"/>
        </w:rPr>
        <w:t>Intangible Assets</w:t>
      </w:r>
      <w:r>
        <w:rPr>
          <w:rFonts w:ascii="Times New Roman" w:hAnsi="Times New Roman"/>
          <w:color w:val="000000"/>
          <w:sz w:val="20"/>
        </w:rPr>
        <w:t xml:space="preserve">. These ESAs and network affiliate agreements are considered leases under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 xml:space="preserve">Leases </w:t>
      </w:r>
      <w:r>
        <w:rPr>
          <w:rFonts w:ascii="Times New Roman" w:hAnsi="Times New Roman"/>
          <w:color w:val="000000"/>
          <w:sz w:val="20"/>
        </w:rPr>
        <w:t>("</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once the asset is identified and the period of control is determined upon the scheduling of the showtimes by the exhibitors, typically one week prior to the showtime. As such, the leases are considered short-term in nature, specifically less than one month. Within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$4.6 million, $5.9 million, $10.4 million, and $11.7 million in amortization of these intangible assets in the three and six months ended June 26, 2025 and June 27,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and network affiliate's theater attendees for on-screen advertising and use of lobbies and other space within the exhibitors’ theaters for the LEN and lobby promotions, the ESA Parties and network affiliates receive payments based either upon number of attendees (pre or post-showtime), a revenue share, a fee per screen or digital screen or a combination, including a minimum revenue guarantee per attendee. Many of these agreements contain increases annually or every five years to the respective fee structures or guaranteed minimums, either per patron, per theater and/or per digital screen in a range from 2% to 8% depending upon the underlying agreement. The theater access fee paid in the aggregate to Cinemark cannot be less than 12% of NCM LLC’s aggregate advertising revenue (as defined in the ESA), or it will be adjusted upward to reach this minimum payment. As of June 26, 2025 and December 26, 2024, the Company had no liabilities recorded for the minimum payment, as the theater access fee was in excess of the minimum. The Company does not owe any theater access fees or revenue share when the theaters are not displaying the Company's pre-show or when the Company does not have access to the theaters. The digital screen fee is calculated based upon average screens in use during each month. As part of the AMC 2025 Agreement, the Company will modernize certain lobbies within AMC's theaters, which will require the Company to expend refurbishment costs upon identification of a third-party vendor.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26, 2025, the maximum potential amount of future payments the Company could be required to make pursuant to the minimum revenue guarantees is $292.6 million over the remaining terms of the network affiliate agreements, contingent upon the achievement of network affiliate minimum attendance thresholds. These minimum guarantees relate to various affiliate agreements ranging in term from two years to fifteen years, prior to any renewal periods of which some are at the option of the Company. The Company accrued $0.5 million and $0.7 million related to affiliate agreements with guaranteed minimums in excess of the revenue share agreement as of June 26, 2025 and December 26, 2024,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—Inputs that are generally unobservable and typically reflect management’s estimate of assumptions that market participants would use in pricing the asset or liability.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other investments, notes receivable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 xml:space="preserve">—The Company regularly reviews long-lived assets (primarily property, plant and 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266"/>
        <w:gridCol w:w="146"/>
        <w:gridCol w:w="415"/>
        <w:gridCol w:w="710"/>
        <w:gridCol w:w="146"/>
        <w:gridCol w:w="146"/>
        <w:gridCol w:w="552"/>
        <w:gridCol w:w="948"/>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26, 2025,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or to be provided in exchange for the investment. As the inputs to the determination of fair value are based upon non-identical assets and use significant unobservable inputs, they have been classified as Level 3 in the fair value hierarchy.</w:t>
      </w:r>
    </w:p>
    <w:p>
      <w:pPr>
        <w:pStyle w:val="TextBody"/>
        <w:bidi w:val="0"/>
        <w:spacing w:before="120" w:after="283"/>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Revolving Credit Facility 2023, as of December 26, 2024, was considered a reasonable estimate of fair value due to the respective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 Company had no assets and liabilities measured on a recurring basis pursuant to </w:t>
      </w:r>
      <w:r>
        <w:rPr>
          <w:rFonts w:ascii="Times New Roman" w:hAnsi="Times New Roman"/>
          <w:i/>
          <w:color w:val="000000"/>
          <w:sz w:val="20"/>
        </w:rPr>
        <w:t>ASC 820-10</w:t>
      </w:r>
      <w:r>
        <w:rPr>
          <w:rFonts w:ascii="Times New Roman" w:hAnsi="Times New Roman"/>
          <w:color w:val="000000"/>
          <w:sz w:val="20"/>
        </w:rPr>
        <w:t xml:space="preserve"> </w:t>
      </w:r>
      <w:r>
        <w:rPr>
          <w:rFonts w:ascii="Times New Roman" w:hAnsi="Times New Roman"/>
          <w:i/>
          <w:color w:val="000000"/>
          <w:sz w:val="20"/>
        </w:rPr>
        <w:t>Fair Value Measurements and Disclosures</w:t>
      </w:r>
      <w:r>
        <w:rPr>
          <w:rFonts w:ascii="Times New Roman" w:hAnsi="Times New Roman"/>
          <w:color w:val="000000"/>
          <w:sz w:val="20"/>
        </w:rPr>
        <w:t xml:space="preserve"> as of June 26, 2025</w:t>
      </w:r>
      <w:r>
        <w:rPr>
          <w:rFonts w:ascii="Times New Roman" w:hAnsi="Times New Roman"/>
          <w:i/>
          <w:color w:val="000000"/>
          <w:sz w:val="20"/>
        </w:rPr>
        <w:t>.</w:t>
      </w:r>
      <w:r>
        <w:rPr>
          <w:rFonts w:ascii="Times New Roman" w:hAnsi="Times New Roman"/>
          <w:color w:val="000000"/>
          <w:sz w:val="20"/>
        </w:rPr>
        <w:t xml:space="preserve"> The fair values of the Company’s assets and liabilities measured on a recurring basis pursuant to </w:t>
      </w:r>
      <w:r>
        <w:rPr>
          <w:rFonts w:ascii="Times New Roman" w:hAnsi="Times New Roman"/>
          <w:i/>
          <w:color w:val="000000"/>
          <w:sz w:val="20"/>
        </w:rPr>
        <w:t>ASC 820-10</w:t>
      </w:r>
      <w:r>
        <w:rPr>
          <w:rFonts w:ascii="Times New Roman" w:hAnsi="Times New Roman"/>
          <w:color w:val="000000"/>
          <w:sz w:val="20"/>
        </w:rPr>
        <w:t xml:space="preserve"> </w:t>
      </w:r>
      <w:r>
        <w:rPr>
          <w:rFonts w:ascii="Times New Roman" w:hAnsi="Times New Roman"/>
          <w:i/>
          <w:color w:val="000000"/>
          <w:sz w:val="20"/>
        </w:rPr>
        <w:t>Fair Value Measurements and Disclosures,</w:t>
      </w:r>
      <w:r>
        <w:rPr>
          <w:rFonts w:ascii="Times New Roman" w:hAnsi="Times New Roman"/>
          <w:color w:val="000000"/>
          <w:sz w:val="20"/>
        </w:rPr>
        <w:t xml:space="preserve"> as of December 26, 2024, are as follows (in millions):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345"/>
        <w:gridCol w:w="764"/>
        <w:gridCol w:w="146"/>
        <w:gridCol w:w="146"/>
        <w:gridCol w:w="641"/>
        <w:gridCol w:w="1420"/>
        <w:gridCol w:w="146"/>
        <w:gridCol w:w="146"/>
        <w:gridCol w:w="622"/>
        <w:gridCol w:w="1066"/>
        <w:gridCol w:w="146"/>
        <w:gridCol w:w="146"/>
        <w:gridCol w:w="625"/>
        <w:gridCol w:w="1026"/>
        <w:gridCol w:w="594"/>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As of</w:t>
              <w:b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Cash equivalents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Short-term marketable securities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—The Company’s cash equivalents are carried at estimated fair value. Cash equivalents consist of money market accounts which the Company has classified as Level 1 given the active market for these accounts.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sz w:val="20"/>
        </w:rPr>
      </w:pPr>
      <w:r>
        <w:rPr>
          <w:rFonts w:ascii="Times New Roman" w:hAnsi="Times New Roman"/>
          <w:i/>
          <w:color w:val="000000"/>
          <w:sz w:val="20"/>
        </w:rPr>
        <w:t>Short-term marketable securities</w:t>
      </w:r>
      <w:r>
        <w:rPr>
          <w:rFonts w:ascii="Times New Roman" w:hAnsi="Times New Roman"/>
          <w:color w:val="000000"/>
          <w:sz w:val="20"/>
        </w:rPr>
        <w:t>—The carrying amount and fair value of the marketable securities are equivalent since the Company accounts for 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SUBSEQUENT EVENT</w:t>
      </w:r>
    </w:p>
    <w:p>
      <w:pPr>
        <w:pStyle w:val="TextBody"/>
        <w:bidi w:val="0"/>
        <w:spacing w:before="120" w:after="160"/>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—On August 5, 2025, the Company declared a cash dividend of $0.03 per share (approximately $2.8 million) on each share of the Company’s common stock (not including outstanding restricted stock units which will accrue dividends until the shares vest) to stockholders of record on August 15, 2025 to be paid on August 29,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2_mda"/>
      <w:bookmarkEnd w:id="18"/>
      <w:r>
        <w:rPr>
          <w:rFonts w:ascii="Times New Roman" w:hAnsi="Times New Roman"/>
          <w:b/>
          <w:color w:val="000000"/>
          <w:sz w:val="20"/>
        </w:rPr>
        <w:t xml:space="preserve">Item 2.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Annual Report on Form 10-K for the Company’s fiscal year ended December 26, 2024. Investors are cautioned not to place undue reliance on any such forward-looking statements, which speak to the information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26, 2024. In the following discussion and analysis, the term net income refers to net income attributable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depending on the theater circuit in which it runs, which may include Post-Showtime advertising inventory after the advertised showtime. As of June 26, 2025, theaters presenting The </w:t>
      </w:r>
      <w:r>
        <w:rPr>
          <w:rFonts w:ascii="Times New Roman" w:hAnsi="Times New Roman"/>
          <w:i/>
          <w:color w:val="000000"/>
          <w:sz w:val="20"/>
        </w:rPr>
        <w:t xml:space="preserve">Noovie </w:t>
      </w:r>
      <w:r>
        <w:rPr>
          <w:rFonts w:ascii="Times New Roman" w:hAnsi="Times New Roman"/>
          <w:color w:val="000000"/>
          <w:sz w:val="20"/>
        </w:rPr>
        <w:t xml:space="preserve">Show format with Post-Showtime Inventory made up approximately 96.4% of our network. All other NCM network theater circuits, which make up the remaining 3.6% of our network, present The </w:t>
      </w:r>
      <w:r>
        <w:rPr>
          <w:rFonts w:ascii="Times New Roman" w:hAnsi="Times New Roman"/>
          <w:i/>
          <w:color w:val="000000"/>
          <w:sz w:val="20"/>
        </w:rPr>
        <w:t xml:space="preserve">Noovie </w:t>
      </w:r>
      <w:r>
        <w:rPr>
          <w:rFonts w:ascii="Times New Roman" w:hAnsi="Times New Roman"/>
          <w:color w:val="000000"/>
          <w:sz w:val="20"/>
        </w:rPr>
        <w:t xml:space="preserve">Show, without Post-Showtime advertising inventory. The movie trailers presented by the theater circuits that run before the feature film are not part of The </w:t>
      </w:r>
      <w:r>
        <w:rPr>
          <w:rFonts w:ascii="Times New Roman" w:hAnsi="Times New Roman"/>
          <w:i/>
          <w:color w:val="000000"/>
          <w:sz w:val="20"/>
        </w:rPr>
        <w:t xml:space="preserve">Noovie </w:t>
      </w:r>
      <w:r>
        <w:rPr>
          <w:rFonts w:ascii="Times New Roman" w:hAnsi="Times New Roman"/>
          <w:color w:val="000000"/>
          <w:sz w:val="20"/>
        </w:rPr>
        <w:t xml:space="preserve">Show.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sell advertising on our lobby network (“LEN”), a series of strategically placed screens located in movie theater lobbies, as well as other forms of advertising and promotions in theater lobbies. In addition, we sell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and through our </w:t>
      </w:r>
      <w:r>
        <w:rPr>
          <w:rFonts w:ascii="Times New Roman" w:hAnsi="Times New Roman"/>
          <w:i/>
          <w:color w:val="000000"/>
          <w:sz w:val="20"/>
        </w:rPr>
        <w:t>Noovie</w:t>
      </w:r>
      <w:r>
        <w:rPr>
          <w:rFonts w:ascii="Times New Roman" w:hAnsi="Times New Roman"/>
          <w:color w:val="000000"/>
          <w:sz w:val="20"/>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As of June 26, 2025, 7.4 million moviegoers have downloaded our mobile apps. These downloads and the acquisition of second- and third-party data have resulted in approximately 1.4 billion data sets as of June 26, 2025. We have long-term ESAs (approximately 16.2 weighted average years remaining) and multi-year agreements with our network affiliates, which expire at various dates between January 2026 and July 2033. The weighted average remaining term of the ESAs and the network affiliate agreements is 12.4 years as of June 26, 2025. The ESAs and network affiliate agreements grant NCM LLC exclusive rights in their theaters to sell advertising, subject to limited exceptions. Our </w:t>
      </w:r>
      <w:r>
        <w:rPr>
          <w:rFonts w:ascii="Times New Roman" w:hAnsi="Times New Roman"/>
          <w:i/>
          <w:color w:val="000000"/>
          <w:sz w:val="20"/>
        </w:rPr>
        <w:t>Noovie</w:t>
      </w:r>
      <w:r>
        <w:rPr>
          <w:rFonts w:ascii="Times New Roman" w:hAnsi="Times New Roman"/>
          <w:color w:val="000000"/>
          <w:sz w:val="20"/>
        </w:rPr>
        <w:t xml:space="preserve"> Show and LEN programming are distributed predominantly via satellite through our proprietary digital content network (“DCN”).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be affected by a variety of internal and external factors and trends described more fully in the section entitled “Risk Factors” in our Annual Report on Form 10-K, filed with the SEC on March 6, 2025, for our fiscal year ended December 26,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17, 2025, the Company and AMC, entered into the Second Amended and Restated Exhibitor Services Agreement (the “2025 AMC Agreement”) and a separate termination agreement (the “AMC Termination Agreement”) by and among NCM LLC, the Company and AMC. The 2025 AMC Agreement extends the term of the ESA by five years and more closely aligns the program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ASC 842—</w:t>
      </w:r>
      <w:r>
        <w:rPr>
          <w:rFonts w:ascii="Times New Roman" w:hAnsi="Times New Roman"/>
          <w:i/>
          <w:color w:val="000000"/>
          <w:sz w:val="20"/>
        </w:rPr>
        <w:t>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quarter ended June 26, 2025, NCM LLC released $21.6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rights to advertise in AMC's theaters. The net impact of these reversals was recorded to the 'Intangible Assets, net of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4—</w:t>
      </w:r>
      <w:r>
        <w:rPr>
          <w:rFonts w:ascii="Times New Roman" w:hAnsi="Times New Roman"/>
          <w:i/>
          <w:color w:val="000000"/>
          <w:sz w:val="20"/>
        </w:rPr>
        <w:t>Intangible Assets</w:t>
      </w:r>
      <w:r>
        <w:rPr>
          <w:rFonts w:ascii="Times New Roman" w:hAnsi="Times New Roman"/>
          <w:color w:val="000000"/>
          <w:sz w:val="20"/>
        </w:rPr>
        <w:t>, Note 7—</w:t>
      </w:r>
      <w:r>
        <w:rPr>
          <w:rFonts w:ascii="Times New Roman" w:hAnsi="Times New Roman"/>
          <w:i/>
          <w:color w:val="000000"/>
          <w:sz w:val="20"/>
        </w:rPr>
        <w:t>Income Taxes</w:t>
      </w:r>
      <w:r>
        <w:rPr>
          <w:rFonts w:ascii="Times New Roman" w:hAnsi="Times New Roman"/>
          <w:color w:val="000000"/>
          <w:sz w:val="20"/>
        </w:rPr>
        <w:t>, and Note 8—</w:t>
      </w:r>
      <w:r>
        <w:rPr>
          <w:rFonts w:ascii="Times New Roman" w:hAnsi="Times New Roman"/>
          <w:i/>
          <w:color w:val="000000"/>
          <w:sz w:val="20"/>
        </w:rPr>
        <w:t xml:space="preserve">Commitments and Contingencies </w:t>
      </w:r>
      <w:r>
        <w:rPr>
          <w:rFonts w:ascii="Times New Roman" w:hAnsi="Times New Roman"/>
          <w:color w:val="000000"/>
          <w:sz w:val="20"/>
        </w:rPr>
        <w:t>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June 26,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six months ended June 26, 2025 and June 27, 2024, 1.8 million, 1.9 million, 3.3 million and 1.9 million shares were repurchased on the open market. In accordance with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505 —Equity</w:t>
      </w:r>
      <w:r>
        <w:rPr>
          <w:rFonts w:ascii="Times New Roman" w:hAnsi="Times New Roman"/>
          <w:color w:val="000000"/>
          <w:sz w:val="20"/>
        </w:rPr>
        <w:t>, these shares were retired and any excess over par value paid was recorded as a reduction to retained earnings of $9.9 million, $9.3 million, $18.8 million and $9.5 million for the three and six months ended June 26, 2025 and June 27, 2024. As of June 26, 2025, 5.8 million shares have been repurchased on the open market since the program's inception.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and also referred to as the "Revolving Credit Facility 2023") to support operations upon emergence. As a result of the Plan,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historical debt of NCM LLC was discharged and NCM LLC recorded a gain on bankruptcy of $916.4 million for the year ended December 26,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the assets and liabilities of NCM LLC were 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26, 2025, the Company had not completed all agreed upon payments to the General Unsecured Claim Pool and held a total of $3.0 million within the escrow accounts and accruals, presented within ‘Restricted cash’ and ‘Accounts payable’ on the unaudited Condensed Consolidated Balance Sheet as of June 26, 2025. On March 28, 2025, a final decree was entered by the Bankruptcy Court administratively closing the Chapter 11 Case. After this administrative closing the Bankruptcy Court will continue to have jurisdiction over the ongoing claims related to the Chapter 11 Case.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Historical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information with the other information contained in this document, and our unaudited historical financial statements and the notes thereto included elsewhere in this document.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Data</w:t>
      </w:r>
      <w:r>
        <w:rPr>
          <w:rFonts w:ascii="Times New Roman" w:hAnsi="Times New Roman"/>
          <w:color w:val="000000"/>
          <w:sz w:val="20"/>
        </w:rPr>
        <w:t>——The following table presents operating data and Adjusted OIBDA (dollars in millions, except share, margin and screen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8"/>
        <w:gridCol w:w="146"/>
        <w:gridCol w:w="211"/>
        <w:gridCol w:w="676"/>
        <w:gridCol w:w="271"/>
        <w:gridCol w:w="146"/>
        <w:gridCol w:w="211"/>
        <w:gridCol w:w="676"/>
        <w:gridCol w:w="271"/>
        <w:gridCol w:w="146"/>
        <w:gridCol w:w="216"/>
        <w:gridCol w:w="586"/>
        <w:gridCol w:w="288"/>
        <w:gridCol w:w="146"/>
        <w:gridCol w:w="216"/>
        <w:gridCol w:w="586"/>
        <w:gridCol w:w="271"/>
        <w:gridCol w:w="146"/>
        <w:gridCol w:w="180"/>
        <w:gridCol w:w="707"/>
        <w:gridCol w:w="288"/>
        <w:gridCol w:w="146"/>
        <w:gridCol w:w="163"/>
        <w:gridCol w:w="708"/>
        <w:gridCol w:w="736"/>
      </w:tblGrid>
      <w:tr>
        <w:trPr/>
        <w:tc>
          <w:tcPr>
            <w:tcW w:w="2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w:t>
              <w:br/>
              <w:t>2025</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basic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screens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ESA Party screens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NCM LLC’s advertising network, excluding screens and attendance associated with AMC Carmike theaters that are currently part of another cinema advertising network for each of the periods presented. Refer to Note 4 to the unaudited Condensed Consolidated Financial Statements included elsewhere in this document.</w:t>
      </w:r>
    </w:p>
    <w:p>
      <w:pPr>
        <w:pStyle w:val="TextBody"/>
        <w:bidi w:val="0"/>
        <w:spacing w:before="120" w:after="12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 xml:space="preserve">Adjusted OIBDA and Adjusted OIBDA margin are financial measures that are not calculated in accordance with GAAP in the United States. Adjusted OIBDA represents operating income before depreciation and amortization expense adjusted to also exclude non-cash share-based compensation costs, workforce reorganization costs, system optimization costs, satellite transitions costs and advisor fees related to involvement in Regal’s Chapter 11 case (the “Cineworld Proceeding”) and the Chapter 11 Case. Adjusted OIBDA margin is calculated by dividing Adjusted OIBDA by total revenue. Our management uses these non-GAAP financial measures to evaluate operating performance, to forecast future results and as a basis for compensation. The Company believes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compensation programs, workforce reorganization costs, system optimization costs, satellite transition costs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workforce reorganization costs, system optimization costs, satellite transition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AOIBDA margin. Because not all companies use identical calculations, these non-GAAP presentations may not be comparable to other similarly titled measures of other companies or calculations in the Company’s debt agreement.</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The following table reconciles operating loss and operating margin to Adjusted OIBDA and Adjusted OIBDA margin for the periods presented (dollars in millions):</w:t>
      </w:r>
    </w:p>
    <w:tbl>
      <w:tblPr>
        <w:tblW w:w="9958" w:type="dxa"/>
        <w:jc w:val="left"/>
        <w:tblInd w:w="0" w:type="dxa"/>
        <w:tblLayout w:type="fixed"/>
        <w:tblCellMar>
          <w:top w:w="28" w:type="dxa"/>
          <w:left w:w="28" w:type="dxa"/>
          <w:bottom w:w="28" w:type="dxa"/>
          <w:right w:w="28" w:type="dxa"/>
        </w:tblCellMar>
      </w:tblPr>
      <w:tblGrid>
        <w:gridCol w:w="4621"/>
        <w:gridCol w:w="146"/>
        <w:gridCol w:w="211"/>
        <w:gridCol w:w="526"/>
        <w:gridCol w:w="331"/>
        <w:gridCol w:w="146"/>
        <w:gridCol w:w="211"/>
        <w:gridCol w:w="526"/>
        <w:gridCol w:w="331"/>
        <w:gridCol w:w="146"/>
        <w:gridCol w:w="245"/>
        <w:gridCol w:w="610"/>
        <w:gridCol w:w="331"/>
        <w:gridCol w:w="146"/>
        <w:gridCol w:w="245"/>
        <w:gridCol w:w="610"/>
        <w:gridCol w:w="576"/>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reorganization costs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optimization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and expenses related to the Cineworld Proceeding </w:t>
              <w:br/>
              <w:t xml:space="preserve">   and Chapter 11 Case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Share-based compensation costs are included in 'network operating costs', 'selling and marketing costs' and 'administrative and other costs' in the Company's unaudited Condensed Consolidated Financial Statements.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Workforce reorganization costs represent eliminated positions and redundancy costs associated with changes to the Company’s workforce, as well as related office relocations.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System optimization costs represent costs incurred related to a one-time assessment of the technology surrounding the Company's programmatic offerings beginning in the third quarter of 2024.</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costs of transitioning satellite providers during 2024.</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operations data for the three months ended June 26, 2025 (second quarter of 2025) and June 27, 2024 (second quarter of 2024) were derived from the unaudited Condensed Consolidated Financial Statements and accounting records of NCM, Inc. and should be read in conjunction with the accompanying notes.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Second Quarter of 2025 and Second Quarter of 2024.</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decreased $2.9 million, or 5.3%, from $54.7 million for the second quarter of 2024 to $51.8 million for the second quarter of 2025. The following is a summary of revenue by category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8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02"/>
        <w:gridCol w:w="728"/>
        <w:gridCol w:w="5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second quarter of 2025 and 2024:</w:t>
      </w:r>
    </w:p>
    <w:tbl>
      <w:tblPr>
        <w:tblW w:w="8386"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02"/>
        <w:gridCol w:w="728"/>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our advertising network, excluding screens and attendance associated with certain AMC Carmike theaters that were part of another cinema advertising network during the periods presented.</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decreased by $0.5 million, or 1.2%, from $41.7 million for the second quarter of 2024 to $41.2 million for the second quarter of 2025. Macroeconomic uncertainty negatively affected advertisers' willingness to spend in the second quarter of 2025 across the advertising industry. To remain competitive in this environment, the Company decreased national advertising CPMs by 28.1% in the second quarter of 2025, as compared to the second quarter of 2024. This decrease was partially offset by a 12.3% increase in national advertising utilization, as well as a 24.2% increase in network attendance in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decreased by $3.4 million, or 34.7%, from $9.8 million for the second quarter of 2024 to $6.4 million for the second quarter of 2025. Macroeconomic uncertainty negatively affected the advertisers' willingness to spend in the second quarter of 2025 across the advertising industry. As such, the decrease in local and regional advertising revenue was primarily due to a decrease in contract activity and size within the technology, retail and apparel and automotive categories for the second quarter of 2025 compared to the second quarter of 2024. These decreases were partially offset by an increase in contract activity and size within the travel category in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increased by $1.0 million, or 31.3%, from $3.2 million for the second quarter of 2024 to $4.2 million for the second quarter of 2025. The increase in ESA Party beverage revenue was primarily due to a 25.4% increase in ESA Party attendance in the second quarter of 2025, as compared to the second quarter of 2024 as well as contractual rate increases within the ESAs.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decreased $0.2 million, or 0.3%, from $64.0 million for the second quarter of 2024 to $63.8 million for the second quarter of 2025. The following table shows the changes in operating expense for the second quarter of 2025 (in millions):</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2596"/>
        <w:gridCol w:w="146"/>
        <w:gridCol w:w="229"/>
        <w:gridCol w:w="506"/>
        <w:gridCol w:w="146"/>
        <w:gridCol w:w="146"/>
        <w:gridCol w:w="229"/>
        <w:gridCol w:w="506"/>
        <w:gridCol w:w="146"/>
        <w:gridCol w:w="146"/>
        <w:gridCol w:w="309"/>
        <w:gridCol w:w="621"/>
        <w:gridCol w:w="166"/>
        <w:gridCol w:w="146"/>
        <w:gridCol w:w="202"/>
        <w:gridCol w:w="728"/>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decreased $0.5 million, or 13.5%, from $3.7 million for the second quarter of 2024 to $3.2 million for the second quarter of 2025. The decrease in network operating costs was primarily due to a $0.2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million decrease in satellite costs due to transition costs incurred in the prior year and a $0.2 million decrease in personnel-related expenses for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by $4.2 million, or 15.7%, from $26.7 million for the second quarter of 2024 to $30.9 million for the second quarter of 2025. The increase was primarily related to a $3.9 million increase due to the 24.2% increase in network attendance and a $0.5 million increase due to contractual rate increases primarily within the ESAs for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increased $0.2 million, or 2.1%, from $9.6 million for the second quarter of 2024 to $9.8 million for the second quarter of 2025. The increase in selling and marketing costs was primarily due to a $0.4 million increase in selling related expenses, a $0.3 million increase in variable costs associated with certain sales partnerships, a $0.2 million increase in non-cash barter expense and a $0.2 million increase in severance expense due to a position elimination in the second quarter of 2025. These increases were partially offset by a $0.9 million decrease in personnel-related expenses primarily due to a decrease in performance-based compensation driven by the decrease in revenue in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$2.8 million, or 20.9%, from $13.4 million for the second quarter of 2024 to $10.6 million for the second quarter of 2025. The decrease was primarily due to a $1.2 million decrease in severance expense following the non-renewal of the former President - Sales, Marketing and Partnerships' contract in the second quarter of 2024, a $1.2 million decrease in legal and professional fees related to the Chapter 11 Case and Cineworld Proceeding, a $0.5 million decrease in performance-based compensation expense driven by the decrease in revenue in the second quarter of 2025, as compared to the second quarter of 2024, and a $0.5 million decrease in stock-based compensation expense due to the grant of a management equity incentive plan in the first quarter of 2024, compared to normalized grant activity in 2025. These decreases were partially offset by a $0.2 million increase in cloud computing expenses and a $0.2 million increase in other business taxes in the second quarter of 2025, as compared to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remained at $1.1 million for the second quarter of 2025, consistent with $1.1 million in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$1.3 million, or 13.7%, from $9.5 million for the second quarter of 2024 to $8.2 million for the second quarter of 2025. The decrease was due to the reduction in and extension of the useful life of the intangible asset related to the ESA Parties following the 2025 AMC Agreement in the second quarter of 2025 as further discussed in Note 4—</w:t>
      </w:r>
      <w:r>
        <w:rPr>
          <w:rFonts w:ascii="Times New Roman" w:hAnsi="Times New Roman"/>
          <w:i/>
          <w:color w:val="000000"/>
          <w:sz w:val="20"/>
        </w:rPr>
        <w:t>Intangible Assets</w:t>
      </w:r>
      <w:r>
        <w:rPr>
          <w:rFonts w:ascii="Times New Roman" w:hAnsi="Times New Roman"/>
          <w:color w:val="000000"/>
          <w:sz w:val="20"/>
        </w:rPr>
        <w:t xml:space="preserve"> and Note 7—</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Non-operating income. </w:t>
      </w:r>
      <w:r>
        <w:rPr>
          <w:rFonts w:ascii="Times New Roman" w:hAnsi="Times New Roman"/>
          <w:color w:val="000000"/>
          <w:sz w:val="20"/>
        </w:rPr>
        <w:t xml:space="preserve">Total non-operating income increased $0.7 million, or 116.7%, from $0.6 million for the second quarter of 2024 to $1.3 million for the second quarter of 2025. The following table shows the changes in non-operating income for the second quarter of 2025 and the second quarter of 2024 (in millions): </w:t>
      </w:r>
    </w:p>
    <w:p>
      <w:pPr>
        <w:pStyle w:val="TextBody"/>
        <w:bidi w:val="0"/>
        <w:jc w:val="left"/>
        <w:rPr/>
      </w:pPr>
      <w:r>
        <w:rPr/>
        <w:t> </w:t>
      </w:r>
    </w:p>
    <w:tbl>
      <w:tblPr>
        <w:tblW w:w="9429" w:type="dxa"/>
        <w:jc w:val="left"/>
        <w:tblInd w:w="0" w:type="dxa"/>
        <w:tblLayout w:type="fixed"/>
        <w:tblCellMar>
          <w:top w:w="28" w:type="dxa"/>
          <w:left w:w="28" w:type="dxa"/>
          <w:bottom w:w="28" w:type="dxa"/>
          <w:right w:w="28" w:type="dxa"/>
        </w:tblCellMar>
      </w:tblPr>
      <w:tblGrid>
        <w:gridCol w:w="4441"/>
        <w:gridCol w:w="146"/>
        <w:gridCol w:w="245"/>
        <w:gridCol w:w="490"/>
        <w:gridCol w:w="166"/>
        <w:gridCol w:w="146"/>
        <w:gridCol w:w="245"/>
        <w:gridCol w:w="490"/>
        <w:gridCol w:w="166"/>
        <w:gridCol w:w="146"/>
        <w:gridCol w:w="309"/>
        <w:gridCol w:w="621"/>
        <w:gridCol w:w="166"/>
        <w:gridCol w:w="146"/>
        <w:gridCol w:w="174"/>
        <w:gridCol w:w="756"/>
        <w:gridCol w:w="57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non-operating income was primarily due to a $0.8 million increase in the gain on the re-measurement of the payable under the tax receivable agreement. The increase is also due to a $0.3 million decrease in interest expense in the second quarter of 2025, compared to the second quarter of 2024, due to the termination of all of the Company's outstanding debt in the first quarter of 2025. These increases were partially offset by a $0.3 million decrease in interest income.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June 26, 2025 and June 27, 2024</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decreased $5.5 million, or 6.0%, from $92.1 million for the six months ended June 27, 2024 to $86.6 million for the six months ended June 26, 2025. The following is a summary of revenue by category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8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02"/>
        <w:gridCol w:w="728"/>
        <w:gridCol w:w="5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six months ended June 27, 2025 and June 27, 2024:</w:t>
      </w:r>
    </w:p>
    <w:tbl>
      <w:tblPr>
        <w:tblW w:w="8386"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02"/>
        <w:gridCol w:w="728"/>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our advertising network, excluding screens and attendance associated with certain AMC Carmike theaters that were part of another cinema advertising network during the periods presented.</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decreased by $2.6 million, or 3.7%, from $71.2 million for the six months ended June 27, 2024 to $68.6 million for the six months ended June 26, 2025. Macroeconomic uncertainty negatively affected advertisers' willingness to spend in the first and second quarter of 2025 across the advertising industry. To remain competitive in this environment, the Company decreased national advertising CPMs by 16.6% in the six months ended June 26, 2025, as compared to the six months ended June 27, 2024. This decrease was partially offset by a 3.0% increase in national advertising utilization, as well as a 11.3% increase in network attendance, in the six months ended June 26, 2025, as compared to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decreased by $3.8 million, or 25.3%, from $15.0 million for the six months ended June 27, 2024 to $11.2 million for the six months ended June 26, 2025. Macroeconomic uncertainty negatively affected the advertisers' willingness to spend in the first and second quarter of 2025 across the advertising industry. The decrease in local and regional advertising revenue was primarily due to a decrease in contract activity and size within the technology, retail and apparel, automotive and government categories for the six months ended June 26, 2025, compared to the six months ended June 27, 2024. These decreases were partially offset by an increase in contract activity and size within the travel category in the six months ended June 26, 2025, as compared to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 xml:space="preserve">ESA Party beverage revenue. </w:t>
      </w:r>
      <w:r>
        <w:rPr>
          <w:rFonts w:ascii="Times New Roman" w:hAnsi="Times New Roman"/>
          <w:color w:val="000000"/>
          <w:sz w:val="20"/>
        </w:rPr>
        <w:t>ESA Party beverage revenue increased $0.9 million, or 15.3%, from $5.9 million for the six months ended June 27, 2024 to $6.8 million for the six months ended June 26, 2025. The increase in ESA Party beverage revenue was primarily due to a 13.4% increase in ESA Party attendance for the six months ended June 26, 2025, as compared to the six months ended June 27, 2024 as well as contractual rate increases within the ESAs.</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decreased $1.6 million, or 1.3%, from $124.1 million for the six months ended June 27, 2024 to $122.5 million for the six months ended June 26, 2025. The following table shows the changes in operating expense for the six months ended June 26, 2025 and June 27, 2024 (in millions):</w:t>
      </w:r>
    </w:p>
    <w:tbl>
      <w:tblPr>
        <w:tblW w:w="7638"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309"/>
        <w:gridCol w:w="621"/>
        <w:gridCol w:w="166"/>
        <w:gridCol w:w="146"/>
        <w:gridCol w:w="202"/>
        <w:gridCol w:w="728"/>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decreased $1.1 million, or 15.1%, from $7.3 million for the six months ended June 27, 2024, to $6.2 million for the six months ended June 26, 2025. The decrease in network operating costs was primarily due to a $0.4 million decrease in personnel-related expenses driven by the decrease in performance-based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following the decrease in revenue, a $0.3 million decrease in costs associated with our digital offerings in line with the decrease in revenue and a $0.2 million decrease in satellite costs due to transition costs incurred in the prior year for the six months ended June 26, 2025, as compared to the six months ended June 27, 2024.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$3.4 million, or 6.9%, from $49.2 million for the six months ended June 27, 2024 to $52.6 million for the six months ended June 26, 2025. The increase in theater exhibition fees was primarily related to a $2.9 million increase caused by the 11.3% increase in network attendance and a $1.0 million increase due to contractual rate increases primarily within the ESAs for the six months ended June 26, 2025, as compared to the six months ended June 27, 2024. These increases were partially offset by a $0.3 million decrease in costs related to revenue share agreements and $0.2 million decrease related to the number of active screens in the six months ended June 26, 2025, compared to the six months ended June 27, 2024.</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increased $0.8 million, or 4.1%, from $19.6 million for the six months ended June 27, 2024 to $20.4 million for the six months ended June 26, 2025. The increase in selling and marketing costs was primarily due to a $1.7 million increase in selling related expenses partly driven by the timing of our company-wide sales meeting and a $0.5 million increase in variable costs associated with certain sales partnerships for the six months ended June 26, 2025, as compared to the six months ended June 27, 2024. These increases were partially offset by a $1.4 million decrease in personnel-related expenses primarily due to a decrease in performance-based compensation expense in line with the decrease in revenue and a decrease in severance expenses due to the workforce reorganization in the first quarter of 2024 for the six months ended June 26, 2025, as compared to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$3.4 million, or 12.6%, from $26.9 million for the six months ended June 27, 2024 to $23.5 million for the six months ended June 26, 2025. The decrease is primarily due to an $1.8 million decrease in severance expense following the non-renewal of the former President - Sales, Marketing and Partnerships' contract in the second quarter of 2024, a $1.5 million decrease in performance-based compensation expense primarily due to retention related expenses in 2024 related to the Chapter 11 proceedings and the decrease in revenue, a $0.8 million decrease in legal and professional fees related to the Chapter 11 Case and Cineworld Proceeding and a $0.3 million decrease in stock-based compensation for the six months ended June 26, 2025, compared to the six months ended June 27, 2024. These decreases were partially offset by a $0.6 million increase in cloud computing expenses due to improvements made to our programmatic offerings and a $0.4 million increase in system optimization costs related to a one-time assessment of the technology surrounding the Company's programmatic offerings for the six months ended June 26, 2025, compared to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remained at $2.2 million for the six months ended June 26, 2025, consistent with $2.2 million for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$1.3 million, or 6.9%, from $18.9 million for the six months ended June 27, 2024 to $17.6 million for the six months ended June 26, 2025. The decrease was due to the reduction in and extension of the useful life of the intangible asset related to the ESA Parties following the 2025 AMC Agreement in the second quarter of 2025, as further discussed in Note 4—</w:t>
      </w:r>
      <w:r>
        <w:rPr>
          <w:rFonts w:ascii="Times New Roman" w:hAnsi="Times New Roman"/>
          <w:i/>
          <w:color w:val="000000"/>
          <w:sz w:val="20"/>
        </w:rPr>
        <w:t>Intangible Assets</w:t>
      </w:r>
      <w:r>
        <w:rPr>
          <w:rFonts w:ascii="Times New Roman" w:hAnsi="Times New Roman"/>
          <w:color w:val="000000"/>
          <w:sz w:val="20"/>
        </w:rPr>
        <w:t xml:space="preserve"> and Note 7—</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Non-operating expense. </w:t>
      </w:r>
      <w:r>
        <w:rPr>
          <w:rFonts w:ascii="Times New Roman" w:hAnsi="Times New Roman"/>
          <w:color w:val="000000"/>
          <w:sz w:val="20"/>
        </w:rPr>
        <w:t xml:space="preserve">Total non-operating expense decreased $5.9 million, or 51.8%, from $11.4 million for the six months ended June 27, 2024 to $5.5 million for the six months ended June 26, 2025. The following table shows the changes in non-operating expense for the six months ended June 27, 2024 and June 26, 2025 (in millions): </w:t>
      </w:r>
    </w:p>
    <w:tbl>
      <w:tblPr>
        <w:tblW w:w="9414" w:type="dxa"/>
        <w:jc w:val="left"/>
        <w:tblInd w:w="0" w:type="dxa"/>
        <w:tblLayout w:type="fixed"/>
        <w:tblCellMar>
          <w:top w:w="28" w:type="dxa"/>
          <w:left w:w="28" w:type="dxa"/>
          <w:bottom w:w="28" w:type="dxa"/>
          <w:right w:w="28" w:type="dxa"/>
        </w:tblCellMar>
      </w:tblPr>
      <w:tblGrid>
        <w:gridCol w:w="4426"/>
        <w:gridCol w:w="146"/>
        <w:gridCol w:w="245"/>
        <w:gridCol w:w="490"/>
        <w:gridCol w:w="166"/>
        <w:gridCol w:w="146"/>
        <w:gridCol w:w="229"/>
        <w:gridCol w:w="506"/>
        <w:gridCol w:w="166"/>
        <w:gridCol w:w="146"/>
        <w:gridCol w:w="309"/>
        <w:gridCol w:w="621"/>
        <w:gridCol w:w="166"/>
        <w:gridCol w:w="146"/>
        <w:gridCol w:w="189"/>
        <w:gridCol w:w="741"/>
        <w:gridCol w:w="57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non-operating expense was primarily due to a $7.6 million decrease in the loss on the re-measurement of the payable under the tax receivable agreement largely due to the addition of two years of estimates in management's forecast for future years in 2024 following increased insight into the respective movie slates and market demand as compared to the addition of one new forecasted year in the first quarter of 2025 to replace the completed prior year within the calculation. The decrease is also due to a $0.6 million decrease in interest expense in the six months ended June 26, 2025, compared to the six months ended June 27, 2024, following the termination of all of the Company's debt in the first quarter of 2025. These decreases were partially offset by a $1.8 million increase in loss on debt extinguishment in the first quarter of 2025 following the Company's termination of its Revolving Credit Facility 2023, a $0.3 million decrease in non-operating income related to the Company's equity method investment in ACJV,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LLC and a $0.2 million decrease in interest income.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spacing w:before="120" w:after="283"/>
        <w:jc w:val="left"/>
        <w:rPr>
          <w:rFonts w:ascii="Times New Roman" w:hAnsi="Times New Roman"/>
          <w:sz w:val="20"/>
        </w:rPr>
      </w:pPr>
      <w:r>
        <w:rPr>
          <w:rFonts w:ascii="Times New Roman" w:hAnsi="Times New Roman"/>
          <w:b/>
          <w:i/>
          <w:color w:val="000000"/>
          <w:sz w:val="20"/>
        </w:rPr>
        <w:t>ESA Party 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Show program can be sold to the ESA Parties to satisfy their on-screen advertising commitments under their beverage concessionaire agreements. In the second quarter of 2025, Cinemark purchased 60 seconds of on-screen advertising time and AMC purchased 30 seconds to satisfy their obligations under their beverage concessionaire agreements. In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In accordance with the 2019 ESA Amendment, the price for the time sold to Cinemark's beverage supplier increases at a fixed rate of 2.0% each year. Beginning in 2026 and in accordance with the 2025 AMC Agreement, the time sold to AMC's beverage supplier will also increase at a fixed rate of 2.0% each year.</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exhibition fees</w:t>
      </w:r>
      <w:r>
        <w:rPr>
          <w:rFonts w:ascii="Times New Roman" w:hAnsi="Times New Roman"/>
          <w:color w:val="000000"/>
          <w:sz w:val="20"/>
        </w:rPr>
        <w:t>—In consideration for the Company’s access to the ESA Parties’ and network affiliate theaters for on-screen 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‘Theater exhibition fees’ in the unaudited Condensed Consolidated Statement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enacted tax legislation</w:t>
      </w:r>
      <w:r>
        <w:rPr>
          <w:rFonts w:ascii="Times New Roman" w:hAnsi="Times New Roman"/>
          <w:color w:val="000000"/>
          <w:sz w:val="20"/>
        </w:rPr>
        <w:t>—On July 4, 2025, the U.S. enacted H.R. 1 “A bill to provide for reconciliation pursuant to Title II of H. Con. Res. 14”, commonly referred to as the One Big Beautiful Bill Act (OBBBA). The OBBBA makes permanent key elements of the Tax Cuts and Jobs Act, including 100% bonus depreciation, domestic research cost expensing, and the business interest expense limitation. As a result of the enactment of H.R. 1, the Company anticipates an impact to the deferred tax liability related to the provisions for 100% bonus depreciation for assets placed in service after January 19, 2025 and full expensing of domestic research and experimental expenditures. The Company continues to maintain a full valuation allowance on its net deferred tax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and principal payments on our 2025 Credit Facility, if any, income tax payments, TRA payments to Cinemark and available cash payments (as defined in the NCM LLC Operating Agreement) to Cinemark in the event Cinemark holds NCM LLC membership units, as well as the amount of dividends to NCM, Inc.’s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the 2025 Credit Facility with U.S. Bank National Association, as lender. The agreement provides for a $45.0 million senior secured revolving credit facility that matures on January 24, 2028. In connection with entering into the 2025 Credit Facility, NCM LLC repaid in full the $10.0 million balance outstanding, as of December 26, 2024, and terminated all commitments under its Revolving Credit Facility 2023 (as defined below), and in connection with this termination, paid a prepayment fee equal to 1% of the total commitment. As of June 26, 2025, NCM LLC had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2023, NCM LLC entered into a Loan, Security and Guarantee Agreement (the “Revolving Credit Facility 2023”) with CIT Northbridge Credit LLC as agent, which was terminated in connection with the 2025 Credit Facility. The Revolving Credit Facility 2023 was an asset backed line facility where the capacity depends upon NCM LLC’s trade accounts receivable balance, as adjusted for aged balances and other considerations. The maximum availability NCM LLC had access to under the revolver is $55.0 million. The proceeds of the Revolving Credit Facility 2023 could have been used for, inter alia, working capital and capital expenditures. The Revolving Credit Facility 2023 was to mature on August 7, 2026. The interest rate under the Revolving Credit Facility 2023 was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 million and (b) 10% of aggregate revolving commitments. A Trigger Period ended only if (i) no event of default existed for the preceding 30 consecutive days and (ii) availability is greater than both (a) $5.0 million and (b) 10% of aggregate revolving commitments.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our financial liquidity is as follows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4"/>
        <w:gridCol w:w="146"/>
        <w:gridCol w:w="298"/>
        <w:gridCol w:w="659"/>
        <w:gridCol w:w="146"/>
        <w:gridCol w:w="146"/>
        <w:gridCol w:w="335"/>
        <w:gridCol w:w="912"/>
        <w:gridCol w:w="146"/>
        <w:gridCol w:w="146"/>
        <w:gridCol w:w="298"/>
        <w:gridCol w:w="659"/>
        <w:gridCol w:w="146"/>
        <w:gridCol w:w="146"/>
        <w:gridCol w:w="371"/>
        <w:gridCol w:w="931"/>
        <w:gridCol w:w="166"/>
        <w:gridCol w:w="146"/>
        <w:gridCol w:w="250"/>
        <w:gridCol w:w="629"/>
        <w:gridCol w:w="415"/>
      </w:tblGrid>
      <w:tr>
        <w:trPr/>
        <w:tc>
          <w:tcPr>
            <w:tcW w:w="3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 2024 to 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 to</w:t>
              <w:br/>
              <w:t>Q2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Credit Facility availability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Revolving Credit Facility 2023 availability </w:t>
            </w:r>
            <w:r>
              <w:rPr>
                <w:rFonts w:ascii="Times New Roman" w:hAnsi="Times New Roman"/>
                <w:i/>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cash equivalents and marketable securities as of June 26, 2025, December 26, 2024 and June 27, 2024, was $18.2 million, $63.5 million and $51.9 million, respectively, of cash held by NCM LLC that is not available to satisfy dividends declared by NCM, Inc., income tax, TRA payments and other obligations.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2025 Credit Facility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2025 Credit Facility is $45.0 million as of June 26, 2025. As of June 26, 2025, the amount available under the 2025 Credit Facility in the table above is net letters of credit of $0.6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Revolving Credit Facility 2023 portion of NCM LLC’s total borrowings that was available, subject to certain conditions, for general corporate purposes of NCM LLC in the ordinary course of business and for other transactions permitted under the senior secured credit facility, and a portion was available for letters of credit. NCM LLC’s total capacity under the Revolving Credit Facility 2023, which was subject to fluctuations in the underlying assets, was $55.0 million as of June 26,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26, 2025, the weighted average remaining maturity of our debt facility was 2.6 years. However, no amount has been drawn on the 2025 Credit Facility as of June 26, 2025. If drawn upon, 100.0% of our borrowings bear interest at variable rates and our net income and earnings per share could fluctuate with market interest rate fluctuations that could increase or decrease the interest paid on our borrowings.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and generated cash as follows (in millions):</w:t>
      </w:r>
    </w:p>
    <w:p>
      <w:pPr>
        <w:pStyle w:val="TextBody"/>
        <w:bidi w:val="0"/>
        <w:jc w:val="left"/>
        <w:rPr/>
      </w:pPr>
      <w:r>
        <w:rPr/>
        <w:t> </w:t>
      </w:r>
    </w:p>
    <w:tbl>
      <w:tblPr>
        <w:tblW w:w="4675" w:type="dxa"/>
        <w:jc w:val="left"/>
        <w:tblInd w:w="0" w:type="dxa"/>
        <w:tblLayout w:type="fixed"/>
        <w:tblCellMar>
          <w:top w:w="28" w:type="dxa"/>
          <w:left w:w="28" w:type="dxa"/>
          <w:bottom w:w="28" w:type="dxa"/>
          <w:right w:w="28" w:type="dxa"/>
        </w:tblCellMar>
      </w:tblPr>
      <w:tblGrid>
        <w:gridCol w:w="1756"/>
        <w:gridCol w:w="146"/>
        <w:gridCol w:w="322"/>
        <w:gridCol w:w="803"/>
        <w:gridCol w:w="166"/>
        <w:gridCol w:w="146"/>
        <w:gridCol w:w="322"/>
        <w:gridCol w:w="803"/>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Operating Activitie</w:t>
      </w:r>
      <w:r>
        <w:rPr>
          <w:rFonts w:ascii="Times New Roman" w:hAnsi="Times New Roman"/>
          <w:color w:val="000000"/>
          <w:sz w:val="20"/>
        </w:rPr>
        <w:t>s. The $30.7 million decrease in cash provided by operating activities for the six months ended June 26, 2025, as compared to the six months ended June 27, 2024, was due to 1) $17.5 million decrease in accounts receivable collections inline with the decrease in revenue, 2) an $8.3 million decrease in the change in deferred revenue inline with the decrease in revenue, 3) a $5.6 million decrease in net loss adjusted for non-cash items and 4) a $1.3 million increase in the payments to ESA Parties under the tax receivable agreement. These decreases in cash provided by operating activities were partially offset by a $2.3 million increase in the change in ESA amounts due to/from for the six months ended June 26, 2025, as compared to the six months ended June 27,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Investing Activities. </w:t>
      </w:r>
      <w:r>
        <w:rPr>
          <w:rFonts w:ascii="Times New Roman" w:hAnsi="Times New Roman"/>
          <w:color w:val="000000"/>
          <w:sz w:val="20"/>
        </w:rPr>
        <w:t>The cash used in investing activities remained consistent for the six months ended June 26, 2025, as compared to the six months ended June 27,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Financing Activities.</w:t>
      </w:r>
      <w:r>
        <w:rPr>
          <w:color w:val="000000"/>
        </w:rPr>
        <w:t xml:space="preserve"> </w:t>
      </w:r>
      <w:r>
        <w:rPr>
          <w:rFonts w:ascii="Times New Roman" w:hAnsi="Times New Roman"/>
          <w:color w:val="000000"/>
          <w:sz w:val="20"/>
        </w:rPr>
        <w:t>The $26.3 million increase in cash used in financing activities for the six months ended June 26, 2025, as compared to the six months ended June 27, 2024, was primarily due to the $10.0 million repayment of the Revolving Credit Facility 2023, a $9.5 million increase in payments made to repurchase shares of NCM, Inc.'s common stock, the $5.4 million increase in payment of dividends, a $1.5 million increase in payments of debt issuance costs associated with the termination of the Revolving Credit Facility 2023 and commencement of the Credit Facility 2025 and $0.6 million increase in repurchase of stock for restricted stock tax withholding. These increases were partially offset by the $0.7 million decrease in cash redemptions of NCM LLC common membership units during the six months ended June 26, 2025, compared to the six months ended June 27,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liquidity and capital resources is the quarterly available cash distributions from NCM LLC as well as its existing cash balances, which as of June 26, 2025, were $37.2 million (including $18.2 million of cash held by NCM LLC). NCM LLC’s primary sources of liquidity and capital resources are cash provided by its operating activities, availability under the 2025 Credit Facility and cash on hand. The $18.2 million of cash at NCM LLC will be used to fund operations. Cash at NCM, Inc. is used to fund income taxes, payments associated with the TRA, stock repurchases and for future payment of dividends to NCM, Inc. stockholders if and when declared by the Board of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NCM LLC is required, pursuant to the terms of the NCM LLC Operating Agreement, to distribute its available cash, as defined in the NCM LLC Operating Agreement, quarterly to its members. The members are only able to receive available cash when they hold units. The available cash amount to the members of NCM LLC, for the three months ended June 26, 2025, was calculated as approximately negative $3.7 million, related entirely to NCM, Inc., as the only holder of NCM LLC units as of June 26, 2025.</w:t>
      </w:r>
      <w:r>
        <w:rPr>
          <w:rFonts w:ascii="Times New Roman" w:hAnsi="Times New Roman"/>
          <w:color w:val="FF0000"/>
          <w:sz w:val="20"/>
        </w:rPr>
        <w:t xml:space="preserve"> </w:t>
      </w:r>
      <w:r>
        <w:rPr>
          <w:rFonts w:ascii="Times New Roman" w:hAnsi="Times New Roman"/>
          <w:color w:val="000000"/>
          <w:sz w:val="20"/>
        </w:rPr>
        <w:t>NCM, Inc. has the option to defer payment of any available cash distributions payable to NCM, Inc. at its discretion. Any negative amounts can only be offset against positive available cash within the second quarter of future years, in accordance with the agreement. As of June 26, 2025, NCM LLC owed NCM, Inc. $14.8 million in deferred available cash distributions.</w:t>
      </w:r>
    </w:p>
    <w:p>
      <w:pPr>
        <w:pStyle w:val="TextBody"/>
        <w:bidi w:val="0"/>
        <w:spacing w:before="120" w:after="283"/>
        <w:jc w:val="left"/>
        <w:rPr>
          <w:rFonts w:ascii="Times New Roman" w:hAnsi="Times New Roman"/>
          <w:sz w:val="20"/>
        </w:rPr>
      </w:pPr>
      <w:r>
        <w:rPr>
          <w:rFonts w:ascii="Times New Roman" w:hAnsi="Times New Roman"/>
          <w:color w:val="000000"/>
          <w:sz w:val="20"/>
        </w:rPr>
        <w:t>NCM, Inc. expects to use its cash balances and cash received from future available cash distributions (as allowed for under the 2025 Credit Facility) to fund payments associated with the TRA, stock repurchases and future dividends if and when declared by the Board of Directors. The Company made an estimated TRA payment and will make a final TRA payment in 2025 for the 2024 tax year and did not make a TRA payment in 2024 for the 2023 tax year. The Company also expects to make a TRA payment in 2026 for the 2025 tax year. Deferred distributions from NCM LLC and NCM, Inc. cash balances should be sufficient to fund payments associated with the TRA, income taxes and any stock repurchases or declared dividends for the foreseeable future at the discretion of the Board of Directors.</w:t>
      </w:r>
      <w:r>
        <w:rPr>
          <w:rFonts w:ascii="Times New Roman" w:hAnsi="Times New Roman"/>
          <w:color w:val="FF0000"/>
          <w:sz w:val="20"/>
        </w:rPr>
        <w:t xml:space="preserve"> </w:t>
      </w:r>
      <w:r>
        <w:rPr>
          <w:rFonts w:ascii="Times New Roman" w:hAnsi="Times New Roman"/>
          <w:color w:val="000000"/>
          <w:sz w:val="20"/>
        </w:rPr>
        <w:t xml:space="preserve">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26, 2024, and incorporated by reference herein. As of June 26, 2025, there were no other significant changes in those critical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For a discussion of recent accounting pronouncements, see the information provided under Note 1—</w:t>
      </w:r>
      <w:r>
        <w:rPr>
          <w:rFonts w:ascii="Times New Roman" w:hAnsi="Times New Roman"/>
          <w:i/>
          <w:color w:val="000000"/>
          <w:sz w:val="20"/>
        </w:rPr>
        <w:t>The Company</w:t>
      </w:r>
      <w:r>
        <w:rPr>
          <w:rFonts w:ascii="Times New Roman" w:hAnsi="Times New Roman"/>
          <w:color w:val="000000"/>
          <w:sz w:val="20"/>
        </w:rPr>
        <w:t xml:space="preserve"> to the unaudited Condensed Consolidated Financial Statements in Part I, Item 1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w:t>
      </w:r>
    </w:p>
    <w:p>
      <w:pPr>
        <w:pStyle w:val="TextBody"/>
        <w:bidi w:val="0"/>
        <w:spacing w:before="120" w:after="283"/>
        <w:jc w:val="left"/>
        <w:rPr>
          <w:rFonts w:ascii="Times New Roman" w:hAnsi="Times New Roman"/>
          <w:sz w:val="20"/>
        </w:rPr>
      </w:pPr>
      <w:bookmarkStart w:id="19" w:name="item_3_quantitative_and_qualitative_disc"/>
      <w:bookmarkEnd w:id="19"/>
      <w:r>
        <w:rPr>
          <w:rFonts w:ascii="Times New Roman" w:hAnsi="Times New Roman"/>
          <w:b/>
          <w:color w:val="000000"/>
          <w:sz w:val="20"/>
        </w:rPr>
        <w:t xml:space="preserve">Item 3. </w:t>
      </w:r>
      <w:r>
        <w:rPr>
          <w:rFonts w:ascii="Times New Roman" w:hAnsi="Times New Roman"/>
          <w:b/>
          <w:color w:val="000000"/>
          <w:sz w:val="20"/>
          <w:u w:val="single"/>
        </w:rPr>
        <w:t>Quantitative</w:t>
      </w:r>
      <w:r>
        <w:rPr>
          <w:rFonts w:ascii="Times New Roman" w:hAnsi="Times New Roman"/>
          <w:color w:val="000000"/>
          <w:sz w:val="20"/>
          <w:u w:val="single"/>
        </w:rPr>
        <w:t xml:space="preserve"> </w:t>
      </w:r>
      <w:r>
        <w:rPr>
          <w:rFonts w:ascii="Times New Roman" w:hAnsi="Times New Roman"/>
          <w:b/>
          <w:color w:val="000000"/>
          <w:sz w:val="20"/>
          <w:u w:val="single"/>
        </w:rPr>
        <w:t>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June 26, 2025, the Company has not drawn down on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 </w:t>
      </w:r>
    </w:p>
    <w:p>
      <w:pPr>
        <w:pStyle w:val="TextBody"/>
        <w:bidi w:val="0"/>
        <w:spacing w:before="120" w:after="283"/>
        <w:jc w:val="left"/>
        <w:rPr>
          <w:rFonts w:ascii="Times New Roman" w:hAnsi="Times New Roman"/>
          <w:sz w:val="20"/>
        </w:rPr>
      </w:pPr>
      <w:bookmarkStart w:id="20" w:name="item_4_controls_and_procedures"/>
      <w:bookmarkEnd w:id="20"/>
      <w:r>
        <w:rPr>
          <w:rFonts w:ascii="Times New Roman" w:hAnsi="Times New Roman"/>
          <w:b/>
          <w:color w:val="000000"/>
          <w:sz w:val="20"/>
        </w:rPr>
        <w:t xml:space="preserve">Item 4.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the Chief Executive Officer and Chief Financial Officer, performed an evaluation of the effectiveness of the Company’s disclosure controls and procedures pursuant to Rules 13a-15(e) and 15d-15(e) of the Exchange Act as of June 26, 2025, the end of the period covered by this Quarterly Report on Form 10-Q. Based on such evaluation, the Company’s management concluded that the Company’s disclosure controls and procedures, as of June 26, 2025, were effective.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June 26, 2025, that have materially affected, or are reasonably likely to materially affect, our internal control over financial reporting.</w:t>
      </w:r>
    </w:p>
    <w:p>
      <w:pPr>
        <w:pStyle w:val="TextBody"/>
        <w:bidi w:val="0"/>
        <w:spacing w:before="120" w:after="12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jc w:val="left"/>
        <w:rPr>
          <w:rFonts w:ascii="Times New Roman" w:hAnsi="Times New Roman"/>
          <w:sz w:val="20"/>
        </w:rPr>
      </w:pPr>
      <w:bookmarkStart w:id="22" w:name="item_1_legal_proceedings"/>
      <w:bookmarkEnd w:id="22"/>
      <w:r>
        <w:rPr>
          <w:rFonts w:ascii="Times New Roman" w:hAnsi="Times New Roman"/>
          <w:b/>
          <w:color w:val="000000"/>
          <w:sz w:val="20"/>
        </w:rPr>
        <w:t xml:space="preserve">Item 1. </w:t>
      </w:r>
      <w:r>
        <w:rPr>
          <w:rFonts w:ascii="Times New Roman" w:hAnsi="Times New Roman"/>
          <w:b/>
          <w:color w:val="000000"/>
          <w:sz w:val="20"/>
          <w:u w:val="single"/>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Following AMC and Cinemark’s consolidated appeal on the merits, the District Court for the Southern District of Texas confirmed the Confirmation Order and the Regal Order on August 13, 2024. On April 17, 2025, in connection with the 2025 AMC Agreement and the AMC Termination Agreement, AMC dismissed with prejudice its claims against NCM LLC, including those related to the Confirmation Order and the Regal Order. On June 10, 2025, the Fifth Circuit Court of Appeals delivered its opinion affirming the Bankruptcy Court’s and the District Court’s judgments.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other litigation currently pending that would have a material adverse effect on our operating results or financial condition.</w:t>
      </w:r>
    </w:p>
    <w:p>
      <w:pPr>
        <w:pStyle w:val="TextBody"/>
        <w:bidi w:val="0"/>
        <w:jc w:val="left"/>
        <w:rPr>
          <w:rFonts w:ascii="Times New Roman" w:hAnsi="Times New Roman"/>
          <w:sz w:val="20"/>
        </w:rPr>
      </w:pPr>
      <w:bookmarkStart w:id="23" w:name="item_1a_risk_factors"/>
      <w:bookmarkEnd w:id="23"/>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from risk factors as previously disclosed in our Annual Report on Form 10-K filed with the SEC on March 6, 2025 for the fiscal year ended December 26, 2024.</w:t>
      </w:r>
    </w:p>
    <w:p>
      <w:pPr>
        <w:pStyle w:val="TextBody"/>
        <w:bidi w:val="0"/>
        <w:jc w:val="left"/>
        <w:rPr>
          <w:rFonts w:ascii="Times New Roman" w:hAnsi="Times New Roman"/>
          <w:sz w:val="20"/>
        </w:rPr>
      </w:pPr>
      <w:bookmarkStart w:id="24" w:name="item_2_unregistered_sales_equity"/>
      <w:bookmarkEnd w:id="24"/>
      <w:r>
        <w:rPr>
          <w:rFonts w:ascii="Times New Roman" w:hAnsi="Times New Roman"/>
          <w:b/>
          <w:color w:val="000000"/>
          <w:sz w:val="20"/>
        </w:rPr>
        <w:t xml:space="preserve">Item 2. </w:t>
      </w:r>
      <w:r>
        <w:rPr>
          <w:rFonts w:ascii="Times New Roman" w:hAnsi="Times New Roman"/>
          <w:b/>
          <w:color w:val="000000"/>
          <w:sz w:val="20"/>
          <w:u w:val="single"/>
        </w:rPr>
        <w:t>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three months ended June 26, 2025.</w:t>
      </w:r>
    </w:p>
    <w:tbl>
      <w:tblPr>
        <w:tblW w:w="10205" w:type="dxa"/>
        <w:jc w:val="left"/>
        <w:tblInd w:w="0" w:type="dxa"/>
        <w:tblLayout w:type="fixed"/>
        <w:tblCellMar>
          <w:top w:w="28" w:type="dxa"/>
          <w:left w:w="28" w:type="dxa"/>
          <w:bottom w:w="28" w:type="dxa"/>
          <w:right w:w="28" w:type="dxa"/>
        </w:tblCellMar>
      </w:tblPr>
      <w:tblGrid>
        <w:gridCol w:w="1303"/>
        <w:gridCol w:w="146"/>
        <w:gridCol w:w="188"/>
        <w:gridCol w:w="1199"/>
        <w:gridCol w:w="146"/>
        <w:gridCol w:w="146"/>
        <w:gridCol w:w="320"/>
        <w:gridCol w:w="710"/>
        <w:gridCol w:w="146"/>
        <w:gridCol w:w="146"/>
        <w:gridCol w:w="286"/>
        <w:gridCol w:w="1829"/>
        <w:gridCol w:w="146"/>
        <w:gridCol w:w="282"/>
        <w:gridCol w:w="146"/>
        <w:gridCol w:w="805"/>
        <w:gridCol w:w="1781"/>
        <w:gridCol w:w="146"/>
        <w:gridCol w:w="334"/>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28, 2025 through April 24,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25, 2025 through May 22,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23, 2025 through June 26,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 the quarter ended June 26,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spacing w:before="120" w:after="283"/>
        <w:jc w:val="left"/>
        <w:rPr>
          <w:rFonts w:ascii="Times New Roman" w:hAnsi="Times New Roman"/>
          <w:sz w:val="20"/>
        </w:rPr>
      </w:pPr>
      <w:bookmarkStart w:id="25" w:name="item_3_defaults_upon_senior_securitie"/>
      <w:bookmarkEnd w:id="25"/>
      <w:r>
        <w:rPr>
          <w:rFonts w:ascii="Times New Roman" w:hAnsi="Times New Roman"/>
          <w:b/>
          <w:color w:val="000000"/>
          <w:sz w:val="20"/>
        </w:rPr>
        <w:t xml:space="preserve">Item 3. </w:t>
      </w:r>
      <w:r>
        <w:rPr>
          <w:rFonts w:ascii="Times New Roman" w:hAnsi="Times New Roman"/>
          <w:b/>
          <w:color w:val="000000"/>
          <w:sz w:val="20"/>
          <w:u w:val="single"/>
        </w:rPr>
        <w:t>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item_4_mine_safety_disclosures"/>
      <w:bookmarkEnd w:id="26"/>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7" w:name="item_5_other_information"/>
      <w:bookmarkEnd w:id="27"/>
      <w:r>
        <w:rPr>
          <w:rFonts w:ascii="Times New Roman" w:hAnsi="Times New Roman"/>
          <w:b/>
          <w:color w:val="000000"/>
          <w:sz w:val="20"/>
        </w:rPr>
        <w:t xml:space="preserve">Item 5. </w:t>
      </w:r>
      <w:r>
        <w:rPr>
          <w:rFonts w:ascii="Times New Roman" w:hAnsi="Times New Roman"/>
          <w:b/>
          <w:color w:val="000000"/>
          <w:sz w:val="20"/>
          <w:u w:val="single"/>
        </w:rPr>
        <w:t>Other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Adoption of 10b5-1 Trading Plans by Our Officers and Directors.</w:t>
      </w:r>
      <w:r>
        <w:rPr>
          <w:rFonts w:ascii="Times New Roman" w:hAnsi="Times New Roman"/>
          <w:color w:val="000000"/>
          <w:sz w:val="20"/>
        </w:rPr>
        <w:t xml:space="preserve"> The below sets forth written trading plans adopted by certain director and executive officers (as defined in SEC Rule 16a-(f)) during the quarter ended June 26, 2025. All of these plans were intended to satisfy the affirmative defense conditions of Rule 10b5-1 under the Exchange Act ( a "Rule 10b5-1 Plan") and were adopted during the quarterly trading window under our Insider Trading Policy, with no sales commencing under the plan until the completion of the required cooling off period under Rule 10b5-1. Other than as set forth below, during the three months ended June 26, 2025,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15, 2025, Maria V. Woods, our EVP - General Counsel and Secretary, adopted a Rule 10b5-1 Plan to sell up to 59,865 shares, subject to the satisfaction of specific conditions set forth in the plan. The plan expires on May 29, 2026, unless terminated sooner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22, 2025, Catherine Sullivan, our President - Sales, Marketing &amp; Partnerships, adopted a Rule 10b5-1 Plan to sell up to 53,030 shares. The plan expires on June 1, 2026, unless terminated sooner in accordance with its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2025, Thomas F. Lesinski, our Chief Executive Officer, adopted a Rule 10b5-1 Plan to sell up to 30,971 shares, subject to the satisfaction of specific conditions set forth in the plan. The plan expires on September 25, 2026, unless terminated sooner in accordance with its terms.</w:t>
      </w:r>
    </w:p>
    <w:p>
      <w:pPr>
        <w:pStyle w:val="TextBody"/>
        <w:bidi w:val="0"/>
        <w:spacing w:before="120" w:after="283"/>
        <w:jc w:val="left"/>
        <w:rPr>
          <w:rFonts w:ascii="Times New Roman" w:hAnsi="Times New Roman"/>
          <w:sz w:val="20"/>
        </w:rPr>
      </w:pPr>
      <w:bookmarkStart w:id="28" w:name="item_6_exhibits"/>
      <w:bookmarkEnd w:id="28"/>
      <w:r>
        <w:rPr>
          <w:rFonts w:ascii="Times New Roman" w:hAnsi="Times New Roman"/>
          <w:b/>
          <w:color w:val="000000"/>
          <w:sz w:val="20"/>
        </w:rPr>
        <w:t xml:space="preserve">Item 6.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826"/>
        <w:gridCol w:w="8628"/>
      </w:tblGrid>
      <w:tr>
        <w:trPr/>
        <w:tc>
          <w:tcPr>
            <w:tcW w:w="7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62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Exhibit</w:t>
            </w:r>
          </w:p>
        </w:tc>
        <w:tc>
          <w:tcPr>
            <w:tcW w:w="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Reference</w:t>
            </w:r>
          </w:p>
        </w:tc>
        <w:tc>
          <w:tcPr>
            <w:tcW w:w="862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w:t>
            </w:r>
          </w:p>
        </w:tc>
        <w:tc>
          <w:tcPr>
            <w:tcW w:w="862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Exhibitor Services Agreement, dated April 17, 2025, between National CineMedia, LLC, American Multi-Cinema, Inc., Muvico, LLC, and the other parties thereto</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(2)*</w:t>
            </w:r>
          </w:p>
        </w:tc>
        <w:tc>
          <w:tcPr>
            <w:tcW w:w="862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Joint Venture Termination and Settlement Agreement, dated April 17, 2025, between American Multi-Cinema, Inc., National CineMedia, LLC, and National CineMedia, Inc.</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pPr>
            <w:hyperlink w:anchor="ncmi-ex31_1.htm">
              <w:r>
                <w:rPr>
                  <w:rStyle w:val="InternetLink"/>
                  <w:rFonts w:ascii="Times New Roman" w:hAnsi="Times New Roman"/>
                  <w:color w:val="0000FF"/>
                  <w:sz w:val="20"/>
                  <w:u w:val="single"/>
                </w:rPr>
                <w:t>Rule 13a-14(a) Certification of Chief Executive Officer.</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pPr>
            <w:hyperlink w:anchor="ncmi-ex31_2.htm">
              <w:r>
                <w:rPr>
                  <w:rStyle w:val="InternetLink"/>
                  <w:rFonts w:ascii="Times New Roman" w:hAnsi="Times New Roman"/>
                  <w:color w:val="0000FF"/>
                  <w:sz w:val="20"/>
                  <w:u w:val="single"/>
                </w:rPr>
                <w:t>Rule 13a-14(a) Certification of Chief Financial Officer.</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pPr>
            <w:hyperlink w:anchor="ncmi-ex32_1.htm">
              <w:r>
                <w:rPr>
                  <w:rStyle w:val="InternetLink"/>
                  <w:rFonts w:ascii="Times New Roman" w:hAnsi="Times New Roman"/>
                  <w:color w:val="0000FF"/>
                  <w:sz w:val="20"/>
                  <w:u w:val="single"/>
                </w:rPr>
                <w:t>Certification of Chief Executive Officer Pursuant to 18 U.S.C. Section 1350.</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2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Incorporated by reference to Exhibit 10.3 from the Registrant’s Quarterly Report on Form 10-Q (File No. 001-33296) filed on May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Incorporated by reference to Exhibit 10.4 from the Registrant’s Quarterly Report on Form 10-Q (File No. 001-33296) filed on May 6, 2025</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556"/>
        <w:gridCol w:w="1351"/>
        <w:gridCol w:w="14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30" w:name="ncmi-ex31_1.htm"/>
      <w:bookmarkStart w:id="31" w:name="ksncmiex31_1"/>
      <w:bookmarkEnd w:id="30"/>
      <w:bookmarkEnd w:id="31"/>
      <w:r>
        <w:rPr/>
        <w:t> </w:t>
      </w:r>
      <w:r>
        <w:br w:type="page"/>
      </w:r>
    </w:p>
    <w:p>
      <w:pPr>
        <w:pStyle w:val="TextBody"/>
        <w:bidi w:val="0"/>
        <w:spacing w:before="0" w:after="180"/>
        <w:jc w:val="right"/>
        <w:rPr>
          <w:rFonts w:ascii="Times New Roman" w:hAnsi="Times New Roman"/>
          <w:b/>
          <w:color w:val="000000"/>
          <w:sz w:val="20"/>
        </w:rPr>
      </w:pPr>
      <w:bookmarkStart w:id="32" w:name="section11"/>
      <w:bookmarkEnd w:id="32"/>
      <w:r>
        <w:rPr>
          <w:rFonts w:ascii="Times New Roman" w:hAnsi="Times New Roman"/>
          <w:b/>
          <w:color w:val="000000"/>
          <w:sz w:val="20"/>
        </w:rPr>
        <w:t>Exhibit 31.1</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Thomas F. Lesinski,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076" w:type="dxa"/>
        <w:jc w:val="left"/>
        <w:tblInd w:w="0" w:type="dxa"/>
        <w:tblLayout w:type="fixed"/>
        <w:tblCellMar>
          <w:top w:w="28" w:type="dxa"/>
          <w:left w:w="28" w:type="dxa"/>
          <w:bottom w:w="28" w:type="dxa"/>
          <w:right w:w="28" w:type="dxa"/>
        </w:tblCellMar>
      </w:tblPr>
      <w:tblGrid>
        <w:gridCol w:w="1846"/>
        <w:gridCol w:w="109"/>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ncmi-ex31_2.htm"/>
      <w:bookmarkStart w:id="34" w:name="ksncmiex31_2"/>
      <w:bookmarkEnd w:id="33"/>
      <w:bookmarkEnd w:id="34"/>
      <w:r>
        <w:rPr/>
        <w:t> </w:t>
      </w:r>
      <w:r>
        <w:br w:type="page"/>
      </w:r>
    </w:p>
    <w:p>
      <w:pPr>
        <w:pStyle w:val="TextBody"/>
        <w:bidi w:val="0"/>
        <w:spacing w:before="0" w:after="180"/>
        <w:jc w:val="right"/>
        <w:rPr>
          <w:rFonts w:ascii="Times New Roman" w:hAnsi="Times New Roman"/>
          <w:b/>
          <w:color w:val="000000"/>
          <w:sz w:val="20"/>
        </w:rPr>
      </w:pPr>
      <w:bookmarkStart w:id="35" w:name="section13"/>
      <w:bookmarkEnd w:id="35"/>
      <w:r>
        <w:rPr>
          <w:rFonts w:ascii="Times New Roman" w:hAnsi="Times New Roman"/>
          <w:b/>
          <w:color w:val="000000"/>
          <w:sz w:val="20"/>
        </w:rPr>
        <w:t>Exhibit 31.2</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Ronnie Y. Ng,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826" w:type="dxa"/>
        <w:jc w:val="left"/>
        <w:tblInd w:w="0" w:type="dxa"/>
        <w:tblLayout w:type="fixed"/>
        <w:tblCellMar>
          <w:top w:w="28" w:type="dxa"/>
          <w:left w:w="28" w:type="dxa"/>
          <w:bottom w:w="28" w:type="dxa"/>
          <w:right w:w="28" w:type="dxa"/>
        </w:tblCellMar>
      </w:tblPr>
      <w:tblGrid>
        <w:gridCol w:w="1846"/>
        <w:gridCol w:w="109"/>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ncmi-ex32_1.htm"/>
      <w:bookmarkStart w:id="37" w:name="ksncmiex32_1"/>
      <w:bookmarkEnd w:id="36"/>
      <w:bookmarkEnd w:id="37"/>
      <w:r>
        <w:rPr/>
        <w:t> </w:t>
      </w:r>
      <w:r>
        <w:br w:type="page"/>
      </w:r>
    </w:p>
    <w:p>
      <w:pPr>
        <w:pStyle w:val="TextBody"/>
        <w:bidi w:val="0"/>
        <w:spacing w:before="0" w:after="180"/>
        <w:jc w:val="right"/>
        <w:rPr>
          <w:rFonts w:ascii="Times New Roman" w:hAnsi="Times New Roman"/>
          <w:b/>
          <w:color w:val="000000"/>
          <w:sz w:val="20"/>
        </w:rPr>
      </w:pPr>
      <w:bookmarkStart w:id="38" w:name="section19"/>
      <w:bookmarkEnd w:id="38"/>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26, 2025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076" w:type="dxa"/>
        <w:jc w:val="left"/>
        <w:tblInd w:w="0" w:type="dxa"/>
        <w:tblLayout w:type="fixed"/>
        <w:tblCellMar>
          <w:top w:w="28" w:type="dxa"/>
          <w:left w:w="28" w:type="dxa"/>
          <w:bottom w:w="28" w:type="dxa"/>
          <w:right w:w="28" w:type="dxa"/>
        </w:tblCellMar>
      </w:tblPr>
      <w:tblGrid>
        <w:gridCol w:w="1846"/>
        <w:gridCol w:w="109"/>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ncmi-ex32_2.htm"/>
      <w:bookmarkStart w:id="40" w:name="ksncmiex32_2"/>
      <w:bookmarkEnd w:id="39"/>
      <w:bookmarkEnd w:id="40"/>
      <w:r>
        <w:rPr/>
        <w:t> </w:t>
      </w:r>
      <w:r>
        <w:br w:type="page"/>
      </w:r>
    </w:p>
    <w:p>
      <w:pPr>
        <w:pStyle w:val="TextBody"/>
        <w:bidi w:val="0"/>
        <w:spacing w:before="0" w:after="180"/>
        <w:jc w:val="right"/>
        <w:rPr>
          <w:rFonts w:ascii="Times New Roman" w:hAnsi="Times New Roman"/>
          <w:b/>
          <w:color w:val="000000"/>
          <w:sz w:val="20"/>
        </w:rPr>
      </w:pPr>
      <w:bookmarkStart w:id="41" w:name="section110"/>
      <w:bookmarkEnd w:id="41"/>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26, 2025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826" w:type="dxa"/>
        <w:jc w:val="left"/>
        <w:tblInd w:w="0" w:type="dxa"/>
        <w:tblLayout w:type="fixed"/>
        <w:tblCellMar>
          <w:top w:w="28" w:type="dxa"/>
          <w:left w:w="28" w:type="dxa"/>
          <w:bottom w:w="28" w:type="dxa"/>
          <w:right w:w="28" w:type="dxa"/>
        </w:tblCellMar>
      </w:tblPr>
      <w:tblGrid>
        <w:gridCol w:w="1846"/>
        <w:gridCol w:w="109"/>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7630/000095017025064502/ncmi-ex10_3.htm" TargetMode="External"/><Relationship Id="rId4" Type="http://schemas.openxmlformats.org/officeDocument/2006/relationships/hyperlink" Target="https://www.sec.gov/Archives/edgar/data/1377630/000095017025064502/ncmi-ex10_4.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24546</Words>
  <Characters>130848</Characters>
  <CharactersWithSpaces>156502</CharactersWithSpaces>
  <Paragraphs>5837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