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00" w:type="dxa"/>
        <w:tblCellMar>
          <w:top w:w="0" w:type="dxa"/>
          <w:left w:w="0" w:type="dxa"/>
          <w:bottom w:w="0" w:type="dxa"/>
          <w:right w:w="0" w:type="dxa"/>
        </w:tblCellMar>
      </w:tblPr>
      <w:tr>
        <w:trPr>
          <w:trHeight w:val="287"/>
        </w:trPr>
        <w:tc>
          <w:tcPr>
            <w:tcW w:w="300" w:type="dxa"/>
            <w:vAlign w:val="bottom"/>
          </w:tcPr>
          <w:p>
            <w:pPr>
              <w:spacing w:after="0"/>
              <w:rPr>
                <w:sz w:val="24"/>
                <w:szCs w:val="24"/>
                <w:color w:val="auto"/>
              </w:rPr>
            </w:pPr>
          </w:p>
        </w:tc>
        <w:tc>
          <w:tcPr>
            <w:tcW w:w="8280" w:type="dxa"/>
            <w:vAlign w:val="bottom"/>
          </w:tcPr>
          <w:p>
            <w:pPr>
              <w:jc w:val="center"/>
              <w:ind w:right="129"/>
              <w:spacing w:after="0"/>
              <w:rPr>
                <w:sz w:val="20"/>
                <w:szCs w:val="20"/>
                <w:color w:val="auto"/>
              </w:rPr>
            </w:pPr>
            <w:r>
              <w:rPr>
                <w:rFonts w:ascii="Times New Roman" w:cs="Times New Roman" w:eastAsia="Times New Roman" w:hAnsi="Times New Roman"/>
                <w:sz w:val="24"/>
                <w:szCs w:val="24"/>
                <w:b w:val="1"/>
                <w:bCs w:val="1"/>
                <w:color w:val="auto"/>
                <w:w w:val="99"/>
              </w:rPr>
              <w:t>UNITED STATES</w:t>
            </w:r>
          </w:p>
        </w:tc>
        <w:tc>
          <w:tcPr>
            <w:tcW w:w="0" w:type="dxa"/>
            <w:vAlign w:val="bottom"/>
          </w:tcPr>
          <w:p>
            <w:pPr>
              <w:spacing w:after="0"/>
              <w:rPr>
                <w:sz w:val="1"/>
                <w:szCs w:val="1"/>
                <w:color w:val="auto"/>
              </w:rPr>
            </w:pPr>
          </w:p>
        </w:tc>
      </w:tr>
      <w:tr>
        <w:trPr>
          <w:trHeight w:val="307"/>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7"/>
                <w:szCs w:val="17"/>
                <w:b w:val="1"/>
                <w:bCs w:val="1"/>
                <w:color w:val="auto"/>
              </w:rPr>
              <w:t>Washington, D.C. 20549</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30"/>
                <w:szCs w:val="30"/>
                <w:b w:val="1"/>
                <w:bCs w:val="1"/>
                <w:color w:val="auto"/>
                <w:w w:val="98"/>
              </w:rPr>
              <w:t>FORM 10-K</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tc>
        <w:tc>
          <w:tcPr>
            <w:tcW w:w="0" w:type="dxa"/>
            <w:vAlign w:val="bottom"/>
          </w:tcPr>
          <w:p>
            <w:pPr>
              <w:spacing w:after="0"/>
              <w:rPr>
                <w:sz w:val="1"/>
                <w:szCs w:val="1"/>
                <w:color w:val="auto"/>
              </w:rPr>
            </w:pPr>
          </w:p>
        </w:tc>
      </w:tr>
      <w:tr>
        <w:trPr>
          <w:trHeight w:val="283"/>
        </w:trPr>
        <w:tc>
          <w:tcPr>
            <w:tcW w:w="30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828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rPr>
              <w:t>ANNUAL REPORT PURSUANT TO SECTION 13 OR 15(d) OF THE SECURITIES EXCHANGE ACT OF</w:t>
            </w:r>
          </w:p>
        </w:tc>
        <w:tc>
          <w:tcPr>
            <w:tcW w:w="0" w:type="dxa"/>
            <w:vAlign w:val="bottom"/>
          </w:tcPr>
          <w:p>
            <w:pPr>
              <w:spacing w:after="0"/>
              <w:rPr>
                <w:sz w:val="1"/>
                <w:szCs w:val="1"/>
                <w:color w:val="auto"/>
              </w:rPr>
            </w:pPr>
          </w:p>
        </w:tc>
      </w:tr>
      <w:tr>
        <w:trPr>
          <w:trHeight w:val="255"/>
        </w:trPr>
        <w:tc>
          <w:tcPr>
            <w:tcW w:w="300" w:type="dxa"/>
            <w:vAlign w:val="bottom"/>
            <w:vMerge w:val="continue"/>
          </w:tcPr>
          <w:p>
            <w:pPr>
              <w:spacing w:after="0"/>
              <w:rPr>
                <w:sz w:val="22"/>
                <w:szCs w:val="22"/>
                <w:color w:val="auto"/>
              </w:rPr>
            </w:pPr>
          </w:p>
        </w:tc>
        <w:tc>
          <w:tcPr>
            <w:tcW w:w="8280" w:type="dxa"/>
            <w:vAlign w:val="bottom"/>
          </w:tcPr>
          <w:p>
            <w:pPr>
              <w:jc w:val="right"/>
              <w:ind w:right="3789"/>
              <w:spacing w:after="0"/>
              <w:rPr>
                <w:sz w:val="20"/>
                <w:szCs w:val="20"/>
                <w:color w:val="auto"/>
              </w:rPr>
            </w:pPr>
            <w:r>
              <w:rPr>
                <w:rFonts w:ascii="Times New Roman" w:cs="Times New Roman" w:eastAsia="Times New Roman" w:hAnsi="Times New Roman"/>
                <w:sz w:val="17"/>
                <w:szCs w:val="17"/>
                <w:b w:val="1"/>
                <w:bCs w:val="1"/>
                <w:color w:val="auto"/>
              </w:rPr>
              <w:t>1934</w:t>
            </w:r>
          </w:p>
        </w:tc>
        <w:tc>
          <w:tcPr>
            <w:tcW w:w="0" w:type="dxa"/>
            <w:vAlign w:val="bottom"/>
          </w:tcPr>
          <w:p>
            <w:pPr>
              <w:spacing w:after="0"/>
              <w:rPr>
                <w:sz w:val="1"/>
                <w:szCs w:val="1"/>
                <w:color w:val="auto"/>
              </w:rPr>
            </w:pPr>
          </w:p>
        </w:tc>
      </w:tr>
      <w:tr>
        <w:trPr>
          <w:trHeight w:val="300"/>
        </w:trPr>
        <w:tc>
          <w:tcPr>
            <w:tcW w:w="300" w:type="dxa"/>
            <w:vAlign w:val="bottom"/>
          </w:tcPr>
          <w:p>
            <w:pPr>
              <w:spacing w:after="0"/>
              <w:rPr>
                <w:sz w:val="24"/>
                <w:szCs w:val="24"/>
                <w:color w:val="auto"/>
              </w:rPr>
            </w:pPr>
          </w:p>
        </w:tc>
        <w:tc>
          <w:tcPr>
            <w:tcW w:w="828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For the fiscal year ended December 29, 2022</w:t>
            </w: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82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2"/>
              </w:rPr>
              <w:t>or</w:t>
            </w:r>
          </w:p>
        </w:tc>
        <w:tc>
          <w:tcPr>
            <w:tcW w:w="0" w:type="dxa"/>
            <w:vAlign w:val="bottom"/>
          </w:tcPr>
          <w:p>
            <w:pPr>
              <w:spacing w:after="0"/>
              <w:rPr>
                <w:sz w:val="1"/>
                <w:szCs w:val="1"/>
                <w:color w:val="auto"/>
              </w:rPr>
            </w:pPr>
          </w:p>
        </w:tc>
      </w:tr>
    </w:tbl>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213995</wp:posOffset>
            </wp:positionH>
            <wp:positionV relativeFrom="page">
              <wp:posOffset>718820</wp:posOffset>
            </wp:positionV>
            <wp:extent cx="7120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743585</wp:posOffset>
            </wp:positionV>
            <wp:extent cx="7120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ind w:left="1600" w:hanging="310"/>
        <w:spacing w:after="0"/>
        <w:tabs>
          <w:tab w:leader="none" w:pos="1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w:t>
      </w:r>
    </w:p>
    <w:p>
      <w:pPr>
        <w:ind w:left="56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1934</w:t>
      </w:r>
    </w:p>
    <w:p>
      <w:pPr>
        <w:spacing w:after="0" w:line="16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 to 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001-33296</w:t>
      </w:r>
    </w:p>
    <w:p>
      <w:pPr>
        <w:spacing w:after="0" w:line="1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NATIONAL CINEMEDIA,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41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20-5665602</w:t>
            </w:r>
          </w:p>
        </w:tc>
      </w:tr>
      <w:tr>
        <w:trPr>
          <w:trHeight w:val="144"/>
        </w:trPr>
        <w:tc>
          <w:tcPr>
            <w:tcW w:w="3660" w:type="dxa"/>
            <w:vAlign w:val="bottom"/>
          </w:tcPr>
          <w:p>
            <w:pPr>
              <w:jc w:val="center"/>
              <w:ind w:left="885"/>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jc w:val="center"/>
              <w:ind w:left="425"/>
              <w:spacing w:after="0" w:line="144"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6"/>
                <w:szCs w:val="16"/>
                <w:b w:val="1"/>
                <w:bCs w:val="1"/>
                <w:color w:val="auto"/>
                <w:w w:val="96"/>
              </w:rPr>
              <w:t>6300 S. Syracuse Way, Suite 300</w:t>
            </w: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Centennial</w:t>
            </w:r>
          </w:p>
        </w:tc>
        <w:tc>
          <w:tcPr>
            <w:tcW w:w="1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Colorado</w:t>
            </w:r>
          </w:p>
        </w:tc>
        <w:tc>
          <w:tcPr>
            <w:tcW w:w="740" w:type="dxa"/>
            <w:vAlign w:val="bottom"/>
          </w:tcPr>
          <w:p>
            <w:pPr>
              <w:spacing w:after="0"/>
              <w:rPr>
                <w:sz w:val="24"/>
                <w:szCs w:val="24"/>
                <w:color w:val="auto"/>
              </w:rPr>
            </w:pPr>
          </w:p>
        </w:tc>
        <w:tc>
          <w:tcPr>
            <w:tcW w:w="2300" w:type="dxa"/>
            <w:vAlign w:val="bottom"/>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80111</w:t>
            </w:r>
          </w:p>
        </w:tc>
      </w:tr>
      <w:tr>
        <w:trPr>
          <w:trHeight w:val="184"/>
        </w:trPr>
        <w:tc>
          <w:tcPr>
            <w:tcW w:w="3660" w:type="dxa"/>
            <w:vAlign w:val="bottom"/>
          </w:tcPr>
          <w:p>
            <w:pPr>
              <w:jc w:val="center"/>
              <w:ind w:left="885"/>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56"/>
        </w:trPr>
        <w:tc>
          <w:tcPr>
            <w:tcW w:w="9800" w:type="dxa"/>
            <w:vAlign w:val="bottom"/>
            <w:gridSpan w:val="5"/>
          </w:tcPr>
          <w:p>
            <w:pPr>
              <w:jc w:val="center"/>
              <w:ind w:left="1385"/>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(303) 792-3600</w:t>
            </w:r>
          </w:p>
        </w:tc>
      </w:tr>
      <w:tr>
        <w:trPr>
          <w:trHeight w:val="235"/>
        </w:trPr>
        <w:tc>
          <w:tcPr>
            <w:tcW w:w="3660" w:type="dxa"/>
            <w:vAlign w:val="bottom"/>
          </w:tcPr>
          <w:p>
            <w:pPr>
              <w:spacing w:after="0"/>
              <w:rPr>
                <w:sz w:val="20"/>
                <w:szCs w:val="20"/>
                <w:color w:val="auto"/>
              </w:rPr>
            </w:pPr>
          </w:p>
        </w:tc>
        <w:tc>
          <w:tcPr>
            <w:tcW w:w="6140" w:type="dxa"/>
            <w:vAlign w:val="bottom"/>
            <w:gridSpan w:val="4"/>
          </w:tcPr>
          <w:p>
            <w:pPr>
              <w:jc w:val="center"/>
              <w:ind w:right="2145"/>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r>
      <w:tr>
        <w:trPr>
          <w:trHeight w:val="309"/>
        </w:trPr>
        <w:tc>
          <w:tcPr>
            <w:tcW w:w="3660" w:type="dxa"/>
            <w:vAlign w:val="bottom"/>
          </w:tcPr>
          <w:p>
            <w:pPr>
              <w:jc w:val="center"/>
              <w:ind w:left="665"/>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8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20" w:type="dxa"/>
            <w:vAlign w:val="bottom"/>
          </w:tcPr>
          <w:p>
            <w:pPr>
              <w:spacing w:after="0"/>
              <w:rPr>
                <w:sz w:val="24"/>
                <w:szCs w:val="24"/>
                <w:color w:val="auto"/>
              </w:rPr>
            </w:pPr>
          </w:p>
        </w:tc>
        <w:tc>
          <w:tcPr>
            <w:tcW w:w="3040" w:type="dxa"/>
            <w:vAlign w:val="bottom"/>
            <w:gridSpan w:val="2"/>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52"/>
        </w:trPr>
        <w:tc>
          <w:tcPr>
            <w:tcW w:w="3660" w:type="dxa"/>
            <w:vAlign w:val="bottom"/>
          </w:tcPr>
          <w:p>
            <w:pPr>
              <w:jc w:val="center"/>
              <w:ind w:left="665"/>
              <w:spacing w:after="0"/>
              <w:rPr>
                <w:sz w:val="20"/>
                <w:szCs w:val="20"/>
                <w:color w:val="auto"/>
              </w:rPr>
            </w:pPr>
            <w:r>
              <w:rPr>
                <w:rFonts w:ascii="Times New Roman" w:cs="Times New Roman" w:eastAsia="Times New Roman" w:hAnsi="Times New Roman"/>
                <w:sz w:val="16"/>
                <w:szCs w:val="16"/>
                <w:b w:val="1"/>
                <w:bCs w:val="1"/>
                <w:color w:val="auto"/>
                <w:w w:val="97"/>
              </w:rPr>
              <w:t>Common Stock, par value $0.01 per share</w:t>
            </w: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NCMI</w:t>
            </w:r>
          </w:p>
        </w:tc>
        <w:tc>
          <w:tcPr>
            <w:tcW w:w="1220" w:type="dxa"/>
            <w:vAlign w:val="bottom"/>
          </w:tcPr>
          <w:p>
            <w:pPr>
              <w:spacing w:after="0"/>
              <w:rPr>
                <w:sz w:val="21"/>
                <w:szCs w:val="21"/>
                <w:color w:val="auto"/>
              </w:rPr>
            </w:pPr>
          </w:p>
        </w:tc>
        <w:tc>
          <w:tcPr>
            <w:tcW w:w="3040" w:type="dxa"/>
            <w:vAlign w:val="bottom"/>
            <w:gridSpan w:val="2"/>
          </w:tcPr>
          <w:p>
            <w:pPr>
              <w:jc w:val="center"/>
              <w:ind w:left="366"/>
              <w:spacing w:after="0"/>
              <w:rPr>
                <w:sz w:val="20"/>
                <w:szCs w:val="20"/>
                <w:color w:val="auto"/>
              </w:rPr>
            </w:pPr>
            <w:r>
              <w:rPr>
                <w:rFonts w:ascii="Times New Roman" w:cs="Times New Roman" w:eastAsia="Times New Roman" w:hAnsi="Times New Roman"/>
                <w:sz w:val="16"/>
                <w:szCs w:val="16"/>
                <w:b w:val="1"/>
                <w:bCs w:val="1"/>
                <w:color w:val="auto"/>
                <w:w w:val="97"/>
              </w:rPr>
              <w:t>The Nasdaq Stock Market LLC</w:t>
            </w:r>
          </w:p>
        </w:tc>
      </w:tr>
      <w:tr>
        <w:trPr>
          <w:trHeight w:val="339"/>
        </w:trPr>
        <w:tc>
          <w:tcPr>
            <w:tcW w:w="9800" w:type="dxa"/>
            <w:vAlign w:val="bottom"/>
            <w:gridSpan w:val="5"/>
          </w:tcPr>
          <w:p>
            <w:pPr>
              <w:jc w:val="center"/>
              <w:ind w:left="1365"/>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12(g) of the Act: None</w:t>
            </w:r>
          </w:p>
        </w:tc>
      </w:tr>
      <w:tr>
        <w:trPr>
          <w:trHeight w:val="253"/>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a well-known seasoned issuer, as defined in Rule 405 of the Securities Act.</w:t>
            </w:r>
          </w:p>
        </w:tc>
        <w:tc>
          <w:tcPr>
            <w:tcW w:w="23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48"/>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3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13"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 w:lineRule="exact"/>
        <w:rPr>
          <w:sz w:val="24"/>
          <w:szCs w:val="24"/>
          <w:color w:val="auto"/>
        </w:rPr>
      </w:pPr>
    </w:p>
    <w:p>
      <w:pPr>
        <w:ind w:right="8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80"/>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780" w:type="dxa"/>
        <w:tblCellMar>
          <w:top w:w="0" w:type="dxa"/>
          <w:left w:w="0" w:type="dxa"/>
          <w:bottom w:w="0" w:type="dxa"/>
          <w:right w:w="0" w:type="dxa"/>
        </w:tblCellMar>
      </w:tblP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80" w:type="dxa"/>
            <w:vAlign w:val="bottom"/>
          </w:tcPr>
          <w:p>
            <w:pPr>
              <w:ind w:left="1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31" w:lineRule="exact"/>
        <w:rPr>
          <w:sz w:val="24"/>
          <w:szCs w:val="24"/>
          <w:color w:val="auto"/>
        </w:rPr>
      </w:pPr>
    </w:p>
    <w:p>
      <w:pPr>
        <w:ind w:right="28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ind w:right="5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 w:lineRule="exact"/>
        <w:rPr>
          <w:sz w:val="24"/>
          <w:szCs w:val="24"/>
          <w:color w:val="auto"/>
        </w:rPr>
      </w:pPr>
    </w:p>
    <w:p>
      <w:pPr>
        <w:ind w:right="68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6600" w:val="left"/>
          <w:tab w:leader="none" w:pos="7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Based on the closing sales price on June 30, 2022, the aggregate market value of the voting and non-voting common stock held by non-affiliates of the registrant was $57,859,231.</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10, 2023, 174,056,268 shares of the registrant’s common stock (including unvested restricted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932180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132715</wp:posOffset>
            </wp:positionV>
            <wp:extent cx="7120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157480</wp:posOffset>
            </wp:positionV>
            <wp:extent cx="7120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gridSpan w:val="9"/>
          </w:tcPr>
          <w:p>
            <w:pPr>
              <w:ind w:left="2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48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1B.</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19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73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80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vMerge w:val="restart"/>
          </w:tcPr>
          <w:p>
            <w:pPr>
              <w:spacing w:after="0"/>
              <w:rPr>
                <w:sz w:val="24"/>
                <w:szCs w:val="2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Item 5.</w:t>
            </w:r>
          </w:p>
        </w:tc>
        <w:tc>
          <w:tcPr>
            <w:tcW w:w="7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560" w:type="dxa"/>
            <w:vAlign w:val="bottom"/>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80" w:type="dxa"/>
            <w:vAlign w:val="bottom"/>
            <w:gridSpan w:val="4"/>
          </w:tcPr>
          <w:p>
            <w:pPr>
              <w:spacing w:after="0"/>
              <w:rPr>
                <w:sz w:val="3"/>
                <w:szCs w:val="3"/>
                <w:color w:val="auto"/>
              </w:rPr>
            </w:pPr>
          </w:p>
        </w:tc>
        <w:tc>
          <w:tcPr>
            <w:tcW w:w="22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[Reserved]</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7A.</w:t>
            </w:r>
          </w:p>
        </w:tc>
        <w:tc>
          <w:tcPr>
            <w:tcW w:w="62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8.</w:t>
            </w:r>
          </w:p>
        </w:tc>
        <w:tc>
          <w:tcPr>
            <w:tcW w:w="41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2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9A.</w:t>
            </w: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540" w:type="dxa"/>
            <w:vAlign w:val="bottom"/>
            <w:tcBorders>
              <w:top w:val="single" w:sz="8" w:color="0000FF"/>
            </w:tcBorders>
            <w:gridSpan w:val="11"/>
          </w:tcPr>
          <w:p>
            <w:pPr>
              <w:spacing w:after="0"/>
              <w:rPr>
                <w:sz w:val="24"/>
                <w:szCs w:val="24"/>
                <w:color w:val="auto"/>
              </w:rPr>
            </w:pPr>
          </w:p>
        </w:tc>
        <w:tc>
          <w:tcPr>
            <w:tcW w:w="31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9B.</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08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9C.</w:t>
            </w:r>
          </w:p>
        </w:tc>
        <w:tc>
          <w:tcPr>
            <w:tcW w:w="4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46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10.</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11.</w:t>
            </w:r>
          </w:p>
        </w:tc>
        <w:tc>
          <w:tcPr>
            <w:tcW w:w="39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40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12.</w:t>
            </w:r>
          </w:p>
        </w:tc>
        <w:tc>
          <w:tcPr>
            <w:tcW w:w="70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13.</w:t>
            </w:r>
          </w:p>
        </w:tc>
        <w:tc>
          <w:tcPr>
            <w:tcW w:w="5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408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15.</w:t>
            </w:r>
          </w:p>
        </w:tc>
        <w:tc>
          <w:tcPr>
            <w:tcW w:w="93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16.</w:t>
            </w:r>
          </w:p>
        </w:tc>
        <w:tc>
          <w:tcPr>
            <w:tcW w:w="2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56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7"/>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this document, unless the context otherwise requires:</w:t>
      </w:r>
    </w:p>
    <w:p>
      <w:pPr>
        <w:spacing w:after="0" w:line="118" w:lineRule="exact"/>
        <w:rPr>
          <w:sz w:val="20"/>
          <w:szCs w:val="20"/>
          <w:color w:val="auto"/>
        </w:rPr>
      </w:pPr>
    </w:p>
    <w:p>
      <w:pPr>
        <w:ind w:left="940" w:right="580" w:hanging="309"/>
        <w:spacing w:after="0" w:line="29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Inc.,” “NCM,” “the Company,” “we,” “us” or “our” refer to National CineMedia, Inc., a Delaware corporation, and its consolidated subsidiary National CineMedia, LLC.</w:t>
      </w:r>
    </w:p>
    <w:p>
      <w:pPr>
        <w:spacing w:after="0" w:line="41" w:lineRule="exact"/>
        <w:rPr>
          <w:rFonts w:ascii="Times New Roman" w:cs="Times New Roman" w:eastAsia="Times New Roman" w:hAnsi="Times New Roman"/>
          <w:sz w:val="17"/>
          <w:szCs w:val="17"/>
          <w:color w:val="auto"/>
        </w:rPr>
      </w:pPr>
    </w:p>
    <w:p>
      <w:pPr>
        <w:ind w:left="940" w:right="140" w:hanging="309"/>
        <w:spacing w:after="0" w:line="27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 refers to National CineMedia, LLC, a Delaware limited liability company, the current operating company for our business, which NCM, Inc. acquired an interest in, and became a member and the sole manager of, upon completion of our initial public offering, or “IPO,” which closed on February 13, 2007.</w:t>
      </w:r>
    </w:p>
    <w:p>
      <w:pPr>
        <w:spacing w:after="0" w:line="59" w:lineRule="exact"/>
        <w:rPr>
          <w:rFonts w:ascii="Times New Roman" w:cs="Times New Roman" w:eastAsia="Times New Roman" w:hAnsi="Times New Roman"/>
          <w:sz w:val="17"/>
          <w:szCs w:val="17"/>
          <w:color w:val="auto"/>
        </w:rPr>
      </w:pPr>
    </w:p>
    <w:p>
      <w:pPr>
        <w:ind w:left="940" w:right="120" w:hanging="309"/>
        <w:spacing w:after="0" w:line="269"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w:t>
      </w:r>
    </w:p>
    <w:p>
      <w:pPr>
        <w:spacing w:after="0" w:line="63" w:lineRule="exact"/>
        <w:rPr>
          <w:rFonts w:ascii="Times New Roman" w:cs="Times New Roman" w:eastAsia="Times New Roman" w:hAnsi="Times New Roman"/>
          <w:sz w:val="17"/>
          <w:szCs w:val="17"/>
          <w:color w:val="auto"/>
        </w:rPr>
      </w:pPr>
    </w:p>
    <w:p>
      <w:pPr>
        <w:ind w:left="940" w:right="400" w:hanging="309"/>
        <w:spacing w:after="0" w:line="27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“AMC” refers to AMC Entertainment Holdings, Inc. and its subsidiaries, National Cinema Network, Inc., which contributed assets used in the operations of NCM LLC and formed NCM LLC in March 2005, AMC ShowPlace Theatres, Inc., AMC Starplex, LLC and American Multi-Cinema, Inc., which is a party to an ESA with NCM LLC.</w:t>
      </w:r>
    </w:p>
    <w:p>
      <w:pPr>
        <w:spacing w:after="0" w:line="59" w:lineRule="exact"/>
        <w:rPr>
          <w:rFonts w:ascii="Times New Roman" w:cs="Times New Roman" w:eastAsia="Times New Roman" w:hAnsi="Times New Roman"/>
          <w:sz w:val="17"/>
          <w:szCs w:val="17"/>
          <w:color w:val="auto"/>
        </w:rPr>
      </w:pPr>
    </w:p>
    <w:p>
      <w:pPr>
        <w:ind w:left="940" w:right="320" w:hanging="309"/>
        <w:spacing w:after="0" w:line="29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“Cinemark” refers to Cinemark Holdings, Inc. and its subsidiaries, Cinemark Media, Inc., which joined NCM LLC in July 2005, and Cinemark USA, Inc., which is a party to an ESA with NCM LLC.</w:t>
      </w:r>
    </w:p>
    <w:p>
      <w:pPr>
        <w:spacing w:after="0" w:line="41" w:lineRule="exact"/>
        <w:rPr>
          <w:rFonts w:ascii="Times New Roman" w:cs="Times New Roman" w:eastAsia="Times New Roman" w:hAnsi="Times New Roman"/>
          <w:sz w:val="17"/>
          <w:szCs w:val="17"/>
          <w:color w:val="auto"/>
        </w:rPr>
      </w:pPr>
    </w:p>
    <w:p>
      <w:pPr>
        <w:ind w:left="940" w:right="120" w:hanging="309"/>
        <w:spacing w:after="0" w:line="275"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is a party to an ESA with NCM LLC.</w:t>
      </w:r>
    </w:p>
    <w:p>
      <w:pPr>
        <w:spacing w:after="0" w:line="5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“Founding members” refers to AMC, Cinemark and Regal.</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affiliates” refers to certain third-party theater circuits with which NCM LLC has long-term network affiliate agreements.</w:t>
      </w:r>
    </w:p>
    <w:p>
      <w:pPr>
        <w:spacing w:after="0" w:line="117" w:lineRule="exact"/>
        <w:rPr>
          <w:rFonts w:ascii="Times New Roman" w:cs="Times New Roman" w:eastAsia="Times New Roman" w:hAnsi="Times New Roman"/>
          <w:sz w:val="17"/>
          <w:szCs w:val="17"/>
          <w:color w:val="auto"/>
        </w:rPr>
      </w:pPr>
    </w:p>
    <w:p>
      <w:pPr>
        <w:ind w:left="940" w:hanging="309"/>
        <w:spacing w:after="0" w:line="269"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OIBDA” refers to a non-GAAP financial measure, which management defines as operating income before depreciation and amortization expense adjusted to also exclude amortization of intangibles recorded for network theater screen leases, non-cash share-based payment costs, executive transition costs, advisor fees related to abandoned financing transactions, impairment of long-lived assets, sales force reorganization costs and advisor fees related to the Cineworld Proceeding (as defined herein).</w:t>
      </w:r>
    </w:p>
    <w:p>
      <w:pPr>
        <w:spacing w:after="0" w:line="6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OIBDA margin” is a non-GAAP financial measure calculated by dividing Adjusted OIBDA by total revenue.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 refers to NCM LLC’s Lobby Entertainment Network.</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“CPM” is a basis for which advertising is sold by the cost per thousand viewers.</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“DCN” refers to NCM LLC’s Digital Content Network.</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 refers to the tax receivable agreement entered into by NCM, Inc. and the founding members.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20" w:lineRule="exact"/>
        <w:rPr>
          <w:sz w:val="20"/>
          <w:szCs w:val="20"/>
          <w:color w:val="auto"/>
        </w:rPr>
      </w:pPr>
    </w:p>
    <w:p>
      <w:pPr>
        <w:ind w:right="100" w:firstLine="627"/>
        <w:spacing w:after="0" w:line="264" w:lineRule="auto"/>
        <w:rPr>
          <w:sz w:val="20"/>
          <w:szCs w:val="20"/>
          <w:color w:val="auto"/>
        </w:rPr>
      </w:pPr>
      <w:r>
        <w:rPr>
          <w:rFonts w:ascii="Times New Roman" w:cs="Times New Roman" w:eastAsia="Times New Roman" w:hAnsi="Times New Roman"/>
          <w:sz w:val="17"/>
          <w:szCs w:val="17"/>
          <w:color w:val="auto"/>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data is reliable, our data has not been verified by any independent sources, and we cannot assure you as to their accuracy.</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20" w:lineRule="exact"/>
        <w:rPr>
          <w:sz w:val="20"/>
          <w:szCs w:val="20"/>
          <w:color w:val="auto"/>
        </w:rPr>
      </w:pPr>
    </w:p>
    <w:p>
      <w:pPr>
        <w:ind w:right="80" w:firstLine="627"/>
        <w:spacing w:after="0" w:line="275" w:lineRule="auto"/>
        <w:rPr>
          <w:sz w:val="20"/>
          <w:szCs w:val="20"/>
          <w:color w:val="auto"/>
        </w:rPr>
      </w:pPr>
      <w:r>
        <w:rPr>
          <w:rFonts w:ascii="Times New Roman" w:cs="Times New Roman" w:eastAsia="Times New Roman" w:hAnsi="Times New Roman"/>
          <w:sz w:val="17"/>
          <w:szCs w:val="17"/>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 w:name="page4"/>
    <w:bookmarkEnd w:id="3"/>
    <w:p>
      <w:pPr>
        <w:spacing w:after="0" w:line="269" w:lineRule="auto"/>
        <w:rPr>
          <w:sz w:val="20"/>
          <w:szCs w:val="20"/>
          <w:color w:val="auto"/>
        </w:rPr>
      </w:pPr>
      <w:r>
        <w:rPr>
          <w:rFonts w:ascii="Times New Roman" w:cs="Times New Roman" w:eastAsia="Times New Roman" w:hAnsi="Times New Roman"/>
          <w:sz w:val="17"/>
          <w:szCs w:val="17"/>
          <w:color w:val="auto"/>
        </w:rPr>
        <w:t>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68" w:lineRule="exact"/>
        <w:rPr>
          <w:sz w:val="20"/>
          <w:szCs w:val="20"/>
          <w:color w:val="auto"/>
        </w:rPr>
      </w:pPr>
    </w:p>
    <w:p>
      <w:pPr>
        <w:ind w:left="940" w:hanging="309"/>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and uncertainties relating to NCM LLC’s Chapter 11 Case;</w:t>
      </w:r>
    </w:p>
    <w:p>
      <w:pPr>
        <w:spacing w:after="0" w:line="65" w:lineRule="exact"/>
        <w:rPr>
          <w:rFonts w:ascii="Times New Roman" w:cs="Times New Roman" w:eastAsia="Times New Roman" w:hAnsi="Times New Roman"/>
          <w:sz w:val="17"/>
          <w:szCs w:val="17"/>
          <w:color w:val="auto"/>
        </w:rPr>
      </w:pPr>
    </w:p>
    <w:p>
      <w:pPr>
        <w:ind w:left="940" w:right="160" w:hanging="309"/>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and uncertainties relating to our significant indebtedness and investments, including (i) the availability and adequacy of cash flows to meet our debt service requirements and any other indebtedness that we may incur in the in the future, (ii) our ability to repay or refinance our indebtedness upon maturity, including a significant amount of indebtedness that matures on June 20, 2023, and (iii) our ability to comply with the financial covenants included in the agreements governing our indebtedness;</w:t>
      </w:r>
    </w:p>
    <w:p>
      <w:pPr>
        <w:spacing w:after="0" w:line="11" w:lineRule="exact"/>
        <w:rPr>
          <w:rFonts w:ascii="Times New Roman" w:cs="Times New Roman" w:eastAsia="Times New Roman" w:hAnsi="Times New Roman"/>
          <w:sz w:val="17"/>
          <w:szCs w:val="17"/>
          <w:color w:val="auto"/>
        </w:rPr>
      </w:pPr>
    </w:p>
    <w:p>
      <w:pPr>
        <w:ind w:left="940" w:right="240" w:hanging="309"/>
        <w:spacing w:after="0" w:line="27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petition for reorganization filed under Chapter 11 of title 11 of the United States Bankruptcy Code by Cineworld Group plc, the parent company of Regal, and certain of its subsidiaries, including Regal (the “Cineworld Proceeding”), and the indebtedness of the founding members and the effect of a potential bankruptcy of a founding member on our business;</w:t>
      </w:r>
    </w:p>
    <w:p>
      <w:pPr>
        <w:spacing w:after="0" w:line="6" w:lineRule="exact"/>
        <w:rPr>
          <w:rFonts w:ascii="Times New Roman" w:cs="Times New Roman" w:eastAsia="Times New Roman" w:hAnsi="Times New Roman"/>
          <w:sz w:val="17"/>
          <w:szCs w:val="17"/>
          <w:color w:val="auto"/>
        </w:rPr>
      </w:pPr>
    </w:p>
    <w:p>
      <w:pPr>
        <w:ind w:left="940" w:right="60" w:hanging="309"/>
        <w:spacing w:after="0" w:line="288"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ESAs, including the potential rejection of the ESA with Regal in the Cineworld Proceeding, and the relationships with NCM LLC’s founding members and NCM LLC’s ability to enforce the provisions contained in the ESAs, including changes due to the Cineworld Proceeding;</w:t>
      </w:r>
    </w:p>
    <w:p>
      <w:pPr>
        <w:ind w:left="940" w:right="140" w:hanging="309"/>
        <w:spacing w:after="0" w:line="29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epidemics or disease outbreaks, such as the COVID-19 pandemic, can disrupt our business and the business of our founding members and network affiliates;</w:t>
      </w:r>
    </w:p>
    <w:p>
      <w:pPr>
        <w:spacing w:after="0" w:line="20"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Continued declines in theater attendance;</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 xml:space="preserve">Changes in theater patron behavior could result in declines in viewership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realize the anticipated benefits of the 2019 ESA Amendments;</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be successful in increasing the number of theaters in which NCM LLC has the right to display Post-Showtime Inventory;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plans for developing additional digital revenue opportunities may not be implemented and may not be achieved;</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regulation and potential liability arising out of the gathering and use of user information collected through online or mobile services;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Competition within the overall advertising industry;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continue to upgrade our technology and that of our advertising network;</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economic conditions;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be able to grow our advertising revenue in line with the growth of our contractual costs;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potential loss of any major content partner or advertising client, including due to the uncertainty or perception of uncertainty in the industry;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inability to retain or replace our senior management;</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government regulation on founding member and network affiliate growth;</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effectively manage change to our strategy or continue our growth;</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failures or disruptions in our technology systems or the failure to adequately protect our systems, data or property from threats;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Possible infringement of our technology on intellectual property rights owned by others;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protect or enforce our intellectual property rights;</w:t>
      </w:r>
    </w:p>
    <w:p>
      <w:pPr>
        <w:spacing w:after="0" w:line="73" w:lineRule="exact"/>
        <w:rPr>
          <w:rFonts w:ascii="Arial" w:cs="Arial" w:eastAsia="Arial" w:hAnsi="Arial"/>
          <w:sz w:val="21"/>
          <w:szCs w:val="21"/>
          <w:color w:val="auto"/>
        </w:rPr>
      </w:pPr>
    </w:p>
    <w:p>
      <w:pPr>
        <w:ind w:left="940" w:right="520" w:hanging="309"/>
        <w:spacing w:after="0" w:line="239" w:lineRule="auto"/>
        <w:tabs>
          <w:tab w:leader="none" w:pos="9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 w:name="page5"/>
    <w:bookmarkEnd w:id="4"/>
    <w:p>
      <w:pPr>
        <w:ind w:left="940" w:right="40" w:hanging="309"/>
        <w:spacing w:after="0" w:line="239" w:lineRule="auto"/>
        <w:tabs>
          <w:tab w:leader="none" w:pos="9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NCM LLC’s other members, their affiliates or our largest stockholder may have interests that differ from those of us or our public stockholders and they may be able to influence our affairs, compete with us or benefit from corporate opportunities that might otherwise be available to us;</w:t>
      </w:r>
    </w:p>
    <w:p>
      <w:pPr>
        <w:spacing w:after="0" w:line="73" w:lineRule="exact"/>
        <w:rPr>
          <w:rFonts w:ascii="Arial" w:cs="Arial" w:eastAsia="Arial" w:hAnsi="Arial"/>
          <w:sz w:val="21"/>
          <w:szCs w:val="21"/>
          <w:color w:val="auto"/>
        </w:rPr>
      </w:pPr>
    </w:p>
    <w:p>
      <w:pPr>
        <w:ind w:left="940" w:right="160" w:hanging="309"/>
        <w:spacing w:after="0" w:line="239" w:lineRule="auto"/>
        <w:tabs>
          <w:tab w:leader="none" w:pos="9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competing interests of the founding members and the ability for NCM LLC’s members to benefit from corporate opportunities available to NCM LLC;</w:t>
      </w:r>
    </w:p>
    <w:p>
      <w:pPr>
        <w:spacing w:after="0" w:line="59"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certificate of incorporation contains anti-takeover protections that may discourage a strategic transaction;</w:t>
      </w:r>
    </w:p>
    <w:p>
      <w:pPr>
        <w:spacing w:after="0" w:line="71"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Future issuance of membership units or preferred stock could dilute the interest of our common stockholders;</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Determination that NCM, Inc. or any of NCM LLC’s founding members is an investment company;</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Determination that any amount of our tax benefits under the TRA should not have been available;</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on our stock price from the substantial number of our shares eligible for sale; and</w:t>
      </w:r>
    </w:p>
    <w:p>
      <w:pPr>
        <w:spacing w:after="0" w:line="58" w:lineRule="exact"/>
        <w:rPr>
          <w:rFonts w:ascii="Arial" w:cs="Arial" w:eastAsia="Arial" w:hAnsi="Arial"/>
          <w:sz w:val="21"/>
          <w:szCs w:val="21"/>
          <w:color w:val="auto"/>
        </w:rPr>
      </w:pPr>
    </w:p>
    <w:p>
      <w:pPr>
        <w:ind w:left="940" w:hanging="309"/>
        <w:spacing w:after="0"/>
        <w:tabs>
          <w:tab w:leader="none" w:pos="9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described under “Risk Factors” or elsewhere in this Annual Report on Form 10-K.</w:t>
      </w:r>
    </w:p>
    <w:p>
      <w:pPr>
        <w:spacing w:after="0" w:line="152"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63" w:lineRule="exact"/>
        <w:rPr>
          <w:sz w:val="20"/>
          <w:szCs w:val="20"/>
          <w:color w:val="auto"/>
        </w:rPr>
      </w:pPr>
    </w:p>
    <w:p>
      <w:pPr>
        <w:jc w:val="both"/>
        <w:ind w:firstLine="627"/>
        <w:spacing w:after="0" w:line="275" w:lineRule="auto"/>
        <w:rPr>
          <w:sz w:val="20"/>
          <w:szCs w:val="20"/>
          <w:color w:val="auto"/>
        </w:rPr>
      </w:pPr>
      <w:r>
        <w:rPr>
          <w:rFonts w:ascii="Times New Roman" w:cs="Times New Roman" w:eastAsia="Times New Roman" w:hAnsi="Times New Roman"/>
          <w:sz w:val="17"/>
          <w:szCs w:val="17"/>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59" w:lineRule="exact"/>
        <w:rPr>
          <w:sz w:val="20"/>
          <w:szCs w:val="20"/>
          <w:color w:val="auto"/>
        </w:rPr>
      </w:pPr>
    </w:p>
    <w:p>
      <w:pPr>
        <w:ind w:right="100" w:firstLine="627"/>
        <w:spacing w:after="0" w:line="280" w:lineRule="auto"/>
        <w:rPr>
          <w:sz w:val="20"/>
          <w:szCs w:val="20"/>
          <w:color w:val="auto"/>
        </w:rPr>
      </w:pPr>
      <w:r>
        <w:rPr>
          <w:rFonts w:ascii="Times New Roman" w:cs="Times New Roman" w:eastAsia="Times New Roman" w:hAnsi="Times New Roman"/>
          <w:sz w:val="17"/>
          <w:szCs w:val="17"/>
          <w:color w:val="auto"/>
        </w:rPr>
        <w:t>Ownership of the common stock and other securities of the Company involves certain risks. In addition to the summary below, you should carefully review the “Risk Factors” section of this Annual Report on Form 10-K and other information in this document, including our historical financial statements and</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 Some of the more significant risks relating to our business include: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NCM LLC’s Chapter 11 Case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risks relate to NCM LLC’s Chapter 11 Case described below in Item 1:</w:t>
      </w:r>
    </w:p>
    <w:p>
      <w:pPr>
        <w:spacing w:after="0" w:line="143" w:lineRule="exact"/>
        <w:rPr>
          <w:sz w:val="20"/>
          <w:szCs w:val="20"/>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risks and uncertainties inherent with the bankruptcy process;</w:t>
      </w:r>
    </w:p>
    <w:p>
      <w:pPr>
        <w:spacing w:after="0" w:line="73" w:lineRule="exact"/>
        <w:rPr>
          <w:rFonts w:ascii="Arial" w:cs="Arial" w:eastAsia="Arial" w:hAnsi="Arial"/>
          <w:sz w:val="21"/>
          <w:szCs w:val="21"/>
          <w:color w:val="auto"/>
        </w:rPr>
      </w:pPr>
    </w:p>
    <w:p>
      <w:pPr>
        <w:ind w:left="640" w:right="280" w:hanging="322"/>
        <w:spacing w:after="0" w:line="239"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Material delays in or other negative events during the pendency of the Chapter 11 Case increase the risk of us being unable to reorganize NCM LLC and successfully emerge from bankruptcy and also increase our costs associated with the bankruptcy process;</w:t>
      </w:r>
    </w:p>
    <w:p>
      <w:pPr>
        <w:spacing w:after="0" w:line="73" w:lineRule="exact"/>
        <w:rPr>
          <w:rFonts w:ascii="Arial" w:cs="Arial" w:eastAsia="Arial" w:hAnsi="Arial"/>
          <w:sz w:val="21"/>
          <w:szCs w:val="21"/>
          <w:color w:val="auto"/>
        </w:rPr>
      </w:pPr>
    </w:p>
    <w:p>
      <w:pPr>
        <w:ind w:left="640" w:right="260" w:hanging="322"/>
        <w:spacing w:after="0" w:line="239"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value of our outstanding common stock prior to the Chapter 11 proceedings is expected to be substantially impaired as a result of the Chapter 11 proceedings and trading during the pendency of the Chapter 11 proceedings will be highly speculative;</w:t>
      </w:r>
    </w:p>
    <w:p>
      <w:pPr>
        <w:spacing w:after="0" w:line="59"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Our relationship with NCM LLC could be adversely impacted;</w:t>
      </w:r>
    </w:p>
    <w:p>
      <w:pPr>
        <w:spacing w:after="0" w:line="71"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Our management may not have sufficient flexibility to manage our business during the Chapter 11 Case;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A long-term Chapter 11 proceeding could have a material adverse effect on our business;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NCM LLC may not be able to obtain confirmation of a Chapter 11 plan of reorganization;</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A plan of reorganization may not satisfy the requirements for non-consensual confirmation of a chapter 11 plan under the Bankruptcy Code.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NCM LLC may seek to amend, waive, modify, or withdraw a plan of reorganization at any time before confirmation.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40" w:right="40" w:hanging="322"/>
        <w:spacing w:after="0" w:line="239"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NCM LLC cannot make any assurances that the conditions precedent to a plan of reorganization’s effectiveness will occur or be waived by the effective date.</w:t>
      </w:r>
    </w:p>
    <w:p>
      <w:pPr>
        <w:spacing w:after="0" w:line="59"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Restructuring Support Agreement may be terminated, which could adversely affect the Chapter 11 Case;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Restructuring is subject to conditions and milestones that we may be unable to satisfy;</w:t>
      </w:r>
    </w:p>
    <w:p>
      <w:pPr>
        <w:spacing w:after="0" w:line="71"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long-term liquidity and capital resources and post-NCM LLC’s Chapter proceeding capital structure cannot be predicted at this time;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financial results may be volatile;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NCM LLC may have claims that will not be discharged in the Chapter 11 Case;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We may experience increased levels of employee attrition as a result of the Chapter 11 Case;</w:t>
      </w:r>
    </w:p>
    <w:p>
      <w:pPr>
        <w:spacing w:after="0" w:line="73" w:lineRule="exact"/>
        <w:rPr>
          <w:rFonts w:ascii="Arial" w:cs="Arial" w:eastAsia="Arial" w:hAnsi="Arial"/>
          <w:sz w:val="21"/>
          <w:szCs w:val="21"/>
          <w:color w:val="auto"/>
        </w:rPr>
      </w:pPr>
    </w:p>
    <w:p>
      <w:pPr>
        <w:ind w:left="640" w:right="100" w:hanging="322"/>
        <w:spacing w:after="0" w:line="254"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Any changes to our capital structure post-bankruptcy may have a material adverse effect on existing debt and security holders, including holders of our common stock;</w:t>
      </w:r>
    </w:p>
    <w:p>
      <w:pPr>
        <w:spacing w:after="0" w:line="45"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Chapter 11 proceeding may be converted to a proceeding under Chapter 7;and</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Our common stock may be delisted from Nasdaq.</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Business and Industry</w:t>
      </w:r>
    </w:p>
    <w:p>
      <w:pPr>
        <w:spacing w:after="0" w:line="109" w:lineRule="exact"/>
        <w:rPr>
          <w:sz w:val="20"/>
          <w:szCs w:val="20"/>
          <w:color w:val="auto"/>
        </w:rPr>
      </w:pPr>
    </w:p>
    <w:p>
      <w:pPr>
        <w:ind w:left="640" w:right="80" w:hanging="322"/>
        <w:spacing w:after="0" w:line="239"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NCM LLC’s ability to repay or refinance its indebtedness upon maturity, including a significant amount of indebtedness that matures on June 20, 2023, and NCM LLC’s ability to comply with the financial covenants included in the agreement governing our indebtedness;</w:t>
      </w:r>
    </w:p>
    <w:p>
      <w:pPr>
        <w:spacing w:after="0" w:line="73" w:lineRule="exact"/>
        <w:rPr>
          <w:rFonts w:ascii="Arial" w:cs="Arial" w:eastAsia="Arial" w:hAnsi="Arial"/>
          <w:sz w:val="21"/>
          <w:szCs w:val="21"/>
          <w:color w:val="auto"/>
        </w:rPr>
      </w:pPr>
    </w:p>
    <w:p>
      <w:pPr>
        <w:ind w:left="640" w:hanging="322"/>
        <w:spacing w:after="0" w:line="246"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petition for reorganization filed under Chapter 11 of the United States Bankruptcy Code by Cineworld Group plc, the parent company of Regal, and certain of its subsidiaries, including Regal, and the indebtedness of the founding members and the effect of a potential bankruptcy of a founding member on our business;</w:t>
      </w:r>
    </w:p>
    <w:p>
      <w:pPr>
        <w:spacing w:after="0" w:line="69" w:lineRule="exact"/>
        <w:rPr>
          <w:rFonts w:ascii="Arial" w:cs="Arial" w:eastAsia="Arial" w:hAnsi="Arial"/>
          <w:sz w:val="21"/>
          <w:szCs w:val="21"/>
          <w:color w:val="auto"/>
        </w:rPr>
      </w:pPr>
    </w:p>
    <w:p>
      <w:pPr>
        <w:ind w:left="640" w:right="380" w:hanging="322"/>
        <w:spacing w:after="0" w:line="239"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Changes to the ESAs, including the potential rejection of the ESA with Regal in the Cineworld Proceeding, and the relationships with NCM LLC’s founding members and NCM LLC’s ability to enforce the provisions contained in the ESAs, including changes due to the Cineworld Proceeding;</w:t>
      </w:r>
    </w:p>
    <w:p>
      <w:pPr>
        <w:spacing w:after="0" w:line="73" w:lineRule="exact"/>
        <w:rPr>
          <w:rFonts w:ascii="Arial" w:cs="Arial" w:eastAsia="Arial" w:hAnsi="Arial"/>
          <w:sz w:val="21"/>
          <w:szCs w:val="21"/>
          <w:color w:val="auto"/>
        </w:rPr>
      </w:pPr>
    </w:p>
    <w:p>
      <w:pPr>
        <w:ind w:left="640" w:right="60" w:hanging="322"/>
        <w:spacing w:after="0" w:line="25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outbreak of the COVID-19 Pandemic, which has had an adverse impact on our business, and continues to materially affect our operations, liquidity and results of operations;</w:t>
      </w:r>
    </w:p>
    <w:p>
      <w:pPr>
        <w:spacing w:after="0" w:line="45"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Continued declines in theater attendance and its impact on how advertisers view cinema advertising;</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theater patron behavior, including advance ticket purchases for reserved seating;</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realize the anticipated benefits of the 2019 ESA Amendments;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 xml:space="preserve">Failure to increase the number of theaters that display our Post-Showtime Inventory and other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products;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successfully continue to develop our digital and digital out-of-home revenue opportunities;</w:t>
      </w:r>
    </w:p>
    <w:p>
      <w:pPr>
        <w:spacing w:after="0" w:line="71"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Any liability arising out of our in-theater, online or mobile services and the user information that we gather through our online and mobile services;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regulation to the Internet or other areas of our online or mobile services;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high level of competition within the market for advertising;</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continue to upgrade our technology and that of our founding members and network affiliates;</w:t>
      </w:r>
    </w:p>
    <w:p>
      <w:pPr>
        <w:spacing w:after="0" w:line="73" w:lineRule="exact"/>
        <w:rPr>
          <w:rFonts w:ascii="Arial" w:cs="Arial" w:eastAsia="Arial" w:hAnsi="Arial"/>
          <w:sz w:val="21"/>
          <w:szCs w:val="21"/>
          <w:color w:val="auto"/>
        </w:rPr>
      </w:pPr>
    </w:p>
    <w:p>
      <w:pPr>
        <w:ind w:left="640" w:right="260" w:hanging="322"/>
        <w:spacing w:after="0" w:line="25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Economic uncertainty or deterioration may lead to a decrease in consumer spending, reduced demand for our products or a delay in payments by our advertising clients;</w:t>
      </w:r>
    </w:p>
    <w:p>
      <w:pPr>
        <w:spacing w:after="0" w:line="45"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loss of revenues or failure to increase revenue to keep in line with growth in contractual costs;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loss of any major content partner could significantly reduce our revenue;</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Whether our founding members engage in activities that might compete with elements of our business, as permitted under the ESAs;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Our reliance on senior management personnel for the success of our business;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government regulation on our founding members and network affiliates;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20" w:hanging="302"/>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effectively manage changes to our business strategy to continue the growth of our advertising inventory and network;</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Failure of our technological systems or the failure to adequately protect our systems, data or property from threats;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Volatility in our stock price; and</w:t>
      </w:r>
    </w:p>
    <w:p>
      <w:pPr>
        <w:spacing w:after="0" w:line="71" w:lineRule="exact"/>
        <w:rPr>
          <w:rFonts w:ascii="Arial" w:cs="Arial" w:eastAsia="Arial" w:hAnsi="Arial"/>
          <w:sz w:val="21"/>
          <w:szCs w:val="21"/>
          <w:color w:val="auto"/>
        </w:rPr>
      </w:pPr>
    </w:p>
    <w:p>
      <w:pPr>
        <w:ind w:left="620" w:hanging="302"/>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We may be liable for infringing the intellectual property rights of others.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Corporate Structure</w:t>
      </w:r>
    </w:p>
    <w:p>
      <w:pPr>
        <w:spacing w:after="0" w:line="147" w:lineRule="exact"/>
        <w:rPr>
          <w:sz w:val="20"/>
          <w:szCs w:val="20"/>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NCM LLC’s substantial debt obligations could impair our financial condition;</w:t>
      </w:r>
    </w:p>
    <w:p>
      <w:pPr>
        <w:spacing w:after="0" w:line="110"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Our status as a holding company with no operations of our own and our dependence on distributions from NCM LLC;</w:t>
      </w:r>
    </w:p>
    <w:p>
      <w:pPr>
        <w:spacing w:after="0" w:line="110"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Any additional debt incurred by us or NCM LLC;</w:t>
      </w:r>
    </w:p>
    <w:p>
      <w:pPr>
        <w:spacing w:after="0" w:line="110"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Our largest stockholder and NCM LLC’s members or their affiliates may have interests that differ from those of our stockholders;</w:t>
      </w:r>
    </w:p>
    <w:p>
      <w:pPr>
        <w:spacing w:after="0" w:line="124"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Any potential competing interests of our founding members;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NCM LLC’s members to potentially benefit from corporate opportunities that would otherwise be available to us;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Differences in the terms of the agreements in place with the founding members and unaffiliated third parties;</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anti-takeover provisions in our certificate of incorporation and bylaws, which could discourage potentially beneficial strategic transactions;</w:t>
      </w:r>
    </w:p>
    <w:p>
      <w:pPr>
        <w:spacing w:after="0" w:line="73" w:lineRule="exact"/>
        <w:rPr>
          <w:rFonts w:ascii="Arial" w:cs="Arial" w:eastAsia="Arial" w:hAnsi="Arial"/>
          <w:sz w:val="21"/>
          <w:szCs w:val="21"/>
          <w:color w:val="auto"/>
        </w:rPr>
      </w:pPr>
    </w:p>
    <w:p>
      <w:pPr>
        <w:ind w:left="640" w:hanging="322"/>
        <w:spacing w:after="0" w:line="239"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dilutive effect on the voting power of our common stock as a result of the future issuance of our preferred stock or future issuances or redemptions of membership units by NCM LLC;</w:t>
      </w:r>
    </w:p>
    <w:p>
      <w:pPr>
        <w:spacing w:after="0" w:line="59"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Any determination that we, or our founding members, qualify as an investment company under the U.S. securities laws;</w:t>
      </w:r>
    </w:p>
    <w:p>
      <w:pPr>
        <w:spacing w:after="0" w:line="71"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our TRA with the founding members and NCM LLC on our cash flows; and</w:t>
      </w:r>
    </w:p>
    <w:p>
      <w:pPr>
        <w:spacing w:after="0" w:line="58" w:lineRule="exact"/>
        <w:rPr>
          <w:rFonts w:ascii="Arial" w:cs="Arial" w:eastAsia="Arial" w:hAnsi="Arial"/>
          <w:sz w:val="21"/>
          <w:szCs w:val="21"/>
          <w:color w:val="auto"/>
        </w:rPr>
      </w:pPr>
    </w:p>
    <w:p>
      <w:pPr>
        <w:ind w:left="620" w:hanging="302"/>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Any effect from the substantial number of shares that we have eligible for sale on the market price of our common stock.</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79"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74.6% of the common membership units in NCM LLC as of December 29, 2022. NCM LLC’s other member is Cinemark, one of the largest motion picture exhibition companies in the U.S., which held the remaining 25.4% of NCM LLC’s common membership units as of December 29, 2022. In December 2022, AMC and Regal each redeemed all of their outstanding membership units, 5,954,646 and 40,683,797, respectively, in exchange for shares of NCM, Inc. common stock, reducing AMC’s and Regal’s ownership to 0.0% as of December 29, 2022. In February and March of 2023, Cinemark redeemed 43,690,797 of its outstanding membership units in exchange for shares of NCM, Inc. common stock, reducing Cinemark’s ownership to 0.0% as of March 23, 2023.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Chapter 11 Proceedings</w:t>
      </w:r>
    </w:p>
    <w:p>
      <w:pPr>
        <w:spacing w:after="0" w:line="120"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 xml:space="preserve">On April 11, 2023, NCM LLC filed a voluntary petition for reorganization (“Chapter 11 Case”) with a prearranged Chapter 11 plan under Chapter 11 of title 11 of the United States Code (the “Bankruptcy Code”) in the U.S. Bankruptcy Court for the Southern District of Texas (the “Bankruptcy Court”). The Chapter 11 Case is being administered under the caption </w:t>
      </w:r>
      <w:r>
        <w:rPr>
          <w:rFonts w:ascii="Times New Roman" w:cs="Times New Roman" w:eastAsia="Times New Roman" w:hAnsi="Times New Roman"/>
          <w:sz w:val="17"/>
          <w:szCs w:val="17"/>
          <w:i w:val="1"/>
          <w:iCs w:val="1"/>
          <w:color w:val="auto"/>
        </w:rPr>
        <w:t>In re: National CineMedia, LLC</w:t>
      </w:r>
      <w:r>
        <w:rPr>
          <w:rFonts w:ascii="Times New Roman" w:cs="Times New Roman" w:eastAsia="Times New Roman" w:hAnsi="Times New Roman"/>
          <w:sz w:val="17"/>
          <w:szCs w:val="17"/>
          <w:color w:val="auto"/>
        </w:rPr>
        <w:t>, Case No. 23-90291.</w:t>
      </w:r>
    </w:p>
    <w:p>
      <w:pPr>
        <w:spacing w:after="0" w:line="5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7"/>
          <w:szCs w:val="17"/>
          <w:color w:val="auto"/>
        </w:rPr>
        <w:t>On April 11, 2023, NCM, Inc. entered into a restructuring support agreement (the “Restructuring Support Agreement”). with NCM LLC and certain of NCM LLC’s (a) prepetition lenders under (i) the Term Loan Credit Agreement, dated as of June 18, 2018 among NCM LLC as Borrower, JPMorgan Chase Bank, N.A. (“JPM”) in its capacity as administrative agent, and the lenders party thereto (as amended, supplemented or otherwise modified from time to time, the “Credit Agreement”); (ii) the Revolving Credit Agreement, dated as of June 20, 2018 among NCM LLC as Borrower, JPM in its capacity as administrative agent, and the lenders party thereto (as amended, supplemented or otherwise modified from time to time, the “Revolving Credit Agreement 2018”); (iii) the Revolving Credit Agreement dated as of January 5, 2022 among NCM LLC as Borrower, JPM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(as amended, supplemented or otherwise modified from time to time, the “Secured Notes Indenture” and together with the Term Loan Credit Agreement, Revolving Credit Facility 2018, and Revolving Credit Agreement 2022, the “Prepetition Secured Debt Documents”) and (ii) the Unsecured Notes Indenture dated as of August 19, 2016 with Computershare in its capacity as indenture trustee (as amended, supplemented or otherwise modified from time to time, the “Unsecured Notes Indenture”). The parties to the Restructuring Support Agreement hold, in the aggregate, more than two-thirds of all claims arising under the Prepetition Secured Debt Documents.</w:t>
      </w:r>
    </w:p>
    <w:p>
      <w:pPr>
        <w:spacing w:after="0" w:line="77"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7"/>
          <w:szCs w:val="17"/>
          <w:color w:val="auto"/>
        </w:rPr>
        <w:t>The Restructuring Support Agreement provides for, among other things (i) the “Up-C” structure pursuant to which shares of NCM, Inc. are sold to the public and the limited liability company common membership units of NCM (“common membership units”) may be redeemed for NCM, Inc.’s public shares shall remain in place to enable NCM LLC and NCM, Inc. to continue to comply with the ESAs (as defined herein) and other joint venture agreements, meaning</w:t>
      </w:r>
    </w:p>
    <w:p>
      <w:pPr>
        <w:spacing w:after="0" w:line="2" w:lineRule="exact"/>
        <w:rPr>
          <w:sz w:val="20"/>
          <w:szCs w:val="20"/>
          <w:color w:val="auto"/>
        </w:rPr>
      </w:pPr>
    </w:p>
    <w:p>
      <w:pPr>
        <w:ind w:right="100" w:firstLine="4"/>
        <w:spacing w:after="0" w:line="258" w:lineRule="auto"/>
        <w:tabs>
          <w:tab w:leader="none" w:pos="23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Third Amended and Restated Limited Liability Operating Agreement; (b) that certain Common Unit Adjustment Agreement; (c) that certain Tax Receivable Agreement; (d) that certain Management Services Agreement; (e) that certain Software License Agreement; and (f) those certain ESAs (as defined herein)(“Joint Venture Agreements”); (ii) the Joint Venture Agreements shall be assumed as of the plan effective date through a plan of reorganization; (iii) NCM, Inc. shall affirm its obligations under the Joint Venture Agreements and to take the necessary corporate action to maintain the “Up-C” structure; (iv) outstanding claims under the Prepetition Secured Debt Documents, existing equity interests in NCM LLC, and notes, instruments, certificates and other documents evidencing claims or interests, including credit agreements and indentures, shall be cancelled, and (A) holders of Prepetition Secured Debt Documents and NCM, Inc. will receive 100.0% of the common membership units of the reorganized NCM LLC (the “new common membership units”) a portion of which will be reallocated to NCM, Inc. pursuant to the NCMI 9019 Settlement (as defined within the Restructuring Support Agreement), subject to dilution, and (B) if no unsecured creditors committee is appointed in the Chapter 11 Case, then the holders of Unsecured Funded Debt Claims (as defined in the Restructuring Support Agreement) shall receive warrants, exercisable at a total equity value of $1.04 billion, for five percent of the new common membership units, subject to dilution; (v) NCM, Inc. shall make a capital contribution of approximately $15.0 million of cash on hand in exchange for new common membership units (the “NCMI 9019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 w:name="page9"/>
    <w:bookmarkEnd w:id="8"/>
    <w:p>
      <w:pPr>
        <w:ind w:right="20"/>
        <w:spacing w:after="0" w:line="262" w:lineRule="auto"/>
        <w:rPr>
          <w:sz w:val="20"/>
          <w:szCs w:val="20"/>
          <w:color w:val="auto"/>
        </w:rPr>
      </w:pPr>
      <w:r>
        <w:rPr>
          <w:rFonts w:ascii="Times New Roman" w:cs="Times New Roman" w:eastAsia="Times New Roman" w:hAnsi="Times New Roman"/>
          <w:sz w:val="17"/>
          <w:szCs w:val="17"/>
          <w:color w:val="auto"/>
        </w:rPr>
        <w:t>Contribution”); (vi) holders of Prepetition Secured Debt Documents will be issued preferred stock of NCM, Inc. entitling the holders to voting rights equal to the economic interests held by such holders in NCM LLC; and (vii) NCM LLC shall emerge without any debt, but if additional exit financing is needed, NCM LLC will first seek to obtain a revolving credit facility from a third party lending institution, but if, despite best efforts, NCM LLC is unable to obtain a revolving credit facility acceptable to NCM LLC’s secured lenders, then certain of NCM LLC’s secured lenders shall provide such financing in the form of a first lien term loan facility on such arm’s-length terms and conditions as to be agreed upon. Following the transactions contemplated by the Restructuring Support Agreement, NCM, Inc. is projected to have an aggregate ownership interest of approximately 13.8% of NCM LLC on account of the NCMI 9019 Settlement, NCM, Inc.’s ownership of Secured Notes and the NCMI 9019 Capital Contribution.</w:t>
      </w:r>
    </w:p>
    <w:p>
      <w:pPr>
        <w:spacing w:after="0" w:line="7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NCM, Inc. expects to continue to manage NCM LLC, the “debtor in possession”, under the jurisdiction of the Bankruptcy Court and in accordance with the applicable provisions of the Bankruptcy Code and orders of the Bankruptcy Court. Prior to filing the Chapter 11 Case, because of potential conflicts that may arise between NCM LLC and NCM, Inc., NCM LLC appointed Carol Flaton of Hamlin Partners LLC as an independent manager at NCM, LLC to address these limited conflict matters in March 2023 (the “Independent Manager”). This appointment of the Independent Manager does not otherwise change NCM, Inc’s position as manager of NCM LLC.</w:t>
      </w:r>
    </w:p>
    <w:p>
      <w:pPr>
        <w:spacing w:after="0" w:line="65"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its business activities in the ordinary course and, among other things and subject to the terms and conditions of such orders, authorized employees at NCM, Inc. to continue providing day-to-day management services to NCM LLC, and NCM LLC to pay employee wages and benefits and vendors and suppliers in the ordinary course for all goods and services going forward. NCM LLC will continue to pursue approval of a proposed plan of reorganization, which will incorporate the terms of the Restructuring Support Agreement.</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addition, as part of its “first day” relief, NCM LLC received authority to use its encumbered cash collateral with the consent of certain of its prepetition</w:t>
      </w:r>
    </w:p>
    <w:p>
      <w:pPr>
        <w:spacing w:after="0" w:line="5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secured lenders to administer the Chapter 11 Case and continue its business operations (the “Cash Collateral Order”). Consistent with the Cash Collateral Order, NCM LLC’s normal operating cash flows are providing liquidity for NCM LLC to operate as usual and fulfill ongoing commitments to stakeholders. We are unable to predict when NCM LLC will emerge from this Chapter 11 process.</w:t>
      </w:r>
    </w:p>
    <w:p>
      <w:pPr>
        <w:spacing w:after="0" w:line="59" w:lineRule="exact"/>
        <w:rPr>
          <w:sz w:val="20"/>
          <w:szCs w:val="20"/>
          <w:color w:val="auto"/>
        </w:rPr>
      </w:pPr>
    </w:p>
    <w:p>
      <w:pPr>
        <w:ind w:right="260" w:firstLine="509"/>
        <w:spacing w:after="0" w:line="295" w:lineRule="auto"/>
        <w:rPr>
          <w:sz w:val="20"/>
          <w:szCs w:val="20"/>
          <w:color w:val="auto"/>
        </w:rPr>
      </w:pPr>
      <w:r>
        <w:rPr>
          <w:rFonts w:ascii="Times New Roman" w:cs="Times New Roman" w:eastAsia="Times New Roman" w:hAnsi="Times New Roman"/>
          <w:sz w:val="17"/>
          <w:szCs w:val="17"/>
          <w:color w:val="auto"/>
        </w:rPr>
        <w:t>For more information about the Chapter 11 Case refer to Part II, Item 7, Management’s Discussion and Analysis of Financial Condition and Results of Operations and Note 16—Subsequent Events of the audited Consolidated Financial Statements.</w:t>
      </w:r>
    </w:p>
    <w:p>
      <w:pPr>
        <w:spacing w:after="0" w:line="4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7"/>
          <w:szCs w:val="17"/>
          <w:color w:val="auto"/>
        </w:rPr>
        <w:t>As of December 29, 2022, we faced multiple liquidity challenges due to NCM LLC’s over-levered capital structure. On February 15, 2023, NCM LLC elected to delay an interest payment in the amount of $6.6 million under the Senior Notes due 2026 and utilize the 30-day grace period. Further, NCM LLC has borrowings under two Revolving Credit Facilities with $217.0 million outstanding as of December 29, 2022, that mature on June 20, 2023 (Refer to Note 10— Borrowings). NCM LLC does not have available liquidity to repay the full outstanding balance on the date of maturity. On March 15, 2023, with the consent of the noteholders under the Unsecured Indenture (the “Unsecured Noteholders”), NCM LLC entered into a supplemental indenture that extended the grace period</w:t>
      </w:r>
    </w:p>
    <w:p>
      <w:pPr>
        <w:ind w:right="80"/>
        <w:spacing w:after="0" w:line="272" w:lineRule="auto"/>
        <w:rPr>
          <w:sz w:val="20"/>
          <w:szCs w:val="20"/>
          <w:color w:val="auto"/>
        </w:rPr>
      </w:pPr>
      <w:r>
        <w:rPr>
          <w:rFonts w:ascii="Times New Roman" w:cs="Times New Roman" w:eastAsia="Times New Roman" w:hAnsi="Times New Roman"/>
          <w:sz w:val="17"/>
          <w:szCs w:val="17"/>
          <w:color w:val="auto"/>
        </w:rPr>
        <w:t>for an event of default involving an upcoming interest payment to April 3, 2023 (the “Grace Period”). In addition, on March 31, 2023, NCM LLC entered into a second supplemental indenture with the Unsecured Noteholders to further extend the Grace Period to April 13, 2023. On March 31, 2023, NCM LLC entered into an amendment to the Term Loan Credit Agreement, pursuant to which the payment of the outstanding principal due under the agreement was extended to</w:t>
      </w:r>
    </w:p>
    <w:p>
      <w:pPr>
        <w:spacing w:after="0" w:line="1"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7"/>
          <w:szCs w:val="17"/>
          <w:color w:val="auto"/>
        </w:rPr>
        <w:t>April 13, 2023, among other modifications. Additionally, based upon current projections, NCM LLC will not meet certain financial covenants for the period ending March 30, 2023.</w:t>
      </w:r>
    </w:p>
    <w:p>
      <w:pPr>
        <w:spacing w:after="0" w:line="29"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We have concluded that NCM LLC’s financial condition and projected operating results, the defaults under NCM LLC’s debt agreements subsequent to December 29, 2022 and the risks and uncertainties surrounding the Chapter 11 Case raise substantial doubt as to our ability to continue as a going concern. Accordingly, the audit report issued by our independent registered public accounting firm contains an explanatory paragraph expressing substantial doubt about our ability to continue as a going concern.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12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 xml:space="preserve">We are America’s Movie Network. As the largest cinema advertising network in North America, we are a media company dedicated to uniting brands with young, diverse audiences through the power of movies and pop culture. NCM’s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show is presented exclusively in 47 leading national and regional theater circuits including AMC, Cinemark, Regal and 44 network affiliate theaters as of December 29, 2022. NCM’s cinema advertising network offers broad reach and unparalleled audience engagement with over 20,000 screens in over 1,500 theaters in 195 Designated Market Areas®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9" w:name="page10"/>
    <w:bookmarkEnd w:id="9"/>
    <w:p>
      <w:pPr>
        <w:ind w:right="480"/>
        <w:spacing w:after="0" w:line="235" w:lineRule="auto"/>
        <w:rPr>
          <w:sz w:val="20"/>
          <w:szCs w:val="20"/>
          <w:color w:val="auto"/>
        </w:rPr>
      </w:pPr>
      <w:r>
        <w:rPr>
          <w:rFonts w:ascii="Times New Roman" w:cs="Times New Roman" w:eastAsia="Times New Roman" w:hAnsi="Times New Roman"/>
          <w:sz w:val="17"/>
          <w:szCs w:val="17"/>
          <w:color w:val="auto"/>
        </w:rPr>
        <w:t>(“DMA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color w:val="auto"/>
        </w:rPr>
        <w:t>”) (including all of the top 50). NCM digital and Digital-Out-Of-Home (“DOOH”) go beyond the big screen, extending in-theater campaigns into online, mobile and place-based marketing programs to reach entertainment audiences.</w:t>
      </w:r>
    </w:p>
    <w:p>
      <w:pPr>
        <w:spacing w:after="0" w:line="8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We currently derive revenue principally from the sale of advertising to national, regional and local businesses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On-Screen, our cinema advertising and entertainment show seen on movie screens across the U.S., on our LEN, a series of strategically-placed screens located in movie theater lobbies, as well as other forms of advertising and promotions in theater lobbies. We also sell digital online and mobile advertising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across our suite of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properties such as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on third-party internet sites, as well as a variety of complementary out of home venues, including restaurants, convenience stores and college campuses, in order to reach entertainment audiences beyond the theater. In 2022, NCM launched NCMx™, our new data, insights and analytics platform that taps the Company’s comprehensive knowledge and extensive data about moviegoer behavior to connect brands with custom audiences in theaters as well as on digital screens before and after attending movies. The broad reach and digital delivery of our network provides an effective platform for national, regional and local advertisers to reach a large, young, engaged and affluent audience on a targeted and measurable basis.</w:t>
      </w:r>
    </w:p>
    <w:p>
      <w:pPr>
        <w:spacing w:after="0" w:line="7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NCM LLC has long-term ESAs with the founding members and multi-year agreements with our network affiliates, which grant NCM LLC exclusive rights in the founding member and network affiliate theaters to sell advertising, subject to limited exceptions. In September 2019, NCM LLC entered into the 2019 ESA Amendments with Cinemark and Regal. The 2019 ESA Amendments extended the contract life of the ESAs with Cinemark and Regal by four years, resulting in a weighted average remaining term of the ESAs with the founding members of approximately 16.8 years as of December 29, 2022. The network affiliate agreements expire at various dates between May 29, 2023 and December 2037. The weighted average remaining term of the ESAs and the network affiliate agreements together is 14.0 years as of December 29, 2022.</w:t>
      </w:r>
    </w:p>
    <w:p>
      <w:pPr>
        <w:spacing w:after="0" w:line="63"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Cineworld Proceeding</w:t>
      </w:r>
      <w:r>
        <w:rPr>
          <w:rFonts w:ascii="Times New Roman" w:cs="Times New Roman" w:eastAsia="Times New Roman" w:hAnsi="Times New Roman"/>
          <w:sz w:val="17"/>
          <w:szCs w:val="17"/>
          <w:color w:val="auto"/>
        </w:rPr>
        <w:t>— On September 7, 2022, Cineworld Group plc, the parent company of Regal, and certain of its subsidiaries, including Regal,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Regal Cinemas, Inc., a party to the ESA with NCM LLC, and Regal CineMedia Holdings, LLC, a party to other agreements with NCM LLC and NCM, Inc., filed petitions for reorganization under Chapter 11 of the United States Bankruptcy Code in the Southern District of Texas (the “Cineworld Proceeding”). On October 21, 2022, Regal filed a motion to reject the ESA without specifying an effective date for the rejection and indicated that Regal planned on negotiating with the Company. NCM LLC has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The timing of the hearing could be impacted by the Chapter 11 Case. Although there can be no assurances that NCM LLC’s proceeding for declaratory relief will be successful, the Company believes these exclusivity rights will survive any attempted rejection of the ESA by Regal in the bankruptcy proceeding. As of the filing date, the Company continues to negotiate with Regal regarding the ESA and NCM LLC’s provision of advertising services. In the event that NCM LLC’s or NCM, Inc.’s agreements with Regal and its affiliates are rejected, it could have a materially negative impact on the Company’s operations or financial condition.</w:t>
      </w:r>
    </w:p>
    <w:p>
      <w:pPr>
        <w:spacing w:after="0" w:line="6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COVID-19 Impact and Outlook</w:t>
      </w:r>
      <w:r>
        <w:rPr>
          <w:rFonts w:ascii="Times New Roman" w:cs="Times New Roman" w:eastAsia="Times New Roman" w:hAnsi="Times New Roman"/>
          <w:sz w:val="17"/>
          <w:szCs w:val="17"/>
          <w:color w:val="auto"/>
        </w:rPr>
        <w:t>—The COVID-19 Pandemic has had a significant impact on the world and our business beginning in March 2020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continuing into 2023. In 2021, theaters in key markets fully reopened, and by the end of the third quarter of 2021, all of the theaters within the Company’s network were open and multiple, successful major motion pictures were released resulting in the return of meaningful attendance. The movie slate for the year ended December 29, 2022 improved from prior years but continued to be limited due to post-production delays and major motion picture release schedule changes. Attendance levels increased from the year ended December 30, 2021 but were not consistent throughout the year due to timing of major motion picture releases and number of releases. In-theater advertising revenue for the year ended December 29, 2022 remained below historical levels due in part to a lag between the recovery of attendees and advertisers, as well as current macroeconomic factors, such as rising interest rates, inflationary pressures and any potential recession, and the respective impacts on advertisers. These and subsequent developments are referred to throughout this Annual Report as the “COVID-19 Pandemic.”</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Noovie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On-Screen Advertising</w:t>
      </w:r>
    </w:p>
    <w:p>
      <w:pPr>
        <w:spacing w:after="0" w:line="118"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Noovie </w:t>
      </w:r>
      <w:r>
        <w:rPr>
          <w:rFonts w:ascii="Times New Roman" w:cs="Times New Roman" w:eastAsia="Times New Roman" w:hAnsi="Times New Roman"/>
          <w:sz w:val="17"/>
          <w:szCs w:val="17"/>
          <w:b w:val="1"/>
          <w:bCs w:val="1"/>
          <w:color w:val="auto"/>
        </w:rPr>
        <w:t>On-Screen</w:t>
      </w:r>
      <w:r>
        <w:rPr>
          <w:rFonts w:ascii="Times New Roman" w:cs="Times New Roman" w:eastAsia="Times New Roman" w:hAnsi="Times New Roman"/>
          <w:sz w:val="17"/>
          <w:szCs w:val="17"/>
          <w:color w:val="auto"/>
        </w:rPr>
        <w:t>—Our on-screen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provides an entertaining pre-movie experience for theater patrons while serving as an incremental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revenue source for our theater circuits.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gives movie audiences a reason to arrive at the theater early to discover what's next, with exclusive entertainment content and engaging advertising from national, regional and local brands, as well as long-form entertainment and advertising content provided to us under exclusive multi-year arrangements with leading media, entertainment, technology and other companies (“content partners”).</w:t>
      </w:r>
    </w:p>
    <w:p>
      <w:pPr>
        <w:spacing w:after="0" w:line="62"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We present two different formats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depending on the theater circuit in which it runs. In Cinemark, Regal and certain network affiliate theaters, after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ends at the advertising showtime, NCM offers additional post-show advertising inventory consisting of (1) a lights down segment that runs for five minutes after the advertised showtime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0" w:name="page11"/>
    <w:bookmarkEnd w:id="10"/>
    <w:p>
      <w:pPr>
        <w:ind w:right="240"/>
        <w:spacing w:after="0" w:line="269" w:lineRule="auto"/>
        <w:rPr>
          <w:sz w:val="20"/>
          <w:szCs w:val="20"/>
          <w:color w:val="auto"/>
        </w:rPr>
      </w:pPr>
      <w:r>
        <w:rPr>
          <w:rFonts w:ascii="Times New Roman" w:cs="Times New Roman" w:eastAsia="Times New Roman" w:hAnsi="Times New Roman"/>
          <w:sz w:val="17"/>
          <w:szCs w:val="17"/>
          <w:color w:val="auto"/>
        </w:rPr>
        <w:t xml:space="preserve">with trailer lighting and (2) a 30- or 60-second Platinum Spot, as further described below (“Post-Showtime Inventory”). As of December 29, 2022, theaters presenting the updated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format with Post-Showtime Inventory made up 59.3% of our network. All other NCM network theater circuits, which make up the remaining 40.7% of our network, present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which ends approximately at the advertised movie showtime when the movie trailers begin, which are not part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61"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 xml:space="preserve">Because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customized by theater circuit, theater location/market, film rating, film genre and film title, we produce and distribute many different versions of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each month. This programming flexibility provides advertisers with the ability to target specific audience demographics and geographic locations and ensure that the content and advertising are age-appropriate for the movie audience.</w:t>
      </w:r>
    </w:p>
    <w:p>
      <w:pPr>
        <w:spacing w:after="0" w:line="56"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have also launched several specialty networks to cater to specific audiences, including the Elevate Cinema Network, a strategic sales partnership with Spotlight Cinema Networks which combines nearly 1,500 of our premier screens with Spotlight’s existing premier network of over 1,200 screens. This combined network provides reach and recall to brands targeting the upscale, educated, adult demographic with disposable income. Additional specialty networks include the NCM Black Cinema Network and the NCM Hispanic Cinema Network, reaching those audiences where they over index in top DMAs.</w:t>
      </w:r>
    </w:p>
    <w:p>
      <w:pPr>
        <w:spacing w:after="0" w:line="61"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 xml:space="preserve">All versions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are produced by our internal creative team, which is cost-effective and gives us significant flexibility while offering advertisers opportunities for sponsorship and integration into our movie and pop culture content series. We also offer pre- and post-production advertising creative services to our clients (primarily local clients who may not have their own creative agency), as well as branded content creation for national brands for a fee.</w:t>
      </w:r>
    </w:p>
    <w:p>
      <w:pPr>
        <w:spacing w:after="0" w:line="271"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Noovie Show Structure Including Post-Showtime Inventory</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with Post-Showtime Inventory format is comprised of substantially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same segments included within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approximately four to ten minutes in length, as well as two additional advertising segments after the advertised showtime as described below. The total length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plus our Post-Showtime Inventory is the same as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as the amount of time displayed prior to the advertised showtime is reduced by the sum of five minutes plus the aggregate length of time of the Platinum Spot, if any.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53340</wp:posOffset>
            </wp:positionV>
            <wp:extent cx="5669915" cy="2146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91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20" w:right="40" w:hanging="319"/>
        <w:spacing w:after="0" w:line="262" w:lineRule="auto"/>
        <w:tabs>
          <w:tab w:leader="none" w:pos="14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Segment four and Segment three are the first sections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which contain the entertaining content that is a core element of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programming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NCM programs exclusive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content at the beginning of the show that gives audiences a look at what’s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happening in the movie and pop culture arenas and features long-form entertainment from our content partners. We launched several new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editorial series in 2022 featuring celebrities, creators and journalists to appeal to both our moviegoing audience and to advertisers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sponsorship and integration opportunities. These include </w:t>
      </w:r>
      <w:r>
        <w:rPr>
          <w:rFonts w:ascii="Times New Roman" w:cs="Times New Roman" w:eastAsia="Times New Roman" w:hAnsi="Times New Roman"/>
          <w:sz w:val="17"/>
          <w:szCs w:val="17"/>
          <w:i w:val="1"/>
          <w:iCs w:val="1"/>
          <w:color w:val="auto"/>
        </w:rPr>
        <w:t>The Noovie Trivia Show</w:t>
      </w:r>
      <w:r>
        <w:rPr>
          <w:rFonts w:ascii="Times New Roman" w:cs="Times New Roman" w:eastAsia="Times New Roman" w:hAnsi="Times New Roman"/>
          <w:sz w:val="17"/>
          <w:szCs w:val="17"/>
          <w:color w:val="auto"/>
        </w:rPr>
        <w:t xml:space="preserve">, where our Emmy-award winning host Maria Menounos quizzes celebrities about their career through the lens of movie trivia; </w:t>
      </w:r>
      <w:r>
        <w:rPr>
          <w:rFonts w:ascii="Times New Roman" w:cs="Times New Roman" w:eastAsia="Times New Roman" w:hAnsi="Times New Roman"/>
          <w:sz w:val="17"/>
          <w:szCs w:val="17"/>
          <w:i w:val="1"/>
          <w:iCs w:val="1"/>
          <w:color w:val="auto"/>
        </w:rPr>
        <w:t>Noovieverse</w:t>
      </w:r>
      <w:r>
        <w:rPr>
          <w:rFonts w:ascii="Times New Roman" w:cs="Times New Roman" w:eastAsia="Times New Roman" w:hAnsi="Times New Roman"/>
          <w:sz w:val="17"/>
          <w:szCs w:val="17"/>
          <w:color w:val="auto"/>
        </w:rPr>
        <w:t xml:space="preserve">, which stars popular social media influencers who analyze upcoming superhero blockbuster movies; and </w:t>
      </w:r>
      <w:r>
        <w:rPr>
          <w:rFonts w:ascii="Times New Roman" w:cs="Times New Roman" w:eastAsia="Times New Roman" w:hAnsi="Times New Roman"/>
          <w:sz w:val="17"/>
          <w:szCs w:val="17"/>
          <w:i w:val="1"/>
          <w:iCs w:val="1"/>
          <w:color w:val="auto"/>
        </w:rPr>
        <w:t>Perri’s Picks</w:t>
      </w:r>
      <w:r>
        <w:rPr>
          <w:rFonts w:ascii="Times New Roman" w:cs="Times New Roman" w:eastAsia="Times New Roman" w:hAnsi="Times New Roman"/>
          <w:sz w:val="17"/>
          <w:szCs w:val="17"/>
          <w:color w:val="auto"/>
        </w:rPr>
        <w:t>, starring movie expert Perri Nemiroff, who shares her insider reviews on what movies to watch and why.</w:t>
      </w:r>
    </w:p>
    <w:p>
      <w:pPr>
        <w:spacing w:after="0" w:line="283" w:lineRule="exact"/>
        <w:rPr>
          <w:rFonts w:ascii="Times New Roman" w:cs="Times New Roman" w:eastAsia="Times New Roman" w:hAnsi="Times New Roman"/>
          <w:sz w:val="17"/>
          <w:szCs w:val="17"/>
          <w:color w:val="auto"/>
        </w:rPr>
      </w:pPr>
    </w:p>
    <w:p>
      <w:pPr>
        <w:jc w:val="both"/>
        <w:ind w:left="1420" w:right="140" w:hanging="319"/>
        <w:spacing w:after="0" w:line="275" w:lineRule="auto"/>
        <w:tabs>
          <w:tab w:leader="none" w:pos="14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Segment two features primarily local and regional advertisements, which generally range between 15 to 90 seconds, as well as a long-form entertainment content segment from one of our content partners. This segment also typically includes a spot for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programming, such as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w:t>
      </w:r>
      <w:r>
        <w:rPr>
          <w:rFonts w:ascii="Times New Roman" w:cs="Times New Roman" w:eastAsia="Times New Roman" w:hAnsi="Times New Roman"/>
          <w:sz w:val="17"/>
          <w:szCs w:val="17"/>
          <w:i w:val="1"/>
          <w:iCs w:val="1"/>
          <w:color w:val="auto"/>
        </w:rPr>
        <w:t>Noovie Cultural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1" w:name="page12"/>
    <w:bookmarkEnd w:id="11"/>
    <w:p>
      <w:pPr>
        <w:ind w:left="1420" w:right="18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Celebrations </w:t>
      </w:r>
      <w:r>
        <w:rPr>
          <w:rFonts w:ascii="Times New Roman" w:cs="Times New Roman" w:eastAsia="Times New Roman" w:hAnsi="Times New Roman"/>
          <w:sz w:val="17"/>
          <w:szCs w:val="17"/>
          <w:color w:val="auto"/>
        </w:rPr>
        <w:t>(e.g. original content around Black History Month or Hispanic Heritage Month, which can also be sponsored by advertisers),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shorter segments from the editorial series mentioned above.</w:t>
      </w:r>
    </w:p>
    <w:p>
      <w:pPr>
        <w:spacing w:after="0" w:line="40" w:lineRule="exact"/>
        <w:rPr>
          <w:sz w:val="20"/>
          <w:szCs w:val="20"/>
          <w:color w:val="auto"/>
        </w:rPr>
      </w:pPr>
    </w:p>
    <w:p>
      <w:pPr>
        <w:jc w:val="both"/>
        <w:ind w:left="1420" w:right="120" w:hanging="319"/>
        <w:spacing w:after="0" w:line="275" w:lineRule="auto"/>
        <w:tabs>
          <w:tab w:leader="none" w:pos="14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Segment one runs closest to the advertised showtime and features primarily national advertisements, which are generally 30 or 60 seconds, as well as a long-form entertainment content segment from one of our content partners. Segment one also includes an advertisement for the founding members’ beverage supplier and a courtesy public service announcement (“courtesy PSA”) (e.g. Silence Your Cell Phones).</w:t>
      </w:r>
    </w:p>
    <w:p>
      <w:pPr>
        <w:spacing w:after="0" w:line="59" w:lineRule="exact"/>
        <w:rPr>
          <w:rFonts w:ascii="Times New Roman" w:cs="Times New Roman" w:eastAsia="Times New Roman" w:hAnsi="Times New Roman"/>
          <w:sz w:val="17"/>
          <w:szCs w:val="17"/>
          <w:color w:val="auto"/>
        </w:rPr>
      </w:pPr>
    </w:p>
    <w:p>
      <w:pPr>
        <w:ind w:left="1420" w:right="100" w:hanging="319"/>
        <w:spacing w:after="0" w:line="275" w:lineRule="auto"/>
        <w:tabs>
          <w:tab w:leader="none" w:pos="14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Showcase Segment features a post-showtime lights down segment with trailer lighting beginning at the advertised showtime with approximately 5 minutes of national advertisements which generally range between 30 or 60 seconds, followed by a courtesy PSA and a 30 second or a 60 second advertisement for the founding members' beverage supplier; and</w:t>
      </w:r>
    </w:p>
    <w:p>
      <w:pPr>
        <w:spacing w:after="0" w:line="59" w:lineRule="exact"/>
        <w:rPr>
          <w:rFonts w:ascii="Times New Roman" w:cs="Times New Roman" w:eastAsia="Times New Roman" w:hAnsi="Times New Roman"/>
          <w:sz w:val="17"/>
          <w:szCs w:val="17"/>
          <w:color w:val="auto"/>
        </w:rPr>
      </w:pPr>
    </w:p>
    <w:p>
      <w:pPr>
        <w:ind w:left="1420" w:hanging="319"/>
        <w:spacing w:after="0" w:line="275" w:lineRule="auto"/>
        <w:tabs>
          <w:tab w:leader="none" w:pos="141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Platinum position features an additional single advertising unit that is either 30 or 60 seconds deeply embedded within the movie trailers at trailer level lighting and at similar volume levels, directly prior to the last one or two trailers preceding the feature film, which we refer to as the “Platinum Spot”.</w:t>
      </w:r>
    </w:p>
    <w:p>
      <w:pPr>
        <w:spacing w:after="0" w:line="55" w:lineRule="exact"/>
        <w:rPr>
          <w:sz w:val="20"/>
          <w:szCs w:val="20"/>
          <w:color w:val="auto"/>
        </w:rPr>
      </w:pPr>
    </w:p>
    <w:p>
      <w:pPr>
        <w:ind w:right="28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Classic Noovie Show Structure</w:t>
      </w:r>
      <w:r>
        <w:rPr>
          <w:rFonts w:ascii="Times New Roman" w:cs="Times New Roman" w:eastAsia="Times New Roman" w:hAnsi="Times New Roman"/>
          <w:sz w:val="17"/>
          <w:szCs w:val="17"/>
          <w:color w:val="auto"/>
        </w:rPr>
        <w:t>—The Classic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is comprised of up to four segments, each approximately four to ten minutes in length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running prior to the advertised showtime. The Company revised the structure beginning November 1, 2019, and the structure below incorporates the changes made.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46990</wp:posOffset>
            </wp:positionV>
            <wp:extent cx="5669915" cy="2146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991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509"/>
        <w:spacing w:after="0" w:line="297" w:lineRule="auto"/>
        <w:rPr>
          <w:sz w:val="20"/>
          <w:szCs w:val="20"/>
          <w:color w:val="auto"/>
        </w:rPr>
      </w:pPr>
      <w:r>
        <w:rPr>
          <w:rFonts w:ascii="Times New Roman" w:cs="Times New Roman" w:eastAsia="Times New Roman" w:hAnsi="Times New Roman"/>
          <w:sz w:val="17"/>
          <w:szCs w:val="17"/>
          <w:color w:val="auto"/>
        </w:rPr>
        <w:t xml:space="preserve">References to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relate to both the Classic </w:t>
      </w:r>
      <w:r>
        <w:rPr>
          <w:rFonts w:ascii="Times New Roman" w:cs="Times New Roman" w:eastAsia="Times New Roman" w:hAnsi="Times New Roman"/>
          <w:sz w:val="17"/>
          <w:szCs w:val="17"/>
          <w:i w:val="1"/>
          <w:iCs w:val="1"/>
          <w:color w:val="auto"/>
        </w:rPr>
        <w:t>Noovie show</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including Post-Showtime Inventory formats, unless specified otherwise.</w:t>
      </w:r>
    </w:p>
    <w:p>
      <w:pPr>
        <w:spacing w:after="0" w:line="3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National, Regional and Local Advertising</w:t>
      </w:r>
      <w:r>
        <w:rPr>
          <w:rFonts w:ascii="Times New Roman" w:cs="Times New Roman" w:eastAsia="Times New Roman" w:hAnsi="Times New Roman"/>
          <w:sz w:val="17"/>
          <w:szCs w:val="17"/>
          <w:color w:val="auto"/>
        </w:rPr>
        <w:t>—Our cinema advertising business has a diverse customer base, consisting of national, regional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advertisers. National and regional on-screen advertising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typically sold on a per-theater, per-week basis.</w:t>
      </w:r>
    </w:p>
    <w:p>
      <w:pPr>
        <w:spacing w:after="0" w:line="6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As with other premium video mediums like TV, we sell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up until their commitment begins airing. These options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70"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During the years ended December 29, 2022 and December 30, 2021, we derived 75.1% and 73.5% of our advertising revenue from national clients (including advertising agencies that represent our clients) and 17.5% and 16.8% of our advertising revenue from regional and local advertisers across the country (including advertising agencies that represent these clients).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2" w:name="page13"/>
    <w:bookmarkEnd w:id="12"/>
    <w:p>
      <w:pPr>
        <w:ind w:right="60" w:firstLine="50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Beverage Advertising. </w:t>
      </w:r>
      <w:r>
        <w:rPr>
          <w:rFonts w:ascii="Times New Roman" w:cs="Times New Roman" w:eastAsia="Times New Roman" w:hAnsi="Times New Roman"/>
          <w:sz w:val="17"/>
          <w:szCs w:val="17"/>
          <w:color w:val="auto"/>
        </w:rPr>
        <w:t>Each of the founding members has a relationship with a beverage concessionaire supplier under which it is obligated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on-screen advertising time as part of its agreement to purchase branded beverages sold in its theaters. We have a long-term agreement to exhibit the advertising of the founding members’ beverage concessionaires. Under the ESAs, up to 90 seconds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program can be sold to the founding members to satisfy their on-screen advertising commitments under their beverage concessionaire agreements. Beginning in 2020 and in accordance with the 2019 ESA Amendments, the price for the time sold to Cinemark and Regal beverage suppliers increases 2% each year. The time sold to AMC’s beverage supplier is priced equal to the greater of (1) the advertising CPM charged by NCM LLC in the previous year for the time sold to AMC’s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AMC’s theaters, limited to the highest advertising CPM being then-charged by NCM LLC pursuant to the ESAs.</w:t>
      </w:r>
    </w:p>
    <w:p>
      <w:pPr>
        <w:spacing w:after="0" w:line="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During 2022, we sold 60 seconds to two of the founding members and 30 seconds to one of the founding members to provide on-screen advertising for their beverage concessionaires. During 2022, the beverage concessionaire revenue from the founding members’ beverage agreements was approximately 7.5% of our total revenue. In the instance of certain theaters that are acquired by the founding members but are not incorporated into our network because of an existing on-screen advertising agreement with an alternative provider, we remain entitled to these encumbered theater beverage payments under the terms of the ESA which are treated as a reduction to the intangible asset and not classified as revenue.</w:t>
      </w:r>
    </w:p>
    <w:p>
      <w:pPr>
        <w:spacing w:after="0" w:line="6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Content. </w:t>
      </w:r>
      <w:r>
        <w:rPr>
          <w:rFonts w:ascii="Times New Roman" w:cs="Times New Roman" w:eastAsia="Times New Roman" w:hAnsi="Times New Roman"/>
          <w:sz w:val="17"/>
          <w:szCs w:val="17"/>
          <w:color w:val="auto"/>
        </w:rPr>
        <w:t>Beyond the</w:t>
      </w:r>
      <w:r>
        <w:rPr>
          <w:rFonts w:ascii="Times New Roman" w:cs="Times New Roman" w:eastAsia="Times New Roman" w:hAnsi="Times New Roman"/>
          <w:sz w:val="17"/>
          <w:szCs w:val="17"/>
          <w:i w:val="1"/>
          <w:iCs w:val="1"/>
          <w:color w:val="auto"/>
        </w:rPr>
        <w:t xml:space="preserve"> Noovie</w:t>
      </w:r>
      <w:r>
        <w:rPr>
          <w:rFonts w:ascii="Times New Roman" w:cs="Times New Roman" w:eastAsia="Times New Roman" w:hAnsi="Times New Roman"/>
          <w:sz w:val="17"/>
          <w:szCs w:val="17"/>
          <w:color w:val="auto"/>
        </w:rPr>
        <w:t>-branded content during the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show, the majority of our entertainment and advertising content segments are provided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by content partners. Under the terms of the contracts, our content partners create original long-form entertainment content segments and make commitments to buy a portion of our advertising inventory at a specified CPM over a one- or two-year period with options to renew, exercisable at the content partner’s option. The original content produced by these content partners typically features upcoming media programming or technology products. In 2022, the content partner segments were between 90 and 120 seconds in length.</w:t>
      </w:r>
    </w:p>
    <w:p>
      <w:pPr>
        <w:spacing w:after="0" w:line="65"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Courtesy PSA</w:t>
      </w:r>
      <w:r>
        <w:rPr>
          <w:rFonts w:ascii="Times New Roman" w:cs="Times New Roman" w:eastAsia="Times New Roman" w:hAnsi="Times New Roman"/>
          <w:sz w:val="17"/>
          <w:szCs w:val="17"/>
          <w:color w:val="auto"/>
        </w:rPr>
        <w:t>. In 2022, we had one agreement throughout the year and one additional agreement for the fourth quarter to exhibit a 40-second “silence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your cell phone” courtesy PSA reminding moviegoers to silence their cell phones and refrain from texting during feature films. The agreement in place throughout 2022 was renewed for 2023.</w:t>
      </w:r>
    </w:p>
    <w:p>
      <w:pPr>
        <w:spacing w:after="0" w:line="54"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Theater Circuit Messaging.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show also includes time slots for the founding members and network affiliates to advertise various activities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Noovie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Digital Products</w:t>
      </w:r>
    </w:p>
    <w:p>
      <w:pPr>
        <w:spacing w:after="0" w:line="120" w:lineRule="exact"/>
        <w:rPr>
          <w:sz w:val="20"/>
          <w:szCs w:val="20"/>
          <w:color w:val="auto"/>
        </w:rPr>
      </w:pPr>
    </w:p>
    <w:p>
      <w:pPr>
        <w:ind w:right="44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digital products is an integrated suite of products designed to innovate the moviegoing experience in ways that help brands tap into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excitement, emotion and magic of the movies.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products take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experience beyond the big screen with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and robust audience data and digital advertising capabilities to create the perfect immersive marketing solution for brands.</w:t>
      </w:r>
    </w:p>
    <w:p>
      <w:pPr>
        <w:spacing w:after="0" w:line="93"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Trivia—</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Trivia is an app that launched in 2020 which unites all of our popular movie trivia games into one place.</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Trivia lets fans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level up their movie obsession and test their movie knowledge in multiple ways with games to play, including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Shuffle. New challenges are added on a regular basis. Fans can also make their voice heard on fun movie topics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Motion Picks.</w:t>
      </w:r>
    </w:p>
    <w:p>
      <w:pPr>
        <w:spacing w:after="0" w:line="54" w:lineRule="exact"/>
        <w:rPr>
          <w:sz w:val="20"/>
          <w:szCs w:val="20"/>
          <w:color w:val="auto"/>
        </w:rPr>
      </w:pPr>
    </w:p>
    <w:p>
      <w:pPr>
        <w:jc w:val="both"/>
        <w:ind w:right="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Name That Movie </w:t>
      </w:r>
      <w:r>
        <w:rPr>
          <w:rFonts w:ascii="Times New Roman" w:cs="Times New Roman" w:eastAsia="Times New Roman" w:hAnsi="Times New Roman"/>
          <w:sz w:val="17"/>
          <w:szCs w:val="17"/>
          <w:color w:val="auto"/>
        </w:rPr>
        <w:t>started in 2017 as a trivia segment for our</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show, social media channels and digital properties in order to further entertain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engage moviegoers and is now included within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app. We also offer the opportunity for our advertising clients to sponsor the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xml:space="preserve"> segments and incorporate advertising into the game.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&amp; Digital Advertising</w:t>
      </w:r>
    </w:p>
    <w:p>
      <w:pPr>
        <w:spacing w:after="0" w:line="12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In 2022, we launched NCMx™, our new data, insights, and analytics platform that taps the Company’s comprehensive knowledge and extensive data about moviegoer behavior to connect brands with custom audiences in theaters, as well as on digital screens before and after attending movies. NCM clients are able to leverage NCMx to execute advanced audience-matching against key geographic, behavioral and contextual targets on the big screen, as well as use the NCMx capabilities to retarget moviegoers with digital ads and mobile offers. NCM provides marketers access to one of the largest collections of deterministic moviegoer data in the industry. With over 374.4 million unique data records as of December 29, 2022, NCMx makes 26.2 million unique data records available over a 90-day look back period, delivering marketers a 360-degree view of recent consumer behavior with performance metrics to refine campaign plans and generate a better return on their advertising investment. Neustar, iSpot, Catalina, Affinity Solutions, PlaceIQ, Crossix, Kochava and ElementalTV are all partners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3" w:name="page14"/>
    <w:bookmarkEnd w:id="13"/>
    <w:p>
      <w:pPr>
        <w:ind w:right="360"/>
        <w:spacing w:after="0" w:line="295" w:lineRule="auto"/>
        <w:rPr>
          <w:sz w:val="20"/>
          <w:szCs w:val="20"/>
          <w:color w:val="auto"/>
        </w:rPr>
      </w:pPr>
      <w:r>
        <w:rPr>
          <w:rFonts w:ascii="Times New Roman" w:cs="Times New Roman" w:eastAsia="Times New Roman" w:hAnsi="Times New Roman"/>
          <w:sz w:val="17"/>
          <w:szCs w:val="17"/>
          <w:color w:val="auto"/>
        </w:rPr>
        <w:t>new platform. NCM is leading the cinema advertising industry as it transforms into a data-first media company that reaches audiences at scale with the most engaging content.</w:t>
      </w:r>
    </w:p>
    <w:p>
      <w:pPr>
        <w:spacing w:after="0" w:line="4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 xml:space="preserve">NCM’s consumer-facing digital products all feature advertising opportunities that allow brands to continue to reach movie audiences across multiple platforms, including sponsorships, digital ad inventory such as leaderboards, banner ads, half- and full-page ads and a variety of digital video ad inventory. Our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digital products are designed to not only provide digital advertising inventory to further enhance the marketability of our cinema advertising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offerings, but also to capture exclusive first-party data, which is funneled into NCMx™. As of December 29, 2022, approximately 7.3 million movie-goers have downloaded our mobile apps. These downloads and the acquisition of second- and third- party data, including deterministic ticket transaction data from exhibitors and geo-location and micro-event data for moviegoers that enter theaters in our network, all contribute to NCMx data records.</w:t>
      </w:r>
    </w:p>
    <w:p>
      <w:pPr>
        <w:spacing w:after="0" w:line="65"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Audience Accelerator</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In addition to our ad-supported consumer-facing digital products, our</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Audience Accelerator digital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formerly known as </w:t>
      </w:r>
      <w:r>
        <w:rPr>
          <w:rFonts w:ascii="Times New Roman" w:cs="Times New Roman" w:eastAsia="Times New Roman" w:hAnsi="Times New Roman"/>
          <w:sz w:val="17"/>
          <w:szCs w:val="17"/>
          <w:i w:val="1"/>
          <w:iCs w:val="1"/>
          <w:color w:val="auto"/>
        </w:rPr>
        <w:t>Cinema Accelerator</w:t>
      </w:r>
      <w:r>
        <w:rPr>
          <w:rFonts w:ascii="Times New Roman" w:cs="Times New Roman" w:eastAsia="Times New Roman" w:hAnsi="Times New Roman"/>
          <w:sz w:val="17"/>
          <w:szCs w:val="17"/>
          <w:color w:val="auto"/>
        </w:rPr>
        <w:t xml:space="preserve">, expands cinema advertising campaigns beyond the big screen to reach movie audiences wherever they seek out movie content online and on mobile devices.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identifies moviegoers through our first-, second- and third-party unique data records. We can target specific demographics, genres or layer on other data to provide our clients with a match against their target audience. Digital ads are then distributed through multiple channels, including online and mobile banners, online and mobile pre-roll video and social media newsfeeds through our owned and operated ad inventory as well as third-party ad inventory across multiple platforms including the Internet, mobile devices and over-the-top (OTT) devices/connected televisions (CTV) to reach moviegoers wherever they may be seeking entertainment information and content.</w:t>
      </w:r>
    </w:p>
    <w:p>
      <w:pPr>
        <w:spacing w:after="0" w:line="69" w:lineRule="exact"/>
        <w:rPr>
          <w:sz w:val="20"/>
          <w:szCs w:val="20"/>
          <w:color w:val="auto"/>
        </w:rPr>
      </w:pPr>
    </w:p>
    <w:p>
      <w:pPr>
        <w:ind w:right="220" w:firstLine="509"/>
        <w:spacing w:after="0" w:line="275" w:lineRule="auto"/>
        <w:rPr>
          <w:sz w:val="20"/>
          <w:szCs w:val="20"/>
          <w:color w:val="auto"/>
        </w:rPr>
      </w:pPr>
      <w:r>
        <w:rPr>
          <w:rFonts w:ascii="Times New Roman" w:cs="Times New Roman" w:eastAsia="Times New Roman" w:hAnsi="Times New Roman"/>
          <w:sz w:val="17"/>
          <w:szCs w:val="17"/>
          <w:color w:val="auto"/>
        </w:rPr>
        <w:t>We sell NCM’s data platform and digital products through a digital sales group that is embedded as part of our national and local sales organizations to enable collaborative, integrated selling. We believe that our new and upcoming digital products can be sold in combination with in-theater advertisements as integrated marketing packages as discussed in “Business—Our Strategy”. We plan to continue to invest in our digital platform in 2023 and beyond.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Lobby Advertising</w:t>
      </w:r>
    </w:p>
    <w:p>
      <w:pPr>
        <w:spacing w:after="0" w:line="11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Lobby Entertainment Network</w:t>
      </w:r>
      <w:r>
        <w:rPr>
          <w:rFonts w:ascii="Times New Roman" w:cs="Times New Roman" w:eastAsia="Times New Roman" w:hAnsi="Times New Roman"/>
          <w:sz w:val="17"/>
          <w:szCs w:val="17"/>
          <w:color w:val="auto"/>
        </w:rPr>
        <w:t>—Our LEN is a network of video screens strategically located throughout the lobbies of all digitally equipped founding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 theaters, as well as the majority of our network affiliates’ theaters.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6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LEN programming includes up to two minutes for founding members’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67" w:lineRule="exact"/>
        <w:rPr>
          <w:sz w:val="20"/>
          <w:szCs w:val="20"/>
          <w:color w:val="auto"/>
        </w:rPr>
      </w:pPr>
    </w:p>
    <w:p>
      <w:pPr>
        <w:ind w:right="280" w:firstLine="509"/>
        <w:spacing w:after="0" w:line="269" w:lineRule="auto"/>
        <w:rPr>
          <w:sz w:val="20"/>
          <w:szCs w:val="20"/>
          <w:color w:val="auto"/>
        </w:rPr>
      </w:pPr>
      <w:r>
        <w:rPr>
          <w:rFonts w:ascii="Times New Roman" w:cs="Times New Roman" w:eastAsia="Times New Roman" w:hAnsi="Times New Roman"/>
          <w:sz w:val="17"/>
          <w:szCs w:val="17"/>
          <w:color w:val="auto"/>
        </w:rPr>
        <w:t>Under the terms of the ESAs, the founding members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founding member and vendors of services provided to theaters, so long as such promotion is incidental to the vendor’s service.</w:t>
      </w:r>
    </w:p>
    <w:p>
      <w:pPr>
        <w:spacing w:after="0" w:line="63"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In May 2022, the Company’s Lobby Entertainment Network launched a programmatic offering through partnership with Place Exchange, a leading supply-side platform (SSP) for programmatic out-of-home media. This new automated offering allows advertisers to access and purchase available LEN programming through partner demand-side platform (DSP) websites. The new partnership now enables advertisers to reach the largest network of lobby screens in movie theaters across the country programmatically for the first time.</w:t>
      </w:r>
    </w:p>
    <w:p>
      <w:pPr>
        <w:spacing w:after="0" w:line="59" w:lineRule="exact"/>
        <w:rPr>
          <w:sz w:val="20"/>
          <w:szCs w:val="20"/>
          <w:color w:val="auto"/>
        </w:rPr>
      </w:pPr>
    </w:p>
    <w:p>
      <w:pPr>
        <w:ind w:right="28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Lobby Promotions</w:t>
      </w:r>
      <w:r>
        <w:rPr>
          <w:rFonts w:ascii="Times New Roman" w:cs="Times New Roman" w:eastAsia="Times New Roman" w:hAnsi="Times New Roman"/>
          <w:sz w:val="17"/>
          <w:szCs w:val="17"/>
          <w:color w:val="auto"/>
        </w:rPr>
        <w:t>—We also sell a wide variety of advertising and promotional products in theater lobbies across our founding members and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These products can be sold individually or bundled with on-screen, LEN or digital advertising. Lobby promotions typically include:</w:t>
      </w:r>
    </w:p>
    <w:p>
      <w:pPr>
        <w:spacing w:after="0" w:line="37" w:lineRule="exact"/>
        <w:rPr>
          <w:sz w:val="20"/>
          <w:szCs w:val="20"/>
          <w:color w:val="auto"/>
        </w:rPr>
      </w:pPr>
    </w:p>
    <w:p>
      <w:pPr>
        <w:ind w:left="5540" w:right="4360" w:hanging="4909"/>
        <w:spacing w:after="0" w:line="952" w:lineRule="auto"/>
        <w:tabs>
          <w:tab w:leader="none" w:pos="94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on concession items such as beverage cups, popcorn bags and kids’ trays;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-313690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 w:name="page15"/>
    <w:bookmarkEnd w:id="14"/>
    <w:p>
      <w:pPr>
        <w:ind w:left="940" w:hanging="30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coupons and promotional materials, which are customizable by film and are distributed to ticket buyers at the box office or as they exit the theater;</w:t>
      </w:r>
    </w:p>
    <w:p>
      <w:pPr>
        <w:spacing w:after="0" w:line="3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tabling displays, product demonstrations and sampling;</w:t>
      </w:r>
    </w:p>
    <w:p>
      <w:pPr>
        <w:spacing w:after="0" w:line="1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touch-screen display units and kiosks; and</w:t>
      </w:r>
    </w:p>
    <w:p>
      <w:pPr>
        <w:spacing w:after="0" w:line="13"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lobbies, including posters, banners, counter cards, danglers, floor mats, standees and window clings.</w:t>
      </w:r>
    </w:p>
    <w:p>
      <w:pPr>
        <w:spacing w:after="0" w:line="100" w:lineRule="exact"/>
        <w:rPr>
          <w:sz w:val="20"/>
          <w:szCs w:val="20"/>
          <w:color w:val="auto"/>
        </w:rPr>
      </w:pPr>
    </w:p>
    <w:p>
      <w:pPr>
        <w:ind w:right="520" w:firstLine="509"/>
        <w:spacing w:after="0" w:line="295" w:lineRule="auto"/>
        <w:rPr>
          <w:sz w:val="20"/>
          <w:szCs w:val="20"/>
          <w:color w:val="auto"/>
        </w:rPr>
      </w:pPr>
      <w:r>
        <w:rPr>
          <w:rFonts w:ascii="Times New Roman" w:cs="Times New Roman" w:eastAsia="Times New Roman" w:hAnsi="Times New Roman"/>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42"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Digital Out-of-Home Products</w:t>
      </w:r>
    </w:p>
    <w:p>
      <w:pPr>
        <w:spacing w:after="0" w:line="120"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 xml:space="preserve">NCM’s Digital Out-of-Home (“DOOH”) group is embedded as part of our national and local sales organizations and was created in October 2020 to further unite brands with the power of movies by extending movie-centric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entertainment content, trivia and advertising beyond movie theaters to a variety of complementary venues, including restaurants, convenience stores and college campuses. In 2022, NCM sold DOOH media inventory on a national, regional, local and programmatic level in relationships with digital place-based properties including ATM.TV, Trooh and Ziosk.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Network</w:t>
      </w:r>
    </w:p>
    <w:p>
      <w:pPr>
        <w:spacing w:after="0" w:line="118"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On-Screen is distributed across NCM LLC’s national theater network — the largest digital in-theater network in North America — through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use of our proprietary DCN and Digital Content Software (“DCS”). With the DCN and DCS, we are able to schedule, deliver, play and reconcile advertising and entertainment content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the LEN on a national, regional, local, theater and auditorium level.</w:t>
      </w:r>
    </w:p>
    <w:p>
      <w:pPr>
        <w:spacing w:after="0" w:line="5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The DCN is the combination of a satellite distribution network and a terrestrial management network. We also employ a variety of technologies that aid in distribution where satellite delivery is not available to provide service to our network of theaters. The DCN is integrated with NCM’s cinema advertising management system to seamlessly schedule and distribute advertising content. NCM's integrated system dynamically controls the quality, placement, timing of playback and completeness of content within specific auditoriums, and it also allows us to monitor and initiate repairs to the equipment in our digital network of theaters.</w:t>
      </w:r>
    </w:p>
    <w:p>
      <w:pPr>
        <w:spacing w:after="0" w:line="6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 xml:space="preserve">Advertising and entertainment content for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LEN is uploaded to our cinema advertising management system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hardware and/or software architecture that controls the content to be shown. After playback of content, confirmation of playback is returned to NCM and is included in “post” reports provided to our advertising clients.</w:t>
      </w:r>
    </w:p>
    <w:p>
      <w:pPr>
        <w:spacing w:after="0" w:line="65" w:lineRule="exact"/>
        <w:rPr>
          <w:sz w:val="20"/>
          <w:szCs w:val="20"/>
          <w:color w:val="auto"/>
        </w:rPr>
      </w:pPr>
    </w:p>
    <w:p>
      <w:pPr>
        <w:ind w:right="20" w:firstLine="509"/>
        <w:spacing w:after="0" w:line="297" w:lineRule="auto"/>
        <w:rPr>
          <w:sz w:val="20"/>
          <w:szCs w:val="20"/>
          <w:color w:val="auto"/>
        </w:rPr>
      </w:pPr>
      <w:r>
        <w:rPr>
          <w:rFonts w:ascii="Times New Roman" w:cs="Times New Roman" w:eastAsia="Times New Roman" w:hAnsi="Times New Roman"/>
          <w:sz w:val="17"/>
          <w:szCs w:val="17"/>
          <w:color w:val="auto"/>
        </w:rPr>
        <w:t xml:space="preserve">In 2022, more than 394 million moviegoers attended theaters that are currently under contract to present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 summary of the screens and theaters in our advertising network is set forth in the table below:</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Network</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(As of December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865" w:right="3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943610</wp:posOffset>
            </wp:positionH>
            <wp:positionV relativeFrom="page">
              <wp:posOffset>561340</wp:posOffset>
            </wp:positionV>
            <wp:extent cx="5669915" cy="2146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66991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80" w:firstLine="509"/>
        <w:spacing w:after="0" w:line="297" w:lineRule="auto"/>
        <w:rPr>
          <w:sz w:val="20"/>
          <w:szCs w:val="20"/>
          <w:color w:val="auto"/>
        </w:rPr>
      </w:pPr>
      <w:r>
        <w:rPr>
          <w:rFonts w:ascii="Times New Roman" w:cs="Times New Roman" w:eastAsia="Times New Roman" w:hAnsi="Times New Roman"/>
          <w:sz w:val="17"/>
          <w:szCs w:val="17"/>
          <w:color w:val="auto"/>
        </w:rPr>
        <w:t xml:space="preserve">As of December 29, 2022,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was displayed on network movie screens using digital projectors. Almost all screens within our network receive content through our DCN and are equipped with more powerful digital cinema projectors, with the remainder comprised of LCD projectors.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20"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We had 297 full-time employees as of December 29, 2022. Our employees are located in our Centennial, Colorado headquarters, in our advertising sales offices in New York, Los Angeles and Chicago and our digital development offices in Los Angeles and New York.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5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Diversity, Equity and Inclusion (DEI)</w:t>
      </w:r>
      <w:r>
        <w:rPr>
          <w:rFonts w:ascii="Times New Roman" w:cs="Times New Roman" w:eastAsia="Times New Roman" w:hAnsi="Times New Roman"/>
          <w:sz w:val="17"/>
          <w:szCs w:val="17"/>
          <w:color w:val="auto"/>
        </w:rPr>
        <w:t>—We are committed to diversity, equity and inclusion in the workplace. We are focused on building diverse talent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all levels of the organization by recruiting high quality diverse talent and have taken steps to align our policies with recommendations promulgated by national organizations to ensure that our business practices are aligned with other top employers. We have also established a DEI Committee which is made up of a diverse set of employees and is focused on identifying and helping to implement initiatives intended to improve areas such as recruitment, retention, brand awareness and community outreach.</w:t>
      </w:r>
    </w:p>
    <w:p>
      <w:pPr>
        <w:spacing w:after="0" w:line="6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Organizational Development</w:t>
      </w:r>
      <w:r>
        <w:rPr>
          <w:rFonts w:ascii="Times New Roman" w:cs="Times New Roman" w:eastAsia="Times New Roman" w:hAnsi="Times New Roman"/>
          <w:sz w:val="17"/>
          <w:szCs w:val="17"/>
          <w:color w:val="auto"/>
        </w:rPr>
        <w:t>—Our Human Resources team is focused on broad management development as well as supporting targeted training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individual teams based on business needs. Managers and supervisors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workplace diversity, our code of conduct, IT and cyber security and other personnel related courses to help them with their daily responsibilities. Compliance with mandatory training requirements is tracked by our Human Resources department and management is notified when the requirements are not met.</w:t>
      </w:r>
    </w:p>
    <w:p>
      <w:pPr>
        <w:spacing w:after="0" w:line="66" w:lineRule="exact"/>
        <w:rPr>
          <w:sz w:val="20"/>
          <w:szCs w:val="20"/>
          <w:color w:val="auto"/>
        </w:rPr>
      </w:pPr>
    </w:p>
    <w:p>
      <w:pPr>
        <w:ind w:right="240" w:firstLine="509"/>
        <w:spacing w:after="0" w:line="275" w:lineRule="auto"/>
        <w:rPr>
          <w:sz w:val="20"/>
          <w:szCs w:val="20"/>
          <w:color w:val="auto"/>
        </w:rPr>
      </w:pPr>
      <w:r>
        <w:rPr>
          <w:rFonts w:ascii="Times New Roman" w:cs="Times New Roman" w:eastAsia="Times New Roman" w:hAnsi="Times New Roman"/>
          <w:sz w:val="17"/>
          <w:szCs w:val="17"/>
          <w:color w:val="auto"/>
        </w:rPr>
        <w:t>The Human Resources department also focuses on defining and embedding the NCM culture into all people-related practices and policies to help us recruit, develop and retain a world-class team to grow the business. The Company has also implemented a number of targeted initiatives to increase employee engagement and satisfaction, including surveys, career and succession planning and analysis of our total rewards program.</w:t>
      </w:r>
    </w:p>
    <w:p>
      <w:pPr>
        <w:spacing w:after="0" w:line="55" w:lineRule="exact"/>
        <w:rPr>
          <w:sz w:val="20"/>
          <w:szCs w:val="20"/>
          <w:color w:val="auto"/>
        </w:rPr>
      </w:pPr>
    </w:p>
    <w:p>
      <w:pPr>
        <w:ind w:right="4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Total Rewards</w:t>
      </w:r>
      <w:r>
        <w:rPr>
          <w:rFonts w:ascii="Times New Roman" w:cs="Times New Roman" w:eastAsia="Times New Roman" w:hAnsi="Times New Roman"/>
          <w:sz w:val="17"/>
          <w:szCs w:val="17"/>
          <w:color w:val="auto"/>
        </w:rPr>
        <w:t>—We invest in our employees by providing comprehensive benefits and compensation packages. Our benefits packages include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comprehensive health insurance with a wellness program for all eligible employees,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7"/>
          <w:szCs w:val="17"/>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7"/>
          <w:szCs w:val="17"/>
          <w:color w:val="auto"/>
        </w:rPr>
        <w:t>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in 2020 and disruptions in the release of motion pictures and regular theater attendance patterns due to the COVID-19 Pandemic, our 2020 and 2021 quarterly results varied from the historical trend. There can be no assurances that seasonal variations will not materially affect our results of operations in the future.</w:t>
      </w:r>
    </w:p>
    <w:p>
      <w:pPr>
        <w:spacing w:after="0" w:line="65" w:lineRule="exact"/>
        <w:rPr>
          <w:sz w:val="20"/>
          <w:szCs w:val="20"/>
          <w:color w:val="auto"/>
        </w:rPr>
      </w:pPr>
    </w:p>
    <w:p>
      <w:pPr>
        <w:ind w:right="6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reflects the quarterly percentage of total revenue for the fiscal years ended 2020, 2021 and 2022 and a historic average for FY 2016-2019 for comparison given the impacts of COVID-19 on the film release schedule and audience behaviors: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4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89"/>
        </w:trPr>
        <w:tc>
          <w:tcPr>
            <w:tcW w:w="3760" w:type="dxa"/>
            <w:vAlign w:val="bottom"/>
          </w:tcPr>
          <w:p>
            <w:pPr>
              <w:spacing w:after="0"/>
              <w:rPr>
                <w:sz w:val="16"/>
                <w:szCs w:val="16"/>
                <w:color w:val="auto"/>
              </w:rPr>
            </w:pPr>
          </w:p>
        </w:tc>
        <w:tc>
          <w:tcPr>
            <w:tcW w:w="3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FY 2020</w:t>
            </w:r>
          </w:p>
        </w:tc>
        <w:tc>
          <w:tcPr>
            <w:tcW w:w="3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71.6 %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4.4 %</w:t>
            </w: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6.6 %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r>
      <w:tr>
        <w:trPr>
          <w:trHeight w:val="22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 2021</w:t>
            </w:r>
          </w:p>
        </w:tc>
        <w:tc>
          <w:tcPr>
            <w:tcW w:w="32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4.7 %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12.2 %</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27.7 %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55.4 %</w:t>
            </w: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FY 2022</w:t>
            </w:r>
          </w:p>
        </w:tc>
        <w:tc>
          <w:tcPr>
            <w:tcW w:w="3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14.4 %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26.9 %</w:t>
            </w: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21.9 %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36.8 %</w:t>
            </w: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 2016-2019 Average</w:t>
            </w:r>
          </w:p>
        </w:tc>
        <w:tc>
          <w:tcPr>
            <w:tcW w:w="32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17.3 %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24.8 %</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25.6 %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20"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7"/>
          <w:szCs w:val="17"/>
          <w:color w:val="auto"/>
        </w:rPr>
        <w:t>Currently, we are not subject to regulations specific to the sale and distribution of cinema advertising. We are subject to federal, state and local laws that govern businesses generally such as wage and hour, worker compensation and health and safety laws as well as privacy, information security and consumer protection-related laws and regulations. We have been and are currently in compliance with all government mandated and environmental regulations.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Our advertising business competes in the estimated $287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continuing shift of advertising spending away from traditional media, in particular linear television where consumers can skip advertisements through DVRs and other technology, to newer and more targeted forms of media.</w:t>
      </w:r>
    </w:p>
    <w:p>
      <w:pPr>
        <w:spacing w:after="0" w:line="63"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120" w:lineRule="exact"/>
        <w:rPr>
          <w:sz w:val="20"/>
          <w:szCs w:val="20"/>
          <w:color w:val="auto"/>
        </w:rPr>
      </w:pPr>
    </w:p>
    <w:p>
      <w:pPr>
        <w:jc w:val="both"/>
        <w:ind w:right="320" w:firstLine="509"/>
        <w:spacing w:after="0" w:line="275" w:lineRule="auto"/>
        <w:rPr>
          <w:sz w:val="20"/>
          <w:szCs w:val="20"/>
          <w:color w:val="auto"/>
        </w:rPr>
      </w:pPr>
      <w:r>
        <w:rPr>
          <w:rFonts w:ascii="Times New Roman" w:cs="Times New Roman" w:eastAsia="Times New Roman" w:hAnsi="Times New Roman"/>
          <w:sz w:val="17"/>
          <w:szCs w:val="17"/>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55" w:lineRule="exact"/>
        <w:rPr>
          <w:sz w:val="20"/>
          <w:szCs w:val="20"/>
          <w:color w:val="auto"/>
        </w:rPr>
      </w:pPr>
    </w:p>
    <w:p>
      <w:pPr>
        <w:ind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Extensive national market coverage</w:t>
      </w:r>
      <w:r>
        <w:rPr>
          <w:rFonts w:ascii="Times New Roman" w:cs="Times New Roman" w:eastAsia="Times New Roman" w:hAnsi="Times New Roman"/>
          <w:sz w:val="17"/>
          <w:szCs w:val="17"/>
          <w:color w:val="auto"/>
        </w:rPr>
        <w:t>—Our contractual agreements with our founding members and network affiliates provide long-term exclusive access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56" w:lineRule="exact"/>
        <w:rPr>
          <w:sz w:val="20"/>
          <w:szCs w:val="20"/>
          <w:color w:val="auto"/>
        </w:rPr>
      </w:pPr>
    </w:p>
    <w:p>
      <w:pPr>
        <w:ind w:left="940" w:right="140" w:hanging="309"/>
        <w:spacing w:after="0" w:line="275"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advertising network consisted of 20,095 screens (16,062 operated by the founding members) located in 1,598 theaters (1,182 operated by the founding members) in 47 states and the District of Columbia, including each of the top 25, 50 and 100 DMAs®, and 195 DMAs® in total, as of December 29, 2022;</w:t>
      </w:r>
    </w:p>
    <w:p>
      <w:pPr>
        <w:spacing w:after="0" w:line="59" w:lineRule="exact"/>
        <w:rPr>
          <w:rFonts w:ascii="Times New Roman" w:cs="Times New Roman" w:eastAsia="Times New Roman" w:hAnsi="Times New Roman"/>
          <w:sz w:val="17"/>
          <w:szCs w:val="17"/>
          <w:color w:val="auto"/>
        </w:rPr>
      </w:pPr>
    </w:p>
    <w:p>
      <w:pPr>
        <w:jc w:val="both"/>
        <w:ind w:left="940" w:right="180" w:hanging="309"/>
        <w:spacing w:after="0" w:line="275"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 394 million people attended theaters in our network in 2022 represented 72.2%, 68.4% and 65.2% of the total theater attendance in theaters that present cinema advertising in the top 10, 25 and 50 U.S. DMAs®, respectively, and 61.3% of all DMAs® nationally, providing an attractive platform for national advertisers who want exposure in larger markets or on a national basis;</w:t>
      </w:r>
    </w:p>
    <w:p>
      <w:pPr>
        <w:spacing w:after="0" w:line="5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screens per theater in our network during 2022 was 12.6 screens; and</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annual attendance per screen of theaters included in our network during 2022 was 19,647.</w:t>
      </w:r>
    </w:p>
    <w:p>
      <w:pPr>
        <w:spacing w:after="0" w:line="114" w:lineRule="exact"/>
        <w:rPr>
          <w:sz w:val="20"/>
          <w:szCs w:val="20"/>
          <w:color w:val="auto"/>
        </w:rPr>
      </w:pPr>
    </w:p>
    <w:p>
      <w:pPr>
        <w:ind w:right="42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Scalable, state-of-the-art digital content distribution technology</w:t>
      </w:r>
      <w:r>
        <w:rPr>
          <w:rFonts w:ascii="Times New Roman" w:cs="Times New Roman" w:eastAsia="Times New Roman" w:hAnsi="Times New Roman"/>
          <w:sz w:val="17"/>
          <w:szCs w:val="17"/>
          <w:color w:val="auto"/>
        </w:rPr>
        <w:t>—Our use of the combination of satellite and terrestrial DCN network technology,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combined with the design and functionality of our DCS and Customer Experience Center</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7"/>
          <w:szCs w:val="17"/>
          <w:color w:val="auto"/>
        </w:rPr>
        <w:t xml:space="preserve">infrastructure, makes our network efficient and scalable and also allows us to target specific audiences and provide advertising scheduling flexibility and reporting. National, local and regional advertisers are generally able to run their ads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less than 72 hours following the close of the proposal which is comparable to the lead time of television advertising, giving businesses that rely on time-sensitive promotional advertising strategies the opportunity to take advantage of the power of cinema. The Company plans to further decrease this lead time following additional upgrades of our cinema advertising management system, as further discussed below.</w:t>
      </w:r>
    </w:p>
    <w:p>
      <w:pPr>
        <w:spacing w:after="0" w:line="65" w:lineRule="exact"/>
        <w:rPr>
          <w:sz w:val="20"/>
          <w:szCs w:val="20"/>
          <w:color w:val="auto"/>
        </w:rPr>
      </w:pPr>
    </w:p>
    <w:p>
      <w:pPr>
        <w:ind w:right="480" w:firstLine="509"/>
        <w:spacing w:after="0" w:line="275" w:lineRule="auto"/>
        <w:rPr>
          <w:sz w:val="20"/>
          <w:szCs w:val="20"/>
          <w:color w:val="auto"/>
        </w:rPr>
      </w:pPr>
      <w:r>
        <w:rPr>
          <w:rFonts w:ascii="Times New Roman" w:cs="Times New Roman" w:eastAsia="Times New Roman" w:hAnsi="Times New Roman"/>
          <w:sz w:val="17"/>
          <w:szCs w:val="17"/>
          <w:color w:val="auto"/>
        </w:rPr>
        <w:t>This scalability of our distribution technology allows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5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Access to a highly attractive, engaged audience</w:t>
      </w:r>
      <w:r>
        <w:rPr>
          <w:rFonts w:ascii="Times New Roman" w:cs="Times New Roman" w:eastAsia="Times New Roman" w:hAnsi="Times New Roman"/>
          <w:sz w:val="17"/>
          <w:szCs w:val="17"/>
          <w:color w:val="auto"/>
        </w:rPr>
        <w:t>—We offer advertisers the ability to reach highly-coveted target demographics, including young, affluent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educated “Millennial” and “Gen Z” moviegoers. According to Epicenter for 2022, 62.0% of the NCM LLC audience were between the ages of 12-34, compared to 53.0% in 2019, with a median age of 29 in 2022. Further, 44.0% of our moviegoers have a household income greater than $100,000 (versus 37.0% of the general population), with a median moviegoer household income of $91,000, and 38.0% have received a bachelor’s degree or higher (versus 33.0% of the general population) according to the 2021 Doublebase GfK MRI Study.</w:t>
      </w:r>
    </w:p>
    <w:p>
      <w:pPr>
        <w:spacing w:after="0" w:line="6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 xml:space="preserve">Because of the impact of cinema’s state-of-the-art immersive video and audio presentation, we also believe that movie audiences are highly engaged with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advertising and entertainment content that they view in our theater environment. In a recent study performed by Lumen, a leader in attention measurement, moviegoers viewed advertisements in theaters for twice as long compared to advertisements on television and up to 10 times longer than advertisements on social media platforms. Additionally, moviegoers paid four to seven times greater attention to the advertisements shown in theaters than the advertisements shown on television or social media platforms. Further, based upon an average of 5 years of research studies including 262 advertisers across various categories, advertising on the big screen has generated brand lift for the critical key performance indicators of awareness (increase of 64.0%) and consideration (increase of 24.0%). Additionally, according to an intercept study conducted by eWorks, a market research company, a Platinum Spot advertiser experienced 88.0% brand recall, with significant lifts in unaided awareness (increase of 100.0%), favorable opinion (increase of 21.0%) and future consideration (increase of 19.0%) after advertising with the Company in 2022.</w:t>
      </w:r>
    </w:p>
    <w:p>
      <w:pPr>
        <w:spacing w:after="0" w:line="6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World-class entertainment and innovative, branded pre-feature content</w:t>
      </w:r>
      <w:r>
        <w:rPr>
          <w:rFonts w:ascii="Times New Roman" w:cs="Times New Roman" w:eastAsia="Times New Roman" w:hAnsi="Times New Roman"/>
          <w:sz w:val="17"/>
          <w:szCs w:val="17"/>
          <w:color w:val="auto"/>
        </w:rPr>
        <w:t>—The film content created by Hollywood studios is considered some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finest entertainment content in the world, which creates a highly-desirable advertising environment for brands. We believe that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(that is, groupings of ads interspersed among video content), our format is consistent with the grouping of ads on television networks, which allows advertisers to more easily integrate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into traditional sight-sound-and-motion media buys.</w:t>
      </w:r>
    </w:p>
    <w:p>
      <w:pPr>
        <w:spacing w:after="0" w:line="6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Prime movie audience data, measurability and targeting</w:t>
      </w:r>
      <w:r>
        <w:rPr>
          <w:rFonts w:ascii="Times New Roman" w:cs="Times New Roman" w:eastAsia="Times New Roman" w:hAnsi="Times New Roman"/>
          <w:sz w:val="17"/>
          <w:szCs w:val="17"/>
          <w:color w:val="auto"/>
        </w:rPr>
        <w:t>—As with many other advertising mediums, we are measured by third-party research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companies. Epicenter Experience LLC measures our audience, including the total attendance that are in their seats during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Additionally, unlike some other advertising mediums, we also receive attendance information by film, by rating and by screen at least monthly for all of the founding member theaters, and by location for the theaters operated by our network affiliates at least monthly, which allows us to report the actual audience size for each showing of a film where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6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2022, we continued to invest in the development of our cloud-based Data Management Platform (DMP) which we believe will allow us to provide even more robust audience insights and analytics to our clients. To further enhance the connection between brands and movie audiences, we accumulate audience data from several sources within our DMP. This audience data is then leveraged for the targeting of ad campaigns and can also deliver closed-loop attribution reporting. We expect to continue to enhance the capabilities of the platform in 2023 by continuing to gather first-party data through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products, as well as additional second- and third-party data sources and segments.</w:t>
      </w:r>
    </w:p>
    <w:p>
      <w:pPr>
        <w:spacing w:after="0" w:line="6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Integrated marketing and digital products</w:t>
      </w:r>
      <w:r>
        <w:rPr>
          <w:rFonts w:ascii="Times New Roman" w:cs="Times New Roman" w:eastAsia="Times New Roman" w:hAnsi="Times New Roman"/>
          <w:sz w:val="17"/>
          <w:szCs w:val="17"/>
          <w:color w:val="auto"/>
        </w:rPr>
        <w:t>—Our ability to bundle our on-screen advertising opportunities with integrated lobby, digital marketing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new NCMx™ data platform makes cinema advertising more measurable, targetable and attributable than ever before. Our exclusive first and second party data, including the valuable data derived from our owned and operated digital products, help 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18" w:name="page19"/>
    <w:bookmarkEnd w:id="18"/>
    <w:p>
      <w:pPr>
        <w:ind w:right="220"/>
        <w:spacing w:after="0" w:line="297" w:lineRule="auto"/>
        <w:rPr>
          <w:sz w:val="20"/>
          <w:szCs w:val="20"/>
          <w:color w:val="auto"/>
        </w:rPr>
      </w:pPr>
      <w:r>
        <w:rPr>
          <w:rFonts w:ascii="Times New Roman" w:cs="Times New Roman" w:eastAsia="Times New Roman" w:hAnsi="Times New Roman"/>
          <w:sz w:val="17"/>
          <w:szCs w:val="17"/>
          <w:color w:val="auto"/>
        </w:rPr>
        <w:t xml:space="preserve">power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product to better reach advertising clients’ target audiences with higher degrees of accuracy and measure a variety of business outcomes more accurately.</w:t>
      </w:r>
    </w:p>
    <w:p>
      <w:pPr>
        <w:spacing w:after="0" w:line="3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Contractual theater circuit and advertiser relationships</w:t>
      </w:r>
      <w:r>
        <w:rPr>
          <w:rFonts w:ascii="Times New Roman" w:cs="Times New Roman" w:eastAsia="Times New Roman" w:hAnsi="Times New Roman"/>
          <w:sz w:val="17"/>
          <w:szCs w:val="17"/>
          <w:color w:val="auto"/>
        </w:rPr>
        <w:t>—Our exclusive multi-year contractual relationships with our founding members and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allow us to offer advertisers a national network with the scale, flexibility and targeting to meet their marketing needs. Our exclusive contractual relationships with our content partners and courtesy PSA sponsors, as well as our agreements to satisfy the founding members’ on-screen marketing obligations to their beverage concessionaires, provide us with a significant upfront revenue commitment, accounting for approximately 25.6% and 29.1% of our total revenue for the years ended December 29, 2022 and December 30, 2021, respectively. In addition, our participation in the annual advertising upfront marketplace has allowed us to secure significant annual upfront commitments from national advertisers looking to secure premium cinema inventory. These upfront commitments accounted for approximately 30.4% and 23.9% of our total revenue for the years ended December 29, 2022 and December 30, 2021, respectively. Due to the COVID-19 Pandemic, the Company was not able to participate in the 2021 upfront market, and thus, outside of content partner and courtesy PSA agreements, the majority of 2021 deals were sold in the scatter market.</w:t>
      </w:r>
    </w:p>
    <w:p>
      <w:pPr>
        <w:spacing w:after="0" w:line="7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Strong operating margins with limited capital requirements</w:t>
      </w:r>
      <w:r>
        <w:rPr>
          <w:rFonts w:ascii="Times New Roman" w:cs="Times New Roman" w:eastAsia="Times New Roman" w:hAnsi="Times New Roman"/>
          <w:sz w:val="17"/>
          <w:szCs w:val="17"/>
          <w:color w:val="auto"/>
        </w:rPr>
        <w:t>—Our annual operating income and Adjusted OIBDA margins from our IPO through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26, 2019 were consistently strong, ranging from approximately 33.1% to 38.7% and 46.5% to 51.5%, respectively, over the previous five years. Our annual operating income and Adjusted OIBDA margins were 2.8% and 23.0%, and (59.9)% and (21.6)%, for the years ended December 29, 2022 and December 30, 2021, respectively, due to the impact of the COVID-19 Pandemic on our operations. Refer to “Item 7. Management’s Discussion and Analysis of Financial Condition and Results of Operations” for a discussion of the calculation of Adjusted OIBDA margin, which is a non-GAAP financial measure, and a reconciliation of Adjusted OIBDA margin to operating income.</w:t>
      </w:r>
    </w:p>
    <w:p>
      <w:pPr>
        <w:spacing w:after="0" w:line="6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7"/>
          <w:szCs w:val="17"/>
          <w:color w:val="auto"/>
        </w:rPr>
        <w:t>Our capital expenditures have ranged from approximately 2.9% to 3.5% of revenues over the five years through December 26, 2019. Our capital expenditures were 1.7% and 5.6% of revenue for the years ended December 29, 2022 and December 30, 2021, due to the impact of the COVID-19 Pandemic on our operations. For the year ended December 29, 2022, our capital expenditures and other investments were $4.2 million, of which $1.9 million were associated with digital product development; $0.9 million were associated with upgrades to our existing systems related to the planned upgrade of our cinema advertising management system; $0.4 million were associated with network affiliate additions; and $0.1 million were for certain implementation and prepaid costs associated with Cloud Computing arrangements. Given the impact of the COVID-19 Pandemic on our operations, our current focus is on cash containment and non-essential capital expenditures were reduced in recent years accordingly. Due to the network equipment investments made in recent years by our founding members and network affiliates in new and acquired theaters, ESA provisions requiring founding members to make future investments for equipment replacements, and the scalable nature of our Customer Experience Center and other infrastructure, we do not expect any necessary major capital investments to grow our operations as our network of theaters continues to expand. As we continue to move our technology to cloud based Software as a Service (“SaaS”) platforms, we will continue to reduce our annual capital expenditure spending. However, operating expenses associated with the SaaS licenses will continue to increase. Certain implementation costs of our SaaS platforms were capitalized during the implementation period and are recognized within operating income over the term of the SaaS contract once the systems are fully implemented.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20" w:lineRule="exact"/>
        <w:rPr>
          <w:sz w:val="20"/>
          <w:szCs w:val="20"/>
          <w:color w:val="auto"/>
        </w:rPr>
      </w:pPr>
    </w:p>
    <w:p>
      <w:pPr>
        <w:ind w:right="240" w:firstLine="509"/>
        <w:spacing w:after="0" w:line="295" w:lineRule="auto"/>
        <w:rPr>
          <w:sz w:val="20"/>
          <w:szCs w:val="20"/>
          <w:color w:val="auto"/>
        </w:rPr>
      </w:pPr>
      <w:r>
        <w:rPr>
          <w:rFonts w:ascii="Times New Roman" w:cs="Times New Roman" w:eastAsia="Times New Roman" w:hAnsi="Times New Roman"/>
          <w:sz w:val="17"/>
          <w:szCs w:val="17"/>
          <w:color w:val="auto"/>
        </w:rPr>
        <w:t>We are continuing to pursue a growth strategy that we believe will create significant value following the normalization of our operations. Our strategy includes the following three key components: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Increase the Value of Cinema Media</w:t>
      </w:r>
    </w:p>
    <w:p>
      <w:pPr>
        <w:spacing w:after="0" w:line="12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 xml:space="preserve">We intend to drive an increase in value through innovation and optimization of our current product offering. Achieving one of our key initiatives in this strategy, we introduced new inventory following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after the advertised showtime within Cinemark and Regal theaters following the 2019 ESA Amendments. This Post-Showtime Inventory consists of a total of five minutes between the lights down segment beginning just after the advertised movie showtime and including trailer lighting and the 30- or 60-second Platinum Spot deeply embedded within the movie trailers with trailer lighting and full trailer volume. We believe this inventory constitutes prized and impactful ad spots and expect these improvements to increase the value of the inventory that we can offer to our national clients. We believe our local and regional clients will also benefit from better inventory as their placement will now be closer to the advertised showtime. We introduced this new inventory at select network affiliate theaters beginning in early 2020, expanding throughout 2021 and 2022, and plan to continue to work toward expanding the portion of our network including this new inventory. We believe this higher value inventory, combined with an entertaining and engaging show program that is integrated with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73" w:lineRule="exact"/>
        <w:rPr>
          <w:sz w:val="20"/>
          <w:szCs w:val="20"/>
          <w:color w:val="auto"/>
        </w:rPr>
      </w:pPr>
    </w:p>
    <w:p>
      <w:pPr>
        <w:ind w:right="440" w:firstLine="509"/>
        <w:spacing w:after="0" w:line="297" w:lineRule="auto"/>
        <w:rPr>
          <w:sz w:val="20"/>
          <w:szCs w:val="20"/>
          <w:color w:val="auto"/>
        </w:rPr>
      </w:pPr>
      <w:r>
        <w:rPr>
          <w:rFonts w:ascii="Times New Roman" w:cs="Times New Roman" w:eastAsia="Times New Roman" w:hAnsi="Times New Roman"/>
          <w:sz w:val="17"/>
          <w:szCs w:val="17"/>
          <w:color w:val="auto"/>
        </w:rPr>
        <w:t xml:space="preserve">It is the Company’s intention to increase the number of affiliate theaters in our network showing the improved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format followed by the premium Post-Showtime Inventory. While adoption across our affiliate network is expected to</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9" w:name="page20"/>
    <w:bookmarkEnd w:id="19"/>
    <w:p>
      <w:pPr>
        <w:ind w:right="460"/>
        <w:spacing w:after="0" w:line="295" w:lineRule="auto"/>
        <w:rPr>
          <w:sz w:val="20"/>
          <w:szCs w:val="20"/>
          <w:color w:val="auto"/>
        </w:rPr>
      </w:pPr>
      <w:r>
        <w:rPr>
          <w:rFonts w:ascii="Times New Roman" w:cs="Times New Roman" w:eastAsia="Times New Roman" w:hAnsi="Times New Roman"/>
          <w:sz w:val="17"/>
          <w:szCs w:val="17"/>
          <w:color w:val="auto"/>
        </w:rPr>
        <w:t>take some time, 55.6% of our network affiliates are running our Post-Showtime Inventory as of December 29, 2022, which including Regal and Cinemark, accounted for 59.3% of our total network attendance based on 2022 levels.</w:t>
      </w:r>
    </w:p>
    <w:p>
      <w:pPr>
        <w:spacing w:after="0" w:line="4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Our relationships with our exhibitors are a key focus of our business. Our Affiliate Partnerships team is dedicated to serving the needs of our founding member theater circuits and our 44 network affiliates nationwide as of December 29, 2022. We plan to continue to expand our affiliate network by strategically targeting priority exhibitors who are not currently part of our network and whose cinema advertising contracts we expect will be coming up for renewal in the next several years in order to add key affiliates and screens in select markets.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January 2021, we entered into an exhibitor agreement with Harkins Theaters, the fifth largest exhibitor in the U.S., increasing our network by over 501 screens and 33 theaters beginning in May 2021 through December 2037. In September 2022, we entered into an exhibitor agreement with VIP Cinemas, a family-owned and operated circuit of seventeen theaters across eight states.</w:t>
      </w:r>
    </w:p>
    <w:p>
      <w:pPr>
        <w:spacing w:after="0" w:line="2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Including our founding members and network affiliates, our net screens have increased in eight out of the last ten fiscal years</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We believe this expansion continues to improve our geographic coverage and enhances our ability to compete with other national advertising mediums, which allows our exhibitor clients to maximize the advertising value of their audiences.</w:t>
      </w:r>
    </w:p>
    <w:p>
      <w:pPr>
        <w:spacing w:after="0" w:line="6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2022, we launched several specialty networks to cater to specific audiences, including the Elevate Cinema Network, a strategic sales partnership with Spotlight Cinema Networks which combines nearly 1,500 of our premier screens with Spotlight’s existing premier network of over 1,200 screens. This combined network provides reach and recall to brands targeting the upscale, educated, adult demographic with disposable income. We also created </w:t>
      </w:r>
      <w:r>
        <w:rPr>
          <w:rFonts w:ascii="Times New Roman" w:cs="Times New Roman" w:eastAsia="Times New Roman" w:hAnsi="Times New Roman"/>
          <w:sz w:val="17"/>
          <w:szCs w:val="17"/>
          <w:i w:val="1"/>
          <w:iCs w:val="1"/>
          <w:color w:val="auto"/>
        </w:rPr>
        <w:t>NCM</w:t>
      </w:r>
      <w:r>
        <w:rPr>
          <w:rFonts w:ascii="Times New Roman" w:cs="Times New Roman" w:eastAsia="Times New Roman" w:hAnsi="Times New Roman"/>
          <w:sz w:val="17"/>
          <w:szCs w:val="17"/>
          <w:color w:val="auto"/>
        </w:rPr>
        <w:t xml:space="preserve"> Black Cinema Network and </w:t>
      </w:r>
      <w:r>
        <w:rPr>
          <w:rFonts w:ascii="Times New Roman" w:cs="Times New Roman" w:eastAsia="Times New Roman" w:hAnsi="Times New Roman"/>
          <w:sz w:val="17"/>
          <w:szCs w:val="17"/>
          <w:i w:val="1"/>
          <w:iCs w:val="1"/>
          <w:color w:val="auto"/>
        </w:rPr>
        <w:t>NCM</w:t>
      </w:r>
      <w:r>
        <w:rPr>
          <w:rFonts w:ascii="Times New Roman" w:cs="Times New Roman" w:eastAsia="Times New Roman" w:hAnsi="Times New Roman"/>
          <w:sz w:val="17"/>
          <w:szCs w:val="17"/>
          <w:color w:val="auto"/>
        </w:rPr>
        <w:t xml:space="preserve"> Hispanic Cinema Network in connection with NuTime Media, a Black-owned media sales representation company, to better serve marketers looking to reach African-American and Hispanic audiences.</w:t>
      </w:r>
    </w:p>
    <w:p>
      <w:pPr>
        <w:spacing w:after="0" w:line="6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 xml:space="preserve">Also in 2022, we launched NCMx™, our new data, insights, and analytics platform that taps the Company’s comprehensive knowledge and extensive data about moviegoer behavior to connect brands with custom audiences in theaters as well as on digital screens before and after attending movies. Our valuable unique data records consist of both our own NCM first-party data from our owned-and-operated digital products, as well as a variety of key second- and third-party data addressable consumer records, including location-based data that allows us to track when our audiences go to the movie theater to see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where they go in the days and weeks afterwards. NCMx has proven to be a highly successful tool in attracting existing and new advertisers for NCM.</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Diversify our Revenue Model</w:t>
      </w:r>
    </w:p>
    <w:p>
      <w:pPr>
        <w:spacing w:after="0" w:line="120"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7"/>
          <w:szCs w:val="17"/>
          <w:color w:val="auto"/>
        </w:rPr>
        <w:t xml:space="preserve">We are also reimagining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as we strive to increase revenue and grow our advertiser base by developing branded content, sponsorships and integration opportunities which also drive moviegoer engagement. We have developed and launched various segments in 2022 including </w:t>
      </w:r>
      <w:r>
        <w:rPr>
          <w:rFonts w:ascii="Times New Roman" w:cs="Times New Roman" w:eastAsia="Times New Roman" w:hAnsi="Times New Roman"/>
          <w:sz w:val="17"/>
          <w:szCs w:val="17"/>
          <w:i w:val="1"/>
          <w:iCs w:val="1"/>
          <w:color w:val="auto"/>
        </w:rPr>
        <w:t>The Noovie Trivia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Noovieverse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Perri’s Picks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Unwind and</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Cultural Celebrations. Our</w:t>
      </w:r>
      <w:r>
        <w:rPr>
          <w:rFonts w:ascii="Times New Roman" w:cs="Times New Roman" w:eastAsia="Times New Roman" w:hAnsi="Times New Roman"/>
          <w:sz w:val="17"/>
          <w:szCs w:val="17"/>
          <w:i w:val="1"/>
          <w:iCs w:val="1"/>
          <w:color w:val="auto"/>
        </w:rPr>
        <w:t xml:space="preserve"> Noovie </w:t>
      </w:r>
      <w:r>
        <w:rPr>
          <w:rFonts w:ascii="Times New Roman" w:cs="Times New Roman" w:eastAsia="Times New Roman" w:hAnsi="Times New Roman"/>
          <w:sz w:val="17"/>
          <w:szCs w:val="17"/>
          <w:color w:val="auto"/>
        </w:rPr>
        <w:t>Studios in-house creative team develops and produces original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storytelling content for advertisers for a fee, with content tied to these new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segments or fully customized based on brand needs.</w:t>
      </w:r>
    </w:p>
    <w:p>
      <w:pPr>
        <w:spacing w:after="0" w:line="62"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 xml:space="preserve">We intend to build and monetize digital and data driving solutions. We continue to invest in the creation of compelling digital entertainment products and expand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ecosystem and user base of movie fans with NCM owned-and-operated products like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Shuffle and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These products create new ways for brands to engage with movie audiences beyond the big screen, reaching them anytime (before and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movie) and anywhere with new higher-margin digital ad inventory and creating valuable addressable first-party customer data. We expect to then monetize this data through advertising sales and sponsorships, as well as by leveraging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product. We also expect to launch a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Rewards program across all of our digital products to further incentivize movie-goers to download and play the apps and increase consumer engagement and retention of existing users.</w:t>
      </w:r>
    </w:p>
    <w:p>
      <w:pPr>
        <w:spacing w:after="0" w:line="73"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Along with growing our digital products, we plan to expand upon NCMx™, our data-platform that allows us to meet the needs of today’s modern video advertising marketplace. It is important that we accelerate the growth, scale, targeting and measurability of our theater audience data to maintain a critical mass to be able to effectively use that audience data to deliver value to our clients. It is that scale that we believe will make our NCM digital and data capabilities increasingly attractive to advertisers, especially to national brands who buy both our national and regional inventory.</w:t>
      </w:r>
    </w:p>
    <w:p>
      <w:pPr>
        <w:spacing w:after="0" w:line="63"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We also intend to enter into synergistic business opportunities. NCM's DOOH group serves to further unite brands with the power of movies by extending movie-centric entertainment content, trivia and advertising beyond theaters to a variety of complementary Digital Out-Of-Home platforms. NCM is now able to combine the strengths and effectiveness of Cinema,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 w:name="page21"/>
    <w:bookmarkEnd w:id="20"/>
    <w:p>
      <w:pPr>
        <w:ind w:right="80"/>
        <w:spacing w:after="0" w:line="295" w:lineRule="auto"/>
        <w:rPr>
          <w:sz w:val="20"/>
          <w:szCs w:val="20"/>
          <w:color w:val="auto"/>
        </w:rPr>
      </w:pPr>
      <w:r>
        <w:rPr>
          <w:rFonts w:ascii="Times New Roman" w:cs="Times New Roman" w:eastAsia="Times New Roman" w:hAnsi="Times New Roman"/>
          <w:sz w:val="17"/>
          <w:szCs w:val="17"/>
          <w:color w:val="auto"/>
        </w:rPr>
        <w:t>Digital and Place-Based media together to create innovative, integrated campaigns that engage movie fans anytime and anywhere through our partnerships with Ziosk, ATM.TV and Trooh.</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Optimize Operation Effectiveness and Efficiency</w:t>
      </w:r>
    </w:p>
    <w:p>
      <w:pPr>
        <w:spacing w:after="0" w:line="122"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We intend to ensure our technology infrastructure is built to support sustained revenue growth. Our first initiative in this process is to further enhance our cinema advertising management system implemented in January of 2021 to allow for self-serve programmatic purchasing for certain of our product offerings beginning with LEN. We finalized the functionality for LEN in 2022, and expect to follow this with local and national onscreen programmatic in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Rights</w:t>
      </w:r>
    </w:p>
    <w:p>
      <w:pPr>
        <w:spacing w:after="0" w:line="120" w:lineRule="exact"/>
        <w:rPr>
          <w:sz w:val="20"/>
          <w:szCs w:val="20"/>
          <w:color w:val="auto"/>
        </w:rPr>
      </w:pPr>
    </w:p>
    <w:p>
      <w:pPr>
        <w:ind w:right="720" w:firstLine="509"/>
        <w:spacing w:after="0" w:line="275" w:lineRule="auto"/>
        <w:rPr>
          <w:sz w:val="20"/>
          <w:szCs w:val="20"/>
          <w:color w:val="auto"/>
        </w:rPr>
      </w:pPr>
      <w:r>
        <w:rPr>
          <w:rFonts w:ascii="Times New Roman" w:cs="Times New Roman" w:eastAsia="Times New Roman" w:hAnsi="Times New Roman"/>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by us and the founding members.</w:t>
      </w:r>
    </w:p>
    <w:p>
      <w:pPr>
        <w:spacing w:after="0" w:line="5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We have secured U.S. trademark registrations for NCM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National CineMedia</w:t>
      </w:r>
      <w:r>
        <w:rPr>
          <w:rFonts w:ascii="Times New Roman" w:cs="Times New Roman" w:eastAsia="Times New Roman" w:hAnsi="Times New Roman"/>
          <w:sz w:val="17"/>
          <w:szCs w:val="17"/>
          <w:i w:val="1"/>
          <w:iCs w:val="1"/>
          <w:color w:val="auto"/>
        </w:rPr>
        <w:t>®, Noovie®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NCMx™</w:t>
      </w:r>
      <w:r>
        <w:rPr>
          <w:rFonts w:ascii="Times New Roman" w:cs="Times New Roman" w:eastAsia="Times New Roman" w:hAnsi="Times New Roman"/>
          <w:sz w:val="17"/>
          <w:szCs w:val="17"/>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www.ncm.com</w:t>
      </w:r>
      <w:r>
        <w:rPr>
          <w:rFonts w:ascii="Times New Roman" w:cs="Times New Roman" w:eastAsia="Times New Roman" w:hAnsi="Times New Roman"/>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0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65" w:lineRule="exact"/>
        <w:rPr>
          <w:sz w:val="20"/>
          <w:szCs w:val="20"/>
          <w:color w:val="auto"/>
        </w:rPr>
      </w:pPr>
    </w:p>
    <w:p>
      <w:pPr>
        <w:ind w:right="3380" w:firstLine="3910"/>
        <w:spacing w:after="0" w:line="384" w:lineRule="auto"/>
        <w:rPr>
          <w:sz w:val="20"/>
          <w:szCs w:val="20"/>
          <w:color w:val="auto"/>
        </w:rPr>
      </w:pPr>
      <w:r>
        <w:rPr>
          <w:rFonts w:ascii="Times New Roman" w:cs="Times New Roman" w:eastAsia="Times New Roman" w:hAnsi="Times New Roman"/>
          <w:sz w:val="17"/>
          <w:szCs w:val="17"/>
          <w:b w:val="1"/>
          <w:bCs w:val="1"/>
          <w:color w:val="auto"/>
        </w:rPr>
        <w:t xml:space="preserve">Risks Related to NCM LLC’s Chapter 11 Proceeding </w:t>
      </w:r>
      <w:r>
        <w:rPr>
          <w:rFonts w:ascii="Times New Roman" w:cs="Times New Roman" w:eastAsia="Times New Roman" w:hAnsi="Times New Roman"/>
          <w:sz w:val="17"/>
          <w:szCs w:val="17"/>
          <w:b w:val="1"/>
          <w:bCs w:val="1"/>
          <w:i w:val="1"/>
          <w:iCs w:val="1"/>
          <w:color w:val="auto"/>
        </w:rPr>
        <w:t>We are subject to the risks and uncertainties associated with NCM LLC’s Chapter 11 Case.</w:t>
      </w:r>
    </w:p>
    <w:p>
      <w:pPr>
        <w:spacing w:after="0" w:line="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i w:val="1"/>
          <w:iCs w:val="1"/>
          <w:color w:val="auto"/>
        </w:rPr>
        <w:t>During NCM LLC’s Chapter 11 case, our operations and our ability to develop and execute our business plan, as well as our continuation as a going concern, are subject to the risks and uncertainties associated with bankruptcy. These risks include the following:</w:t>
      </w:r>
    </w:p>
    <w:p>
      <w:pPr>
        <w:spacing w:after="0" w:line="40" w:lineRule="exact"/>
        <w:rPr>
          <w:sz w:val="20"/>
          <w:szCs w:val="20"/>
          <w:color w:val="auto"/>
        </w:rPr>
      </w:pPr>
    </w:p>
    <w:p>
      <w:pPr>
        <w:ind w:left="640" w:right="180" w:hanging="322"/>
        <w:spacing w:after="0" w:line="295" w:lineRule="auto"/>
        <w:tabs>
          <w:tab w:leader="none" w:pos="43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LLC’s ability to obtain and/or maintain court approval with respect to motions filed in Chapter 11 case from time to time and to operate within the restrictions imposed by the Bankruptcy Court;</w:t>
      </w:r>
    </w:p>
    <w:p>
      <w:pPr>
        <w:spacing w:after="0" w:line="41" w:lineRule="exact"/>
        <w:rPr>
          <w:rFonts w:ascii="Times New Roman" w:cs="Times New Roman" w:eastAsia="Times New Roman" w:hAnsi="Times New Roman"/>
          <w:sz w:val="17"/>
          <w:szCs w:val="17"/>
          <w:color w:val="auto"/>
        </w:rPr>
      </w:pPr>
    </w:p>
    <w:p>
      <w:pPr>
        <w:ind w:left="640" w:right="40" w:hanging="322"/>
        <w:spacing w:after="0" w:line="295" w:lineRule="auto"/>
        <w:tabs>
          <w:tab w:leader="none" w:pos="43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NCM LLC’s ability to develop, confirm and consummate a Chapter 11 plan or alternative restructuring transaction in the timeframe contemplated by the Restructuring Support Agreement or as otherwise ordered by the Bankruptcy Court;</w:t>
      </w:r>
    </w:p>
    <w:p>
      <w:pPr>
        <w:spacing w:after="0" w:line="41"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third parties to seek and obtain court approval to terminate contracts and other agreements with us;</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LLC’s ability to maintain our relationships with our suppliers, vendors, customers, employees and other third parties;</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NCM LLC’s potential need to address liquidity and capital resources during or after the conclusion of the Chapter 11 Case;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21" w:name="page22"/>
    <w:bookmarkEnd w:id="21"/>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LLC’s ability to maintain contracts that are critical to our operations;</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NCM LLC’s ability to execute on our business plan;</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 costs of bankruptcy and related fees;</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and decisions of our creditors and other third parties who have interests in our Chapter 11 Case that may be inconsistent with our plans;</w:t>
      </w:r>
    </w:p>
    <w:p>
      <w:pPr>
        <w:spacing w:after="0" w:line="117"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third parties to appoint a Chapter 11 trustee, or to convert the Chapter 11 Case to a Chapter 7 proceeding;</w:t>
      </w:r>
    </w:p>
    <w:p>
      <w:pPr>
        <w:spacing w:after="0" w:line="117"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43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our outstanding common stock prior to the Chapter 11 Case could be substantially impaired as a result of the Chapter 11 Case and trading during the pendency of the Chapter 11 Case will be highly speculative; and</w:t>
      </w:r>
    </w:p>
    <w:p>
      <w:pPr>
        <w:spacing w:after="0" w:line="41" w:lineRule="exact"/>
        <w:rPr>
          <w:rFonts w:ascii="Times New Roman" w:cs="Times New Roman" w:eastAsia="Times New Roman" w:hAnsi="Times New Roman"/>
          <w:sz w:val="17"/>
          <w:szCs w:val="17"/>
          <w:color w:val="auto"/>
        </w:rPr>
      </w:pPr>
    </w:p>
    <w:p>
      <w:pPr>
        <w:ind w:left="420" w:hanging="102"/>
        <w:spacing w:after="0"/>
        <w:tabs>
          <w:tab w:leader="none" w:pos="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and continuing risks associated with our ability to achieve our stated goals and continue as a going concern.</w:t>
      </w:r>
    </w:p>
    <w:p>
      <w:pPr>
        <w:spacing w:after="0" w:line="11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Delays in NCM LLC’s Chapter 11 Case increase the risks of NCM LLC being unable to reorganize NCM LLC’s business and emerge from bankruptcy and increase NCM LLC’s costs associated with the bankruptcy process. These risks and uncertainties could affect our business and operations in various ways. For example, the Chapter 11 Case could impact our ownership in NCM LLC or our role as manager and negative events associated with the Chapter 11 Case could adversely affect NCM LLC’s relationships with suppliers, vendors, customers, employees, and other third parties, which in turn could adversely affect our operations and financial condition. Also, we need the prior approval of the Bankruptcy Court for transactions outside the ordinary course of business at NCM LLC, which may limit our ability to respond timely to certain events or take advantage of certain opportunities. Because of the risks and uncertainties associated with NCM LLC’s Chapter 11 Case, we cannot accurately predict or quantify the ultimate impact of events that will occur during the Chapter 11 Case that may be inconsistent with our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Chapter 11 Case could impact the relationship between us and NCM LLC.</w:t>
      </w:r>
    </w:p>
    <w:p>
      <w:pPr>
        <w:spacing w:after="0" w:line="122"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NCM LLC’s Operating Agreement provides that we will be the manager of NCM LLC and may not be removed without our consent. Our Board of Directors determined that NCM LLC’s bankruptcy may lead to conflicts between us and NCM LLC due the nature of our relationship, and to ensure appropriate decisions are made, our Board of Directors delegated some of its authority to the Independent Manager of NCM LLC to resolve these conflicts. The Independent Manager may take action that could be adverse to NCM, Inc. in connection with these conflict matters.</w:t>
      </w:r>
    </w:p>
    <w:p>
      <w:pPr>
        <w:spacing w:after="0" w:line="63"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While we believe that the vast majority of decisions related to NCM LLC’s Chapter 11 Case will not raise any conflicts and the appointment of the Independent Manager will resolve any conflicts, it is possible that NCM LLC’s creditors could petition the Bankruptcy Court to appoint a trustee to manage the business. In this event, our ability to continue to pursue our business plan would be significantly impacted and NCM LLC’s could suffer without the benefit of our management and expertise.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NCM LLC’s Chapter 11 Case limits the flexibility of our management team in running our business.</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While we expect to continue to manage NCM LLC’s businesses while it is the debtor in possession under supervision by the Bankruptcy Court, we are required to obtain the approval of the Bankruptcy Court and, in some cases, certain lenders prior to engaging in activities or transactions outside the ordinary course of business. Bankruptcy Court approval of non-ordinary course activities entails preparation and filing of appropriate motions with the Bankruptcy Court, negotiation with creditors’ committees and other parties-in-interest and one or more hearings. The creditors’ committees and other parties-in interest may be heard at any Bankruptcy Court hearing and may raise objections with respect to these motions. This process may delay major transactions and limit our ability to respond quickly to opportunities and events in the marketplace. Furthermore, in the event the Bankruptcy Court does not approve a proposed activity or transaction, we would be prevented from engaging in activities and transactions that we believe are beneficial to us.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under Bankruptcy Court protection for a long period of time may harm our business.</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Operating our business under Bankruptcy Court protection could have a material adverse effect on our business, financial condition, results of operations and liquidity and the significance of the impact may increase the longer we operate under Bankruptcy Court protection. During the pendency of the Chapter 11 Case, our senior management may be required to spend a significant amount of time and effort dealing with the reorganization instead of focusing exclusively on our business operations. A prolonged period of operating under Bankruptcy Court protection also may make it more difficult to retain management and other key personnel necessary to the success and growth of our business. In addition, as the length of the Chapter 11 Case increases, the risk that customers and suppliers will lose confidence in our ability to reorganize our business successfully may also increase, and such customers and suppliers may seek to establish alternative commercial relationships.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22" w:name="page23"/>
    <w:bookmarkEnd w:id="22"/>
    <w:p>
      <w:pPr>
        <w:ind w:right="820"/>
        <w:spacing w:after="0" w:line="295" w:lineRule="auto"/>
        <w:rPr>
          <w:sz w:val="20"/>
          <w:szCs w:val="20"/>
          <w:color w:val="auto"/>
        </w:rPr>
      </w:pPr>
      <w:r>
        <w:rPr>
          <w:rFonts w:ascii="Times New Roman" w:cs="Times New Roman" w:eastAsia="Times New Roman" w:hAnsi="Times New Roman"/>
          <w:sz w:val="17"/>
          <w:szCs w:val="17"/>
          <w:color w:val="auto"/>
        </w:rPr>
        <w:t>Additionally, so long as the Chapter 11 Case continues, we will be required to incur costs for professional fees and other expenses associated with the administration of the Chapter 11 Case.</w:t>
      </w:r>
    </w:p>
    <w:p>
      <w:pPr>
        <w:spacing w:after="0" w:line="42" w:lineRule="exact"/>
        <w:rPr>
          <w:sz w:val="20"/>
          <w:szCs w:val="20"/>
          <w:color w:val="auto"/>
        </w:rPr>
      </w:pPr>
    </w:p>
    <w:p>
      <w:pPr>
        <w:jc w:val="both"/>
        <w:ind w:right="100" w:firstLine="509"/>
        <w:spacing w:after="0" w:line="275" w:lineRule="auto"/>
        <w:rPr>
          <w:sz w:val="20"/>
          <w:szCs w:val="20"/>
          <w:color w:val="auto"/>
        </w:rPr>
      </w:pPr>
      <w:r>
        <w:rPr>
          <w:rFonts w:ascii="Times New Roman" w:cs="Times New Roman" w:eastAsia="Times New Roman" w:hAnsi="Times New Roman"/>
          <w:sz w:val="17"/>
          <w:szCs w:val="17"/>
          <w:color w:val="auto"/>
        </w:rPr>
        <w:t>Furthermore, we cannot predict the ultimate amount of all settlement terms for the liabilities that will be subject to a plan of reorganization. Even once a plan of reorganization is approved and implemented, our operating results may be adversely affected by the possible reluctance of prospective lenders and other counterparties to do business with a company that was involved in a bankruptcy and subsidiary recently emerged from Chapter 11.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confirmation of a Chapter 11 plan of reorganization for NCM LLC.</w:t>
      </w:r>
    </w:p>
    <w:p>
      <w:pPr>
        <w:spacing w:after="0" w:line="122"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17"/>
          <w:szCs w:val="17"/>
          <w:color w:val="auto"/>
        </w:rPr>
        <w:t>To emerge successfully from Bankruptcy Court protection as a viable entity, NCM LLC must meet certain statutory requirements with respect to adequacy of disclosure with respect to the plan of reorganization, and solicit and obtain the requisite acceptances of such a plan and fulfill other statutory conditions for confirmation of such a plan, which have not occurred to date. The confirmation process is subject to numerous, unanticipated potential delays, including a delay in the Bankruptcy Court’s commencement of the confirmation hearing regarding NCM LLC’s plan of reorganization.</w:t>
      </w:r>
    </w:p>
    <w:p>
      <w:pPr>
        <w:spacing w:after="0" w:line="6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Though we have entered into the Restructuring Support Agreement with certain of our creditors, including in the aggregate, more than two-thirds of all claims arising under the Prepetition Secured Debt Documents, to support our proposed plan of reorganization, we may not receive the requisite acceptances of constituencies in the Chapter 11 Case to confirm the proposed plan. Even if the requisite acceptances of the plan are received, the Bankruptcy Court may not confirm the Plan. Even if all voting classes vote in favor of the plan or the Bankruptcy Code requirements for "cramdown" are met with respect to any class that voted to reject or was deemed to reject the Plan, the Bankruptcy Court, which may exercise its substantial discretion as a court of equity, may choose not to confirm the Plan. The precise requirements and evidentiary showing for confirming a plan, notwithstanding its rejection by one or more impaired classes of claims or equity interests, depends upon a number of factors including, without limitation, the status and seniority of the claims or equity interests in the rejecting class (i.e., secured claims or unsecured claims or subordinated or senior claims). If a proposed Chapter 11 plan of reorganization is not confirmed by the Bankruptcy Court, it is unclear whether we would be able to reorganize NCM LLC’s business and what, if anything, holders of claims against us would ultimately receive with respect to their claims under a subsequent plan of reorganization (or liquidation).</w:t>
      </w:r>
    </w:p>
    <w:p>
      <w:pPr>
        <w:spacing w:after="0" w:line="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7"/>
          <w:szCs w:val="17"/>
          <w:color w:val="auto"/>
        </w:rPr>
        <w:t>Even if the proposed plan of reorganization is confirmed by the Bankruptcy Court, it may not become effective because it is subject to the satisfaction of certain conditions precedent (some of which are beyond our control). There can be no assurance that such conditions will be satisfied and, therefore, that a plan of reorganization will become effective and that NCM LLC will emerge from the Chapter 11 Case as contemplated by a plan of reorganization. If emergence is delayed, we and NCM LLC may not have sufficient cash available to operate our businesses. In that case, NCM LLC may need new or additional post-petition financing,</w:t>
      </w:r>
    </w:p>
    <w:p>
      <w:pPr>
        <w:spacing w:after="0" w:line="65"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There can be no assurance as to whether NCM LLC will successfully reorganize and emerge from the Chapter 11 Case or, if NCM LLC does successfully reorganize, as to when NCM LLC would emerge from the Chapter 11 Case. If NCM LLC is unable to successfully reorganize, we may not be able to continue our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plan of reorganization may not satisfy the requirements for non-consensual confirmation of a chapter 11 plan under the Bankruptcy Code.</w:t>
      </w:r>
    </w:p>
    <w:p>
      <w:pPr>
        <w:spacing w:after="0" w:line="122"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In the event that any impaired class of claims does not accept or is deemed not to accept a proposed plan of reorganization, the Bankruptcy Court may nevertheless confirm the plan at the NCM LLC’s request if at least one impaired class has accepted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While we may believe that a plan of reorganization satisfies the requirements for non-consensual confirmation, there can be no assurance that the Bankruptcy Court will reach the same conclusion. If the Bankruptcy Court does not find that the proposed plan of reorganization satisfies the requirements for non-consensual confirmation, the Bankruptcy Court may not confirm the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NCM LLC may seek to amend, waive, modify, or withdraw the Plan at any time before confirmation.</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Subject to and in accordance with the terms of the Restructuring Support Agreement, NCM LLC reserves the right, in accordance with the Bankruptcy Code, to amend or modify a plan before the entry of the confirmation order or waive any conditions thereto if and to the extent such amendments or waivers are necessary or desirable to consummate the plan. The potential impact of any such amendment or waiver on the holders of claims and interests cannot presently be foreseen but may include a change in the economic impact of the plan on some or all of the proposed classes or a change in the relative rights of such classes. All holders of claims and interests will receive notice of such amendments or waivers required by applicable law and the Bankruptcy Court. If we seek to modify the plan after receiving sufficient acceptances but before the Bankruptcy Court’s entry of an order confirming the plan, the previously solicited acceptances will be valid only if (i) all classes of adversely affected holders accept the modification in writing or (ii) the Bankruptcy Court determines, after notice to designated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3" w:name="page24"/>
    <w:bookmarkEnd w:id="23"/>
    <w:p>
      <w:pPr>
        <w:spacing w:after="0" w:line="295" w:lineRule="auto"/>
        <w:rPr>
          <w:sz w:val="20"/>
          <w:szCs w:val="20"/>
          <w:color w:val="auto"/>
        </w:rPr>
      </w:pPr>
      <w:r>
        <w:rPr>
          <w:rFonts w:ascii="Times New Roman" w:cs="Times New Roman" w:eastAsia="Times New Roman" w:hAnsi="Times New Roman"/>
          <w:sz w:val="17"/>
          <w:szCs w:val="17"/>
          <w:color w:val="auto"/>
        </w:rPr>
        <w:t>parties, that such modification was de minimis or purely technical or otherwise did not adversely change the treatment of holders of accepting claims or interests, or is otherwise permitted by the Bankruptcy Code.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make any assurances that the conditions precedent to the Plan’s effectiveness will occur or be waived by the confirmation date.</w:t>
      </w:r>
    </w:p>
    <w:p>
      <w:pPr>
        <w:spacing w:after="0" w:line="12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auto"/>
        </w:rPr>
        <w:t>Even if a plan is confirmed by the Bankruptcy Court, there can be no assurance as to the timing of the effective date of the plan. If the conditions precedent to the effective date set forth in the plan do not occur or are not waived as set forth in the plan, then any order entered by the Bankruptcy Court confirming the plan may be vacated, in which event no distributions would be made under the plan, NCM LLC, and all holders of claims and interests would be restored to the status quo ante as of the day immediately preceding the confirmation date, and NCM LLC’s obligations with respect to claims and interests would remain unchanged.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Restructuring Support Agreement may be terminated, which could adversely affect the Chapter 11 Case.</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The Restructuring Support Agreement contains provisions that gives the Company, NCM LLC, and the Required Consenting Creditors (as defined in the Restructuring Support Agreement) the ability to terminate the Restructuring Support Agreement if certain conditions are not satisfied or waived, including the failure to achieve certain milestones. Termination of the Restructuring Support Agreement could result in a protracted Chapter 11 Case, which could significantly and detrimentally impact NCM LLC and our relationships with vendors, employees, and major customers, or potentially the conversion of the Chapter 11 Case into a case under Chapter 7 of the Bankruptcy Code.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Restructuring is subject to conditions and milestones that we may not be able to satisfy.</w:t>
      </w:r>
    </w:p>
    <w:p>
      <w:pPr>
        <w:spacing w:after="0" w:line="122"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There are certain material conditions NCM LLC must satisfy under the Restructuring Support Agreement, including the timely satisfaction of milestones in the Chapter 11 Case, which include the confirmation of the Plan and the consummation of the restructuring transactions thereunder. The satisfaction of such conditions is subject to risks and uncertainties, many of which are beyond our control.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long-term liquidity requirements and the adequacy of our capital resources are difficult to predict at this time.</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While we believe that we have sufficient liquidity and capital resources to complete the Chapter 11 proceedings, we face uncertainty regarding the adequacy of our liquidity and capital resources. In addition to the cash requirements necessary to fund ongoing operations, NCM LLC has and will continue to incur significant professional fees and other costs in connection with preparation the Chapter 11 Case. In the event that additional liquidity or capital is needed, it may be costly and contain restrictions on our ability to operate without approval. NCM LLC’s liquidity, including our ability to meet our ongoing operational obligations, is dependent upon, among other things: (i) NCM LLC’s ability to comply with the terms and conditions of any cash collateral order that may be entered by the Bankruptcy Court in connection with the Chapter 11 proceedings, (ii) NCM LLC and our ability to maintain adequate cash on hand, (iii) NCM LLC’s ability to generate cash flow from operations, (iv) NCM LLC’s ability to develop, confirm and consummate a Chapter 11 plan or other alternative restructuring transaction, and (v) the cost, duration and outcome of the Chapter 11 Case.</w:t>
      </w:r>
    </w:p>
    <w:p>
      <w:pPr>
        <w:spacing w:after="0" w:line="7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post-NCM LLC’s Chapter 11 proceeding capital structure is yet to be determined, and any changes to our capital structure may have a material adverse effect on holders of our common stock and NCM LLC’s debt and security holders. There is significant risk that the holders of our common stock would receive no recovery under the Chapter 11 Case and that our common stock will be worthless.</w:t>
      </w:r>
    </w:p>
    <w:p>
      <w:pPr>
        <w:spacing w:after="0" w:line="5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We entered into a Restructuring Support Agreement with certain of NCM LLC’s lenders prior to the commencement of the Chapter 11 Case, which provides for a proposed post-bankruptcy capital structure that includes us maintaining an equity ownership in NCM LLC. However, the post-bankruptcy capital structure has yet to be finally determined and will be set pursuant to a plan that requires Bankruptcy Court approval. The reorganization of our capital structure may include exchanges of new debt or equity securities for NCM LLC’s existing debt, equity securities, and claims against NCM LLC. Such new debt may be issued at different interest rates, payment schedules and maturities than NCM LLC’s existing debt securities. NCM LLC’s existing equity securities are subject to a high risk of being cancelled. While this cancellation would not directly cancel our common stock, the cancellation of our ownership interest in NCM LLC would have a significant impact on our ability to continue as a going concern and the potential value available to holders of our common stock. If existing debt or equity holders are adversely affected by a reorganization, it may adversely affect our ability to issue new debt or equity in the future. Although we cannot predict how the claims and interests of stakeholders in the Chapter 11 Case, including holders of NCM LLC’s outstanding security holders, we expect that NCM LLC’s recovery will likely be limited. Consequently, there is a significant risk that the holders of our Class A common stock would receive no recovery under the Chapter 11 Case and that our Class A common stock will be worthless.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a result of the Chapter 11 Case, our financial results may be volatile and may not reflect historical trends.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4" w:name="page25"/>
    <w:bookmarkEnd w:id="24"/>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During the Chapter 11 proceedings, we expect our financial results to be volatile as restructuring activities and expenses, contract terminations and rejections, and claims assessments significantly impact on our consolidated financial statements. Additionally, we may no longer be able to consolidate NCM LLC’s operations with our financial statements if NCM, Inc. no longer controls NCM LLC for accounting purposes. As a result, our historical financial performance is likely not indicative of our financial performance after the date of the bankruptcy filing. In addition, if NCM LLC emerges from Chapter 11, the amounts reported in subsequent consolidated financial statements may materially change relative to historical consolidated financial statements, including as a result of revisions to our operating plans pursuant to a plan of reorganization. We and NCM LLC also may be required to adopt fresh start accounting, in which case our assets and liabilities will be recorded at fair value as of the fresh start reporting date, which may differ materially from the recorded values of assets and liabilities on our consolidated balance sheets. Our financial results after the application of fresh start accounting also may be different from historical trends.</w:t>
      </w:r>
    </w:p>
    <w:p>
      <w:pPr>
        <w:spacing w:after="0" w:line="71"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NCM LLC may be subject to claims that will not be discharged in the Chapter 11 Case, which could have a material adverse effect on our financial conditions and results of operations.</w:t>
      </w:r>
    </w:p>
    <w:p>
      <w:pPr>
        <w:spacing w:after="0" w:line="3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7"/>
          <w:szCs w:val="17"/>
          <w:color w:val="auto"/>
        </w:rPr>
        <w:t>The Bankruptcy Code provides that the confirmation of a plan of reorganization discharges a debtor from substantially all debts arising prior to confirmation. With few exceptions, all claims that arose prior to April 11, 2023, or before confirmation of the plan of reorganization (i) would be subject to compromise and/or treatment under the plan of reorganization and/or (ii) would be discharged in accordance with the terms of the plan of reorganization. Any claims not ultimately discharged through the plan of reorganization could be asserted against the reorganized entities and may have an adverse effect on our financial condition and results of operations on a post-reorganization basis.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increased levels of employee attrition as a result of the Chapter 11 Case and difficulty recruiting replacements</w:t>
      </w:r>
    </w:p>
    <w:p>
      <w:pPr>
        <w:spacing w:after="0" w:line="12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color w:val="auto"/>
        </w:rPr>
        <w:t>As a result of the Chapter 11 Case, we and NCM LLC may experience increased levels of employee attrition, and our employees likely will face considerable distraction and uncertainty. A loss of key personnel or material erosion of employee morale could adversely affect our business and results of operations. Our ability to engage, motivate and retain key employees or take other measures intended to motivate and incentivize key employees to remain with us through the pendency of the Chapter 11 Case may be limited by restrictions on implementation of incentive programs under the Bankruptcy Code. In order to prevent the loss of services of senior management and other employees necessary for NCM LLC’s Chapter 11 Case, we or NCM LLC entered into retention agreements. There can be no assurance that we have identified each employee necessary to the business or that we have adequately compensated these employees to ensure they continue to provide services. The uncertainty caused by the Chapter 11 Case could also cause NCM LLC to be a less desirable employer and make it more difficult to identify and recruit replacement employees as needed. This could impair our ability to execute our strategy and implement operational initiatives, which would be likely to have a material adverse effect on our business, financial condition and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certain instances, a Chapter 11 proceeding may be converted to a proceeding under Chapter 7.</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There can be no assurance as to whether NCM LLC will successfully reorganize under the Chapter 11 Case. If the Bankruptcy Court finds that it would be in the best interest of creditors and/or NCM LLC, the Bankruptcy Court may convert the Chapter 11 Case to proceedings under Chapter 7. In such event, a Chapter 7 trustee would be appointed or elected to liquidate NCM LLC’s assets for distribution in accordance with the priorities established by the Bankruptcy Code. NCM LLC believe that liquidation under Chapter 7 would result in significantly smaller distributions being made to the NCM LLC’s creditors than those provided for in a Chapter 11 plan of reorganization because of (i) the limited value of NCM LLC’s primary assets in a liquidation scenario, (ii) the likelihood that the assets would have to be sold or otherwise disposed of in a disorderly fashion over a short period of time rather than reorganizing or selling in a controlled manner NCM LLC’s businesses as a going concern, (iii) additional administrative expenses involved in the appointment of a Chapter 7 trustee, and (iv) additional expenses and claims, some of which would be entitled to priority, that would be generated during the liquidation and from the rejection of leases and other executory contracts in connection with a cessation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NCM LLC’s Chapter 11 Case may cause our common stock to decrease in value materially or may render our common stock worthless.</w:t>
      </w:r>
    </w:p>
    <w:p>
      <w:pPr>
        <w:spacing w:after="0" w:line="12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NCM LLC has a substantial amount of indebtedness that is senior to the Company’s interest in NCM LLC and our shares of common stock in in our capital structure. Recoveries in the Chapter 11 Case for our equity and for holders of our common stock, if any, will depend upon our ability to negotiate and confirm a plan, the terms of such plan, the performance of our business, the value of NCM LLC’s assets, the value of NCM LLC’s secured notes, a portion of which we hold, and other factors. Although we cannot predict how our equity interest will be treated under a plan at this time, our equity interest may not receive a material, or any, recovery, which will impact the value of our common stock. Consequently, there is a significant risk that the holders of our common stock will ultimately receive little or no recovery under the Chapter 11 Case based on our ownership of NCM LLC’s equity interest and that our common stock will decrease in value materially or become worthless.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5" w:name="page26"/>
    <w:bookmarkEnd w:id="25"/>
    <w:p>
      <w:pPr>
        <w:ind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Trading in shares of our common stock during the pendency of NCM LLC’s Chapter 11 Case is highly speculative and you could lose all or part of your investment.</w:t>
      </w:r>
    </w:p>
    <w:p>
      <w:pPr>
        <w:spacing w:after="0" w:line="3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The price of our common stock has been volatile following the commencement of the Chapter 11 Case and may decrease in value. Accordingly, any trading in our common stock during the pendency of NCM LLC’s Chapter 11 Case is highly speculative and poses substantial risks to purchasers of our common stock. Accordingly, we cannot assure you of the liquidity of an active trading market, your ability to sell your shares of our common stock when desired, or the prices that you may obtain for your shares of our common stock. In the past, following periods of extreme volatility in the market price of a company’s securities, securities class-action litigation has often been instituted against that company. Securities litigation against us could result in substantial costs and a diversion of our management’s attention and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delisted by Nasdaq, which could adversely affect the value and liquidity of our common stock and our ability to raise capital.</w:t>
      </w:r>
    </w:p>
    <w:p>
      <w:pPr>
        <w:spacing w:after="0" w:line="12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Nasdaq Rule 5110 provides that Nasdaq may use its discretionary authority to suspend or terminate the listing of a Company that has filed for protection under any provision of the federal bankruptcy laws. While we have not filed for bankruptcy, it is possible that Nasdaq may still exercise its discretion based on NCM LLC's Chapter 11 Case. We will appeal this decision if it is made, but there is no assurance that we will be able to maintain our continued listing with Nasdaq. The Company does not know the timing of any delisting event if the outcome of the appeal is adverse. Delisting our common stock may adversely impact its liquidity, impair our stockholders’ ability to buy and sell our common stock, impair our ability to raise capital, and the market price of our common stock could decrease. Delisting our common stock could also adversely impact the perception of our financial condition and have additional negative ramifications, including loss of confidence by our employees, the loss of institutional investor interest and fewer business opportunities.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may be unsuccessful in extending the maturity dates of NCM LLC’s Revolving Credit Facilities, amending its Senior Secured Credit Facility to extend a waiver of these financial covenants or obtaining additional debt financing from third parties. The failure to obtain such an extension, waiver or obtain additional debt financing could lead to our failure to pay outstanding debt when due and an event of default, which gives rise to substantial doubt about our ability to continue as a going concern.</w:t>
      </w:r>
    </w:p>
    <w:p>
      <w:pPr>
        <w:spacing w:after="0" w:line="6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7"/>
          <w:szCs w:val="17"/>
          <w:color w:val="auto"/>
        </w:rPr>
        <w:t>The Company has borrowings under two Revolving Credit Facilities with $217.0 million outstanding as of December 29, 2022, that mature on June 20, 2023. The Company does not have available liquidity to repay the full outstanding balance on the date of maturity. Under the Credit Agreement, failure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each tranche of the senior notes, which would allow the indenture trustee or senior note holders of each tranche of senior notes to accelerate the maturity to become due and payable. The Company does not have available liquidity to repay any accelerated principal of term loans or tranches of the outstanding senior notes upon an event of default within one year after the date that the financial statements are issued. Additionally, based on current projections, the Company does not expect to meet certain financial covenants for the period ending March 30, 2023. Further, if the Company’s independent registered public accounting firm includes a “going concern” or like qualification or exception, other than for debt maturing within one year, in its report on the Company’s financial statements for the year ending December 29, 2022, this would be an event of default under the Company’s Credit Agreement at the time the Company’s financial statements for the year ending December 29, 2022 are filed. Under the Credit Agreement, failure to remain in compliance with these covenants or inability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Should the Company’s borrowings become due and payable, the Company would not be able to repay the Company’s total outstanding debt balance. These conditions and events raise substantial doubt about the Company’s ability to continue as a going concern. Management believes it will be able to amend NCM LLC’s Revolving Credit Facilities to extend the maturity dates, amend its Senior Secured Credit Facility to extend a waiver of these financial covenants or obtain additional debt financing through a loan from third parties, and/or NCM, Inc., but there is no assurance that the Company will be successful in completing any of these options in a timely manner, or on acceptable terms, if at all.</w:t>
      </w:r>
    </w:p>
    <w:p>
      <w:pPr>
        <w:spacing w:after="0" w:line="80"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Management believes that based on the Company’s current financial position and liquidity sources, including current cash balances, and forecasted future cash flows, the Company can meet its operating obligations as they become due.</w:t>
      </w:r>
    </w:p>
    <w:p>
      <w:pPr>
        <w:spacing w:after="0" w:line="42"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However, the failure to amend the Revolving Credit Facilities to extend the maturity dates, amend its Senior Secured Credit Facility to extend a waiver of these financial covenants or obtain additional debt financing through a loan from third parties and any associated events of default under the Credit Agreement or NCM LLC’s senior notes would have a material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6" w:name="page27"/>
    <w:bookmarkEnd w:id="26"/>
    <w:p>
      <w:pPr>
        <w:ind w:right="100"/>
        <w:spacing w:after="0" w:line="275" w:lineRule="auto"/>
        <w:rPr>
          <w:sz w:val="20"/>
          <w:szCs w:val="20"/>
          <w:color w:val="auto"/>
        </w:rPr>
      </w:pPr>
      <w:r>
        <w:rPr>
          <w:rFonts w:ascii="Times New Roman" w:cs="Times New Roman" w:eastAsia="Times New Roman" w:hAnsi="Times New Roman"/>
          <w:sz w:val="17"/>
          <w:szCs w:val="17"/>
          <w:color w:val="auto"/>
        </w:rPr>
        <w:t>adverse effect on our financial condition, which gives rise to substantial doubt about our ability to continue as a going concern. If we are unable to continue as a going concern, we may have to file for Chapter 11, liquidate our assets and may receive less than the value at which those assets are carried on our financial statements, and it is likely that investors will lose all or a part of their investment.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ESA with a founding member that has declared bankruptcy may be rejected, renegotiated or deemed unenforceable.</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On September 7, 2022, Cineworld Group plc, the parent company of Regal,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(the “Cineworld Proceeding”). In addition, each of the other founding members currently has a significant amount of indebtedness. As a result of the COVID-19 Pandemic, each of the founding members temporarily closed all of their theaters in the United States and furloughed the majority of their employees for a portion of 2020 and chose to seek additional financing through various methods. As a result of the Cineworld Proceeding, or if a bankruptcy case were commenced by or against another founding member, it is possible that all or part of the ESA with the applicable founding member could be rejected by a trustee in the bankruptcy case pursuant to Section 365 or Section 1123 of the United States Bankruptcy Code, or by the founding member, and thus not be enforceable.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Although there can be no assurances that NCM LLC’s request for declaratory relief will be successful, the Company believes these rights will survive any attempted rejection in the bankruptcy court by Regal. While the Cineworld Proceeding is currently ongoing and the potential impact of the Cineworld Proceeding on NCM LLC’s operations is unknown, in the event that NCM LLC’s agreements with Regal and its affiliates is rejected or renegotiated, it could have a materially negative impact on the Company’s operations or financial condition. In addition, as a part of the Cineworld Proceeding, Regal has announced plans to optimize the number of theaters it operates and has announced the closures of certain theaters. Should Regal or another founding member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28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Pandemics, epidemics or disease outbreaks, such as the novel coronavirus (COVID-19 virus), have disrupted and are continuing to disrupt our business and the business of our founding members and network affiliates, which has and could continue to materially affect our operations, liquidity and results of operations.</w:t>
      </w:r>
    </w:p>
    <w:p>
      <w:pPr>
        <w:spacing w:after="0" w:line="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Pandemics or disease outbreaks such as the novel coronavirus (COVID-19 virus), including variants, have and are continuing to disrupt our business and the business of our founding members’ and network affiliates’ theaters. Our founding members and network affiliates’ theaters continue to remain open and are not currently subject to government regulations that are as restrictive as the early stages of the COVID-19 Pandemic. There can be no assurance that the COVID-19 Pandemic and associated impacts will not return in the future, or a future pandemic will not lead to public safety restrictions or consumer behavior that will negatively impact our business, advertiser sentiment, or audience attendance.</w:t>
      </w:r>
    </w:p>
    <w:p>
      <w:pPr>
        <w:spacing w:after="0" w:line="6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In-theater advertising revenue remained below historical levels in 2021 and 2022. Overall theatrical attendance remained below historical attendance prior to the COVID-19 Pandemic even though certain released films achieved attendance that was comparable to levels prior to the COVID-19 Pandemic. However, many of the films expected to be released were released simultaneously in theaters and through other distribution methods, including streaming or premium video-on-demand, released directly to streaming or delayed as a revenue strategy or because of production delays, which impacted attendance. The uncertainty created by the COVID-19 pandemic limited our ability to participate in the 2021 advertising upfront impacting our typical mix of upfront and scatter revenue throughout 2021 and 2022.</w:t>
      </w:r>
    </w:p>
    <w:p>
      <w:pPr>
        <w:spacing w:after="0" w:line="67"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We believe that the exhibition industry has historically fared well during periods of economic stress, and we remain optimistic, though cannot guarantee, that the theatrical business and attendance figures will continue to rebound. However, the ultimate significance of the COVID-19 Pandemic or other future pandemics, on our business is still unknown. We are monitoring the rapidly evolving situation and its potential impacts on our financial position, results of operations, liquidity and cash flows.</w:t>
      </w:r>
    </w:p>
    <w:p>
      <w:pPr>
        <w:spacing w:after="0" w:line="63" w:lineRule="exact"/>
        <w:rPr>
          <w:sz w:val="20"/>
          <w:szCs w:val="20"/>
          <w:color w:val="auto"/>
        </w:rPr>
      </w:pPr>
    </w:p>
    <w:p>
      <w:pPr>
        <w:ind w:right="260" w:firstLine="509"/>
        <w:spacing w:after="0" w:line="269" w:lineRule="auto"/>
        <w:rPr>
          <w:sz w:val="20"/>
          <w:szCs w:val="20"/>
          <w:color w:val="auto"/>
        </w:rPr>
      </w:pPr>
      <w:r>
        <w:rPr>
          <w:rFonts w:ascii="Times New Roman" w:cs="Times New Roman" w:eastAsia="Times New Roman" w:hAnsi="Times New Roman"/>
          <w:sz w:val="17"/>
          <w:szCs w:val="17"/>
          <w:color w:val="auto"/>
        </w:rPr>
        <w:t>Due to the impacts to our operations, we were required to take drastic measures to ensure our business survived the COVID-19 Pandemic, including incurring additional debt financing, furloughing and terminating employees, extending payment terms on accounts payable, and reducing or delaying planned operating and capital expenditures. The ultimate impact of these actions on our operations in the future remains to be seen, including increased difficulties in accessing lending or capital markets or other sources of liquidity, increased employee turnover or litigation, actual or potential impairment charges,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7" w:name="page28"/>
    <w:bookmarkEnd w:id="27"/>
    <w:p>
      <w:pPr>
        <w:ind w:right="120"/>
        <w:spacing w:after="0" w:line="266" w:lineRule="auto"/>
        <w:rPr>
          <w:sz w:val="20"/>
          <w:szCs w:val="20"/>
          <w:color w:val="auto"/>
        </w:rPr>
      </w:pPr>
      <w:r>
        <w:rPr>
          <w:rFonts w:ascii="Times New Roman" w:cs="Times New Roman" w:eastAsia="Times New Roman" w:hAnsi="Times New Roman"/>
          <w:sz w:val="17"/>
          <w:szCs w:val="17"/>
          <w:color w:val="auto"/>
        </w:rPr>
        <w:t>and advertisers perception and willingness to invest with us. Additionally, many of our founding members and network affiliates were also required to take significant actions during the COVID-19 Pandemic and these actions may lead to decreased attendance in the future and may cause financial distress. Even the perception that our business or the business of founding members and network affiliates may be impacted, could lead to decreased advertising expenditures and other significant disruption to our business. Future pandemics could require us to implement measures similar to those implemented in response to the COVID-19 Pandemic.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declines in theater attendance could reduce the attractiveness of cinema advertising and could reduce our revenue.</w:t>
      </w:r>
    </w:p>
    <w:p>
      <w:pPr>
        <w:spacing w:after="0" w:line="16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Our business is affected by the level of attendance at the theaters in our advertising network that operate in a highly competitive industry and whose attendance is reliant on the presence of motion pictures that attract audiences. Over the 10 years prior to 2020,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w:t>
      </w:r>
    </w:p>
    <w:p>
      <w:pPr>
        <w:spacing w:after="0" w:line="63"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7"/>
          <w:szCs w:val="17"/>
          <w:color w:val="auto"/>
        </w:rPr>
        <w:t>The COVID-19 Pandemic led to several changes impacting patron attendance at theaters including studios electing to shorten or eliminate the “release window” between the release of major motion pictures to alternative delivery methods or released motion pictures directly to alternative delivery methods bypassing the theater entirely. Certain patrons avoided crowds and other public indoor spaces and governments restrictions impacted the ability of theaters to operate at normal capacity. Following some successful theatrical releases in 2021 and many successful theatrical releases in 2022, it is unclear whether consumers and studios will revert to their pre-COVID-19 Pandemic behavior or if these changes are long-term trends. Additional factors that could reduce attendance at our network theaters include the following:</w:t>
      </w:r>
    </w:p>
    <w:p>
      <w:pPr>
        <w:spacing w:after="0" w:line="67" w:lineRule="exact"/>
        <w:rPr>
          <w:sz w:val="20"/>
          <w:szCs w:val="20"/>
          <w:color w:val="auto"/>
        </w:rPr>
      </w:pPr>
    </w:p>
    <w:p>
      <w:pPr>
        <w:ind w:left="640" w:right="100" w:hanging="322"/>
        <w:spacing w:after="0" w:line="27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NCM LLC’s network theater circuits cannot compete with other entertainment due to an increase in the use of alternative film delivery methods (and the shortening or elimination of the “release window” of major motion pictures bypassing the theater entirely), including network and online video streaming and downloads;</w:t>
      </w:r>
    </w:p>
    <w:p>
      <w:pPr>
        <w:spacing w:after="0" w:line="59" w:lineRule="exact"/>
        <w:rPr>
          <w:rFonts w:ascii="Times New Roman" w:cs="Times New Roman" w:eastAsia="Times New Roman" w:hAnsi="Times New Roman"/>
          <w:sz w:val="17"/>
          <w:szCs w:val="17"/>
          <w:color w:val="auto"/>
        </w:rPr>
      </w:pPr>
    </w:p>
    <w:p>
      <w:pPr>
        <w:ind w:left="640" w:right="100" w:hanging="322"/>
        <w:spacing w:after="0" w:line="27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theater circuits in NCM LLC’s network are expected to continue to renovate auditoriums in certain of their theaters to install new larger, more comfortable seating or adjust seating arrangements, reducing the number of seats and the audience size in a theater auditorium. These renovations have been viewed favorably by patrons and many theater circuits have noted an intent to continue such renovations;</w:t>
      </w:r>
    </w:p>
    <w:p>
      <w:pPr>
        <w:spacing w:after="0" w:line="59" w:lineRule="exact"/>
        <w:rPr>
          <w:rFonts w:ascii="Times New Roman" w:cs="Times New Roman" w:eastAsia="Times New Roman" w:hAnsi="Times New Roman"/>
          <w:sz w:val="17"/>
          <w:szCs w:val="17"/>
          <w:color w:val="auto"/>
        </w:rPr>
      </w:pPr>
    </w:p>
    <w:p>
      <w:pPr>
        <w:ind w:left="640" w:right="32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changes in theater operating policies, including the number and length of trailers for films that are played prior to the start of the feature film, which may result in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starting further out from the actual start of the feature film;</w:t>
      </w:r>
    </w:p>
    <w:p>
      <w:pPr>
        <w:spacing w:after="0" w:line="41" w:lineRule="exact"/>
        <w:rPr>
          <w:rFonts w:ascii="Times New Roman" w:cs="Times New Roman" w:eastAsia="Times New Roman" w:hAnsi="Times New Roman"/>
          <w:sz w:val="17"/>
          <w:szCs w:val="17"/>
          <w:color w:val="auto"/>
        </w:rPr>
      </w:pPr>
    </w:p>
    <w:p>
      <w:pPr>
        <w:ind w:left="640" w:right="40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reduction in consumer confidence or disposable income in general that reduces the demand for motion pictures or adversely affects the motion picture production or exhibition industries;</w:t>
      </w:r>
    </w:p>
    <w:p>
      <w:pPr>
        <w:spacing w:after="0" w:line="41" w:lineRule="exact"/>
        <w:rPr>
          <w:rFonts w:ascii="Times New Roman" w:cs="Times New Roman" w:eastAsia="Times New Roman" w:hAnsi="Times New Roman"/>
          <w:sz w:val="17"/>
          <w:szCs w:val="17"/>
          <w:color w:val="auto"/>
        </w:rPr>
      </w:pPr>
    </w:p>
    <w:p>
      <w:pPr>
        <w:ind w:left="640" w:right="38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first-run motion pictures, which depends upon the number of films produced for theater exhibition and the production and marketing efforts of the major studios and the attractiveness and value proposition of the movies to consumers compared to other forms of entertainment;</w:t>
      </w:r>
    </w:p>
    <w:p>
      <w:pPr>
        <w:spacing w:after="0" w:line="41"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political events, such as terrorist attacks, or health-related epidemics, such as flu outbreaks and pandemics, such as the COVID-19 Pandemic, cause consumers to avoid movie theaters or other places where large crowds are in attendance;</w:t>
      </w:r>
    </w:p>
    <w:p>
      <w:pPr>
        <w:spacing w:after="0" w:line="41"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regulations or theater operating policies that require higher levels of social distancing, restriction of capacity or prohibition of operations, including those put in place as a response to the COVID-19 Pandemic;</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theaters in our network fail to maintain and clean their theaters and provide amenities that consumers prefer;</w:t>
      </w:r>
    </w:p>
    <w:p>
      <w:pPr>
        <w:spacing w:after="0" w:line="117" w:lineRule="exact"/>
        <w:rPr>
          <w:rFonts w:ascii="Times New Roman" w:cs="Times New Roman" w:eastAsia="Times New Roman" w:hAnsi="Times New Roman"/>
          <w:sz w:val="17"/>
          <w:szCs w:val="17"/>
          <w:color w:val="auto"/>
        </w:rPr>
      </w:pPr>
    </w:p>
    <w:p>
      <w:pPr>
        <w:jc w:val="both"/>
        <w:ind w:left="640" w:right="260" w:hanging="322"/>
        <w:spacing w:after="0" w:line="27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future theater attendance declines significantly over an extended time period, including as a result of the COVID-19 Pandemic, one or more of the founding members or network affiliates may face financial difficulties and could be forced to sell or close theaters or reduce the number of screens it builds or upgrades or increase ticket prices; and</w:t>
      </w:r>
    </w:p>
    <w:p>
      <w:pPr>
        <w:spacing w:after="0" w:line="59"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LLC’s network theater circuits also may not successfully compete for licenses to exhibit quality films and are not assured a consistent supply of motion pictures.</w:t>
      </w:r>
    </w:p>
    <w:p>
      <w:pPr>
        <w:spacing w:after="0" w:line="42"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Any of these circumstances could reduce our revenue because our national and regional advertising revenue, and local advertising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8" w:name="page29"/>
    <w:bookmarkEnd w:id="28"/>
    <w:p>
      <w:pPr>
        <w:ind w:right="40"/>
        <w:spacing w:after="0" w:line="295" w:lineRule="auto"/>
        <w:rPr>
          <w:sz w:val="20"/>
          <w:szCs w:val="20"/>
          <w:color w:val="auto"/>
        </w:rPr>
      </w:pPr>
      <w:r>
        <w:rPr>
          <w:rFonts w:ascii="Times New Roman" w:cs="Times New Roman" w:eastAsia="Times New Roman" w:hAnsi="Times New Roman"/>
          <w:sz w:val="17"/>
          <w:szCs w:val="17"/>
          <w:color w:val="auto"/>
        </w:rPr>
        <w:t>also lead to volatility within our utilization, which typically varies more than 10% on an annual basis and we experience even more substantial volatility quarter-to-quarter.</w:t>
      </w:r>
    </w:p>
    <w:p>
      <w:pPr>
        <w:spacing w:after="0" w:line="38" w:lineRule="exact"/>
        <w:rPr>
          <w:sz w:val="20"/>
          <w:szCs w:val="20"/>
          <w:color w:val="auto"/>
        </w:rPr>
      </w:pPr>
    </w:p>
    <w:p>
      <w:pPr>
        <w:ind w:right="6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theater patron behavior could result in declines in the viewership of our Noovie® show which could reduce the attractiveness of cinema advertising and our revenues.</w:t>
      </w:r>
    </w:p>
    <w:p>
      <w:pPr>
        <w:spacing w:after="0" w:line="103"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Trends in patron behavior that could reduce viewership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include the following:</w:t>
      </w:r>
    </w:p>
    <w:p>
      <w:pPr>
        <w:spacing w:after="0" w:line="59" w:lineRule="exact"/>
        <w:rPr>
          <w:sz w:val="20"/>
          <w:szCs w:val="20"/>
          <w:color w:val="auto"/>
        </w:rPr>
      </w:pPr>
    </w:p>
    <w:p>
      <w:pPr>
        <w:ind w:left="640" w:hanging="322"/>
        <w:spacing w:after="0" w:line="27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theater patrons are increasingly purchasing tickets ahead of time via online ticketing mediums and when available reserving a seat in the theater (offered in a significant percentage of our network), which could affect how early patrons arrive to the theater and reduce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9"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COVID-19 Pandemic, certain consumers changed their behavior in order to avoid large groups and other public indoor activities, and these behavior changes could become a long-term trend;</w:t>
      </w:r>
    </w:p>
    <w:p>
      <w:pPr>
        <w:spacing w:after="0" w:line="41" w:lineRule="exact"/>
        <w:rPr>
          <w:rFonts w:ascii="Times New Roman" w:cs="Times New Roman" w:eastAsia="Times New Roman" w:hAnsi="Times New Roman"/>
          <w:sz w:val="17"/>
          <w:szCs w:val="17"/>
          <w:color w:val="auto"/>
        </w:rPr>
      </w:pPr>
    </w:p>
    <w:p>
      <w:pPr>
        <w:ind w:left="640" w:right="120" w:hanging="322"/>
        <w:spacing w:after="0" w:line="27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w:t>
      </w:r>
    </w:p>
    <w:p>
      <w:pPr>
        <w:spacing w:after="0" w:line="5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theater patron amenities, including bars and entertainment within exhibitor lobbies causing increased dwell time of patrons.</w:t>
      </w:r>
    </w:p>
    <w:p>
      <w:pPr>
        <w:spacing w:after="0" w:line="118" w:lineRule="exact"/>
        <w:rPr>
          <w:sz w:val="20"/>
          <w:szCs w:val="20"/>
          <w:color w:val="auto"/>
        </w:rPr>
      </w:pPr>
    </w:p>
    <w:p>
      <w:pPr>
        <w:ind w:right="240" w:firstLine="509"/>
        <w:spacing w:after="0" w:line="295" w:lineRule="auto"/>
        <w:rPr>
          <w:sz w:val="20"/>
          <w:szCs w:val="20"/>
          <w:color w:val="auto"/>
        </w:rPr>
      </w:pPr>
      <w:r>
        <w:rPr>
          <w:rFonts w:ascii="Times New Roman" w:cs="Times New Roman" w:eastAsia="Times New Roman" w:hAnsi="Times New Roman"/>
          <w:sz w:val="17"/>
          <w:szCs w:val="17"/>
          <w:color w:val="auto"/>
        </w:rPr>
        <w:t>National advertising sales and rates are dependent on the methodology used to measure audience impressions. If a change is made to this methodology that reflects fewer audience impressions available during the show, this could adversely affect the Company’s revenue and results of operations.</w:t>
      </w:r>
    </w:p>
    <w:p>
      <w:pPr>
        <w:spacing w:after="0" w:line="38" w:lineRule="exact"/>
        <w:rPr>
          <w:sz w:val="20"/>
          <w:szCs w:val="20"/>
          <w:color w:val="auto"/>
        </w:rPr>
      </w:pPr>
    </w:p>
    <w:p>
      <w:pPr>
        <w:ind w:right="4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the non-competition provisions of the ESAs are deemed unenforceable, the founding members could compete against us and our business could be adversely affected.</w:t>
      </w:r>
    </w:p>
    <w:p>
      <w:pPr>
        <w:spacing w:after="0" w:line="3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65" w:lineRule="exact"/>
        <w:rPr>
          <w:sz w:val="20"/>
          <w:szCs w:val="20"/>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necessary to protect a legitimate business interest of the party seeking enforcement;</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unreasonably restrains the party against whom enforcement is sought; or</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contrary to the public interest.</w:t>
      </w:r>
    </w:p>
    <w:p>
      <w:pPr>
        <w:spacing w:after="0" w:line="11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color w:val="auto"/>
        </w:rPr>
        <w:t>Enforceability of a non-competition covenant is determined by a court based on all of the facts and circumstances of the specific case at the time enforcement is sought, including the type of court hearing the matter.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 and could have a material negative impact on our business. In connection with the Cineworld Proceeding, NCM LLC has also filed an adversary proceeding against Regal Cinemas, Inc. seeking declaratory relief and an injunction prohibiting Regal Cinemas, Inc. from breaching certain exclusivity, non-compete, non-negotiate and confidentiality provisions in the ESA. The bankruptcy court may be a less favorable venue for adjudicating the implicated provisions.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anticipated benefits of the 2019 ESA Amendments.</w:t>
      </w:r>
    </w:p>
    <w:p>
      <w:pPr>
        <w:spacing w:after="0" w:line="20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 xml:space="preserve">On September 17, 2019, NCM LLC entered into the 2019 ESA Amendments with affiliates of Cinemark and Regal. Among other things, the 2019 ESA Amendments provide that, beginning November 1, 2019, NCM LLC is entitled to display up to five minutes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show after the scheduled showtime of a feature film and a Platinum Spot that is either 30 or 60 seconds of the </w:t>
      </w:r>
      <w:r>
        <w:rPr>
          <w:rFonts w:ascii="Times New Roman" w:cs="Times New Roman" w:eastAsia="Times New Roman" w:hAnsi="Times New Roman"/>
          <w:sz w:val="17"/>
          <w:szCs w:val="17"/>
          <w:i w:val="1"/>
          <w:iCs w:val="1"/>
          <w:color w:val="auto"/>
        </w:rPr>
        <w:t>Noovie show</w:t>
      </w:r>
      <w:r>
        <w:rPr>
          <w:rFonts w:ascii="Times New Roman" w:cs="Times New Roman" w:eastAsia="Times New Roman" w:hAnsi="Times New Roman"/>
          <w:sz w:val="17"/>
          <w:szCs w:val="17"/>
          <w:color w:val="auto"/>
        </w:rPr>
        <w:t xml:space="preserve"> in the trailer position directly prior to the “attached” trailers preceding the feature film. The COVID-19 Pandemic occurred shortly after NCM LLC was entitled to this inventory, disrupting our ability to utilize it.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9" w:name="page30"/>
    <w:bookmarkEnd w:id="29"/>
    <w:p>
      <w:pPr>
        <w:ind w:right="160" w:firstLine="509"/>
        <w:spacing w:after="0" w:line="295" w:lineRule="auto"/>
        <w:rPr>
          <w:sz w:val="20"/>
          <w:szCs w:val="20"/>
          <w:color w:val="auto"/>
        </w:rPr>
      </w:pPr>
      <w:r>
        <w:rPr>
          <w:rFonts w:ascii="Times New Roman" w:cs="Times New Roman" w:eastAsia="Times New Roman" w:hAnsi="Times New Roman"/>
          <w:sz w:val="17"/>
          <w:szCs w:val="17"/>
          <w:color w:val="auto"/>
        </w:rPr>
        <w:t>We expect the 2019 ESA Amendments to ultimately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40" w:lineRule="exact"/>
        <w:rPr>
          <w:sz w:val="20"/>
          <w:szCs w:val="20"/>
          <w:color w:val="auto"/>
        </w:rPr>
      </w:pPr>
    </w:p>
    <w:p>
      <w:pPr>
        <w:ind w:left="640" w:right="120" w:hanging="322"/>
        <w:spacing w:after="0" w:line="277"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behavior of theater patrons may change in response to the display of a portion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after the advertised showtime, or in response to the combination of advertising and trailers before the start of the feature film, resulting in a reduction to the number of patrons that are in a theater seat to view most or all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56"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potential advertisers may not view the Post-Showtime Inventory as attractive due to inability to run across our entire network or view it as a premium advertising opportunity and the average CPMs for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may not increase as much as anticipated, or at all;</w:t>
      </w:r>
    </w:p>
    <w:p>
      <w:pPr>
        <w:spacing w:after="0" w:line="41" w:lineRule="exact"/>
        <w:rPr>
          <w:rFonts w:ascii="Times New Roman" w:cs="Times New Roman" w:eastAsia="Times New Roman" w:hAnsi="Times New Roman"/>
          <w:sz w:val="17"/>
          <w:szCs w:val="17"/>
          <w:color w:val="auto"/>
        </w:rPr>
      </w:pPr>
    </w:p>
    <w:p>
      <w:pPr>
        <w:ind w:left="640" w:right="360" w:hanging="322"/>
        <w:spacing w:after="0" w:line="29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 may not satisfy the minimum average CPM or the other restrictions which are required by the 2019 ESA Amendments for it to have the right to display the Platinum Spot for more than one concurrent advertiser;</w:t>
      </w:r>
    </w:p>
    <w:p>
      <w:pPr>
        <w:spacing w:after="0" w:line="41" w:lineRule="exact"/>
        <w:rPr>
          <w:rFonts w:ascii="Times New Roman" w:cs="Times New Roman" w:eastAsia="Times New Roman" w:hAnsi="Times New Roman"/>
          <w:sz w:val="17"/>
          <w:szCs w:val="17"/>
          <w:color w:val="auto"/>
        </w:rPr>
      </w:pPr>
    </w:p>
    <w:p>
      <w:pPr>
        <w:ind w:left="640" w:right="240" w:hanging="322"/>
        <w:spacing w:after="0" w:line="27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extended length of time between the advertised showtime and the beginning of the feature film may decrease the average CPM for that portion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appearing before the advertised showtime, which may partially or fully offset any increase in average CPM for the Post-Showtime Inventory; and</w:t>
      </w:r>
    </w:p>
    <w:p>
      <w:pPr>
        <w:spacing w:after="0" w:line="59" w:lineRule="exact"/>
        <w:rPr>
          <w:rFonts w:ascii="Times New Roman" w:cs="Times New Roman" w:eastAsia="Times New Roman" w:hAnsi="Times New Roman"/>
          <w:sz w:val="17"/>
          <w:szCs w:val="17"/>
          <w:color w:val="auto"/>
        </w:rPr>
      </w:pPr>
    </w:p>
    <w:p>
      <w:pPr>
        <w:ind w:left="640" w:right="220" w:hanging="322"/>
        <w:spacing w:after="0" w:line="29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theater access fees payable to Cinemark and Regal in connection with the Post-Showtime Inventory and revenue share applicable to the Platinum Spot may exceed the increase, if any, in revenue resulting from the 2019 ESA Amendments.</w:t>
      </w:r>
    </w:p>
    <w:p>
      <w:pPr>
        <w:spacing w:after="0" w:line="42"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The anticipated benefits we expect to receive as a result of the 2019 ESA Amendments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increasing the number of theaters in which NCM LLC has the right to display Post-Showtime Inventory.</w:t>
      </w:r>
    </w:p>
    <w:p>
      <w:pPr>
        <w:spacing w:after="0" w:line="19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 xml:space="preserve">As a result of the 2019 ESA Amendments, NCM LLC is entitled to display up to five minutes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show after the scheduled showtime of a feature film and a Platinum Spot that is either 30 or 60 seconds of the </w:t>
      </w:r>
      <w:r>
        <w:rPr>
          <w:rFonts w:ascii="Times New Roman" w:cs="Times New Roman" w:eastAsia="Times New Roman" w:hAnsi="Times New Roman"/>
          <w:sz w:val="17"/>
          <w:szCs w:val="17"/>
          <w:i w:val="1"/>
          <w:iCs w:val="1"/>
          <w:color w:val="auto"/>
        </w:rPr>
        <w:t>Noovie show</w:t>
      </w:r>
      <w:r>
        <w:rPr>
          <w:rFonts w:ascii="Times New Roman" w:cs="Times New Roman" w:eastAsia="Times New Roman" w:hAnsi="Times New Roman"/>
          <w:sz w:val="17"/>
          <w:szCs w:val="17"/>
          <w:color w:val="auto"/>
        </w:rPr>
        <w:t xml:space="preserve"> in the trailer position directly prior to the “attached” trailers preceding the feature film. We also entered into agreements to obtain similar access to similar inventory with certain of our other current network affiliates. At this time NCM LLC is displaying Post-Showtime Inventory in theaters that constitute approximately 59% of the attendance in our network as of December 29, 2022.</w:t>
      </w:r>
    </w:p>
    <w:p>
      <w:pPr>
        <w:spacing w:after="0" w:line="6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There can be no assurance that our efforts with current and potential network affiliates will be successful in increasing either the number of theaters in which NCM LLC has the right to display advertising, including Post-Showtime Inventory. Certain of our theater partners have previously indicated that they have no plans to introduce our Post-Showtime Inventory in their theaters. In addition, any agreements with other network affiliates or new network affiliates may be on terms less favorable to us than the current network affiliate agreements and the 2019 ESA Amendments. If we are unable to expand the number of theaters displaying our advertising, including the Post-Showtime Inventory, we will be limited to only experiencing the benefit of our advertising in our current theaters and our Post-Showtime Inventory, if any, in Cinemark, Regal and participating affiliate theaters.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the ESAs with, or lack of support by, the founding members could adversely affect our revenue, growth and profitability.</w:t>
      </w:r>
    </w:p>
    <w:p>
      <w:pPr>
        <w:spacing w:after="0" w:line="12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The ESAs with the founding members are critical to our business. The ESA with AMC has an initial term of 30 years and the ESAs with Cinemark and Regal (as amended by the 2019 ESA Amendments) have a term of 34 years, each such term beginning February 13, 2007. Each ESA provides NCM LLC with a five-year right of first refusal for the services that it provides to the founding members, which begins one year prior to the end of the term of each respective ESA. The founding members’ theaters represent approximately 79.9% of the screens and approximately 81.0% of the attendance in our network as of December 29, 2022. If any one of the ESAs was terminated, not renewed at its expiration or found to be unenforceable, it could have a material negative impact on our revenue, profitability and financial condition.</w:t>
      </w:r>
    </w:p>
    <w:p>
      <w:pPr>
        <w:spacing w:after="0" w:line="6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The ESAs require the continuing cooperation, investment and support of the founding members, the absence of which could adversely affect us. Pursuant to the ESAs, the founding members must make investments to replace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founding members the right to object to certain content in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show, including content that competes with us or the applicable founding member. If the founding members do not agree with our decisions on what content, strategic program or partnerships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0" w:name="page31"/>
    <w:bookmarkEnd w:id="30"/>
    <w:p>
      <w:pPr>
        <w:ind w:right="60"/>
        <w:spacing w:after="0" w:line="266" w:lineRule="auto"/>
        <w:rPr>
          <w:sz w:val="20"/>
          <w:szCs w:val="20"/>
          <w:color w:val="auto"/>
        </w:rPr>
      </w:pPr>
      <w:r>
        <w:rPr>
          <w:rFonts w:ascii="Times New Roman" w:cs="Times New Roman" w:eastAsia="Times New Roman" w:hAnsi="Times New Roman"/>
          <w:sz w:val="17"/>
          <w:szCs w:val="17"/>
          <w:color w:val="auto"/>
        </w:rPr>
        <w:t>are permitted under the ESAs, we may lose advertising clients and the resulting revenue, which would harm our business. Regal and its affiliates are currently in bankruptcy and it is unknown if Regal will continue to cooperate, invest and support the business during the pendency of the bankruptcy process. While founding members are eligible to be issued additional shares pursuant to the terms of the common unit adjustment agreement, two of our founding members currently have zero membership units following the redemption of their common membership units. We are uncertain how these founding members’ lack of ownership interest in NCM LLC may affect its cooperation with us under its ESA or otherwise going forward.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plans for developing additional digital or digital out-of-home revenue opportunities may not be implemented and may not be achieved.</w:t>
      </w:r>
    </w:p>
    <w:p>
      <w:pPr>
        <w:spacing w:after="0" w:line="12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7"/>
          <w:szCs w:val="17"/>
          <w:color w:val="auto"/>
        </w:rPr>
        <w:t xml:space="preserve">We have invested significant resources in pursuing potential opportunities for revenue growth, which we describe in this annual report on Form 10-K under “Business—Our Strategy.” We had 273.7 million and 374.4 million unique data records as of December 30, 2021 and December 29, 2022, respectively. These valuable unique data records consist of both our own NCM first-party data from our owned-and-operated digital products, and a variety of key second-and third-party data addressable consumer records, including location-based data that allows us to track when our audiences go to the movie theater to see our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show and where they go in the days and weeks afterwards. Our ability to increase our unique data records requires us to invest in third-party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relationships, to comply with evolving privacy and data security laws, rules and regulations and to develop innovative digital properties that will increase the number of users of our online and mobile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maintain a critical mass of audience data to make our digital offering more attractive to advertisers, including national brands who buy both our national and regional advertising inventory.</w:t>
      </w:r>
    </w:p>
    <w:p>
      <w:pPr>
        <w:spacing w:after="0" w:line="75"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a method to help expand our cinema advertising business as it matures. Additionally, the COVID-19 Pandemic has impacted the consumer traffic and available impressions at a number of locations we have the right to display digital out-of-home advertising, and the traffic may not recover to historic levels. As such, there can be no assurance that we will recoup our investments made pursuing this business.</w:t>
      </w:r>
    </w:p>
    <w:p>
      <w:pPr>
        <w:spacing w:after="0" w:line="2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6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personal information we collect and maintain through our online and mobile services, as well as from third-party sources, may expose us to liability or cause us to incur greater operating expenses.</w:t>
      </w:r>
    </w:p>
    <w:p>
      <w:pPr>
        <w:spacing w:after="0" w:line="3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We collect personal information from users of our websites or apps, including those users who establish accounts, or users who view certain advertising displayed through our online and mobile services. We receive certain personal information regarding consumers who enter the theaters in our network, including places visited before entering the theater and after leaving the theater, from third parties to supplement or enhance the information we collect and maintain about users of our online and mobile services or individuals who view advertising or enter theaters. We also collect personal information relating to individuals who are job applicants, employees, stockholders, directors, officers and independent contractors of NCM, as well as emergency contact information they provide. In addition, we collect personal information relating to employees, owners, directors, officers and independent contractors of other organizations within the context of conducting due diligence regarding or providing or receiving a product or service to or from such organization. The collection and use of this information is governed by applicable privacy, information security and consumer protection laws and regulations that continue to evolve and may be inconsistent from one jurisdiction to another. Compliance with all such laws and regulations may increase our operating costs and adversely impact our ability to offer our clients advertising targeted to moviegoer demographics or to interact with users of our online and mobile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we could incur significant costs notifying affected individuals and providing them with credit monitoring services. The market perception of the effectiveness of our security measures could also be harmed, and we could lose users of these services and the associated benefits from gathering such user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1" w:name="page32"/>
    <w:bookmarkEnd w:id="31"/>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or rules relating to privacy, data security, the Internet or other areas of our online or mobile services may result in the need to alter our business practices or incur greater operating expenses.</w:t>
      </w:r>
    </w:p>
    <w:p>
      <w:pPr>
        <w:spacing w:after="0" w:line="3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7"/>
          <w:szCs w:val="17"/>
          <w:color w:val="auto"/>
        </w:rPr>
        <w:t>A number of statutes, regulations and rules may impact our business as a result of our online or mobile services and our use of personal information we receive from third parties. For example, privacy laws that have passed or are being contemplated give, or will give, individuals additional rights with regards to the collection, use, access to, correction, deletion, selling, sharing and protection of their personal information and sensitive personal information. The costs of compliance with privacy laws, regulations and rules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claims, adverse rulings or damages, the reduction or elimination of features, functionality or content from our online or mobile services, or our inability to use unique data records effectively. Likewise, any failure on our part to comply with these and other regulations may subject us to additional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markets for advertising are competitive and we may be unable to compete successfully.</w:t>
      </w:r>
    </w:p>
    <w:p>
      <w:pPr>
        <w:spacing w:after="0" w:line="122"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w:t>
      </w:r>
    </w:p>
    <w:p>
      <w:pPr>
        <w:spacing w:after="0" w:line="258" w:lineRule="auto"/>
        <w:rPr>
          <w:sz w:val="20"/>
          <w:szCs w:val="20"/>
          <w:color w:val="auto"/>
        </w:rPr>
      </w:pPr>
      <w:r>
        <w:rPr>
          <w:rFonts w:ascii="Times New Roman" w:cs="Times New Roman" w:eastAsia="Times New Roman" w:hAnsi="Times New Roman"/>
          <w:sz w:val="17"/>
          <w:szCs w:val="17"/>
          <w:color w:val="auto"/>
        </w:rPr>
        <w:t>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In addition, the pricing and volume of advertising may be affected by shifts in spending toward digital platforms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including changes in prospects caused by inflationary pressures, pandemics or other events. If we cannot respond effectively to media marketplace changes, advertising market changes, new entrants or advances by our existing competitors, our business may be adversely affected.</w:t>
      </w:r>
    </w:p>
    <w:p>
      <w:pPr>
        <w:spacing w:after="0" w:line="73"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color w:val="auto"/>
        </w:rPr>
        <w:t>Additionally, the number of films and mix of film ratings of the available motion pictures, such as the proportion of G and PG rated films or a shift in the types and numbers of films being shown in theaters, could cause advertisers to reduce their spending with us as the theater patrons for the available films may not represent those advertisers’ target markets.</w:t>
      </w:r>
    </w:p>
    <w:p>
      <w:pPr>
        <w:spacing w:after="0" w:line="59" w:lineRule="exact"/>
        <w:rPr>
          <w:sz w:val="20"/>
          <w:szCs w:val="20"/>
          <w:color w:val="auto"/>
        </w:rPr>
      </w:pPr>
    </w:p>
    <w:p>
      <w:pPr>
        <w:ind w:right="20" w:firstLine="313"/>
        <w:spacing w:after="0" w:line="275" w:lineRule="auto"/>
        <w:rPr>
          <w:sz w:val="20"/>
          <w:szCs w:val="20"/>
          <w:color w:val="auto"/>
        </w:rPr>
      </w:pPr>
      <w:r>
        <w:rPr>
          <w:rFonts w:ascii="Times New Roman" w:cs="Times New Roman" w:eastAsia="Times New Roman" w:hAnsi="Times New Roman"/>
          <w:sz w:val="17"/>
          <w:szCs w:val="17"/>
          <w:color w:val="auto"/>
        </w:rPr>
        <w:t>Advertising demand also impacts the price (CPM) we are able to charge our clients. Due to increased competition, combined with seasonal marketplace supply and demand characteristics, we have experienced volatility in our pricing (CPMs) over the years, with annual national CPM increases (decreases) ranging from (4.2%) to 23.6% from 2015 to 2022 (excluding 2020).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continue to upgrade our technology, our business could fail to grow and revenue and operating margins could decline.</w:t>
      </w:r>
    </w:p>
    <w:p>
      <w:pPr>
        <w:spacing w:after="0" w:line="12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In early 2021, we implemented a new cinema advertising management system which was developed by a third-party vendor. This system replaced many of our internally developed systems and provide delivery optimization, inventory management and monetization, intelligent dynamic scheduling, increased flexibility, and workflow automation. The system also interfaces with our accounting system thus driving client invoicing and revenue recognition. Given the pervasive impact of this new system on the Company's processes, problems with the systems and software could cause operational difficulties, lead to errors within our financial reporting and slow or prevent the growth of our business in the future. As we continue to move our technology to cloud based SaaS platforms, our operating results may be impacted as operating expenses associated with the SaaS licenses may increase as our annual capital expenditure spending may decrease and this shift in costs may exceed our current estimates.</w:t>
      </w:r>
    </w:p>
    <w:p>
      <w:pPr>
        <w:spacing w:after="0" w:line="73"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If our cinema advertising management system does not successfully provide all of the services we expect, if we are unable to continue to successfully and cost-effectively implement further upgrades to the system, including a programmatic advertising sales option, or if we lose access to the system through termination of the agreement or otherwise, our ability to offer our clients innovative, unique, integrated and targeted marketing products may be impacted, which could limit our future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2" w:name="page33"/>
    <w:bookmarkEnd w:id="32"/>
    <w:p>
      <w:pPr>
        <w:ind w:right="40"/>
        <w:spacing w:after="0" w:line="264" w:lineRule="auto"/>
        <w:rPr>
          <w:sz w:val="20"/>
          <w:szCs w:val="20"/>
          <w:color w:val="auto"/>
        </w:rPr>
      </w:pPr>
      <w:r>
        <w:rPr>
          <w:rFonts w:ascii="Times New Roman" w:cs="Times New Roman" w:eastAsia="Times New Roman" w:hAnsi="Times New Roman"/>
          <w:sz w:val="17"/>
          <w:szCs w:val="17"/>
          <w:color w:val="auto"/>
        </w:rPr>
        <w:t>revenue growth. The failure to upgrade and maintain our technology allowing our advertising to reach a broader audience and allow for more targeted marketing products similar to other products in the inventory could hurt our ability to compete.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uncertainty or deterioration in economic conditions may adversely impact our business, operating results or financial condition.</w:t>
      </w:r>
    </w:p>
    <w:p>
      <w:pPr>
        <w:spacing w:after="0" w:line="12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59"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for fewer advertising and entertainment programming dollars;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that may adversely affect revenue and gross margin;</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declining attendance and thus a decline in the impressions available for our show;</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credit availability and/or access to capital markets;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forecasting, budgeting and planning due to limited visibility into the spending plans of current or prospective clients;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financial difficulty and increased risk of uncollectible accounts; or</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difficulty for our founding members or network affiliates.</w:t>
      </w:r>
    </w:p>
    <w:p>
      <w:pPr>
        <w:spacing w:after="0" w:line="11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spacing w:after="0" w:line="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increases annually by 5%. The digital screen fees may exceed the traditional theater access fees in the future because of the higher rate of growth of the digital screen fees. In addition, pursuant to the 2019 ESA Amendments, we have agreed to pay a fixed payment per patron in consideration for NCM LLC’s access to certain on-screen advertising inventory after the advertised showtime of a feature film, which amounts increased by fixed amounts until November 1, 2022 and then now increase by 8% every five years beginning November 1, 2027. If NCM LLC further amends the ESAs or network affiliate agreements in response to market conditions or in connection with the bankruptcy of a counterparty, the costs could increase. If we are unable to grow our high margin advertising revenue at a rate at least equal to that of our contractual obligations, our margins and results would be negatively affected.</w:t>
      </w:r>
    </w:p>
    <w:p>
      <w:pPr>
        <w:spacing w:after="0" w:line="7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7"/>
          <w:szCs w:val="17"/>
          <w:color w:val="auto"/>
        </w:rPr>
        <w:t>We generate all of our operating income and Adjusted OIBDA from our high margin advertising business. Advertisers will not continue to do business with us if they believe our advertising medium is ineffective, unpredictable or overly expensive or lacks sufficient scale. In addition, large advertisers generally have set advertising budgets, of which cinema advertising may only be a small portion. Reductions in the size of advertisers’ budgets due to local or national economic trends, epidemics, pandemics, other natural disasters or similar events, a shift in spending to other advertising mediums,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securing favorable upfront advertising agreements, but as advertising spending shifts in the scatter market closer to the start date of advertising campaigns, our ability to maintain high CPMs in the upfront markets may decrease. If we are unable to remain competitive and provide value to our advertising clients, they may reduce their advertising purchases or stop placing advertisements with us. Even the loss of a small number of clients on large contracts that we are not able to replace would negatively affect our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any major content partner or advertising client could significantly reduce our revenue.</w:t>
      </w:r>
    </w:p>
    <w:p>
      <w:pPr>
        <w:spacing w:after="0" w:line="12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We derive a significant portion of our revenue from our contracts with our content partners, courtesy PSAs and NCM LLC’s founding members’ agreements to purchase on-screen advertising for their beverage concessionaires. We are not direct parties to the agreements between the founding members’ and their beverage concessionaires but expect that each founding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33" w:name="page34"/>
    <w:bookmarkEnd w:id="33"/>
    <w:p>
      <w:pPr>
        <w:ind w:right="100"/>
        <w:spacing w:after="0" w:line="264" w:lineRule="auto"/>
        <w:rPr>
          <w:sz w:val="20"/>
          <w:szCs w:val="20"/>
          <w:color w:val="auto"/>
        </w:rPr>
      </w:pPr>
      <w:r>
        <w:rPr>
          <w:rFonts w:ascii="Times New Roman" w:cs="Times New Roman" w:eastAsia="Times New Roman" w:hAnsi="Times New Roman"/>
          <w:sz w:val="17"/>
          <w:szCs w:val="17"/>
          <w:color w:val="auto"/>
        </w:rPr>
        <w:t>member will have an agreement with a beverage concessionaire to provide advertising for the foreseeable future. There was one company that individually accounted for over 10% of our total revenue during the year ended December 29, 2022. The agreements with the content partners, courtesy PSAs and beverage advertising with the founding members in aggregate accounted for approximately 25.6% of our total revenue during the year ended December 29, 2022. During the year ended December 29, 2022, one content partner accounted for 12.9% of our total revenue. Because we derive a significant percentage of our total revenue from a relatively small number of large companies, the loss of one or more as a customer could decrease our revenue and adversely affect current and future operating results.</w:t>
      </w:r>
    </w:p>
    <w:p>
      <w:pPr>
        <w:spacing w:after="0" w:line="6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ESAs allow the founding members to engage in activities that might compete with certain elements of our business, which could reduce our revenue and growth potential.</w:t>
      </w:r>
    </w:p>
    <w:p>
      <w:pPr>
        <w:spacing w:after="0" w:line="3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per 30-minute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0.8% and 0.7% of our total advertising revenue for the year ended December 29, 2022 and December 30, 2021, respectively. The founding members do not have the right to use their movie screens (including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show or otherwise) for promoting these cross-marketing relationships, and thus we will have the exclusive rights to advertise on the movie screens, except for limited advertising related to theater operations.</w:t>
      </w:r>
    </w:p>
    <w:p>
      <w:pPr>
        <w:spacing w:after="0" w:line="284" w:lineRule="exact"/>
        <w:rPr>
          <w:sz w:val="20"/>
          <w:szCs w:val="20"/>
          <w:color w:val="auto"/>
        </w:rPr>
      </w:pPr>
    </w:p>
    <w:p>
      <w:pPr>
        <w:ind w:right="180" w:firstLine="509"/>
        <w:spacing w:after="0" w:line="269" w:lineRule="auto"/>
        <w:rPr>
          <w:sz w:val="20"/>
          <w:szCs w:val="20"/>
          <w:color w:val="auto"/>
        </w:rPr>
      </w:pPr>
      <w:r>
        <w:rPr>
          <w:rFonts w:ascii="Times New Roman" w:cs="Times New Roman" w:eastAsia="Times New Roman" w:hAnsi="Times New Roman"/>
          <w:sz w:val="17"/>
          <w:szCs w:val="17"/>
          <w:color w:val="auto"/>
        </w:rPr>
        <w:t>The founding members also have the right to install a second network of video monitors in the theater lobbies in excess of those required to be installed for the LEN, and the founding members have exercised this right to install a significant number of video monitors in their theater lobbies. The presence of this additional lobby video network, which we refer to as the founding members’ lobby network, could reduce the effectiveness of our LEN, thereby reducing our current LEN advertising revenue and profitability and adversely affecting future revenue potential associated with that marketing platform.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upon our senior management and our business may be adversely affected if we cannot retain or replace them.</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Our success depends in part upon the retention of our experienced senior management with specialized industry, sales and technical knowledge or industry relationships. Following the resignations of certain members of our senior management in 2021 and 2020, in 2021 we appointed a new President of Sales, Marketing and Partnerships, Chief Financial Officer, and General Counsel.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During the COVID-19 Pandemic, we had an increase in voluntary turnover and implemented a temporary pay reduction for all employees of up to 50% and each of our named executive officers agreed to a 20% reduction of their base salary and other employee benefit cuts. These temporary pay reductions were removed for all employees at the beginning of 2022. Additionally, while the Company was able to find experienced replacements for senior management during the uncertainty caused by the COVID-19 Pandemic, there is no guarantee that the Company will continue to be able to recruit experienced replacements. We do not have key-man life insurance covering any of our employees.</w:t>
      </w:r>
    </w:p>
    <w:p>
      <w:pPr>
        <w:spacing w:after="0" w:line="67"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founding members and our network affiliates are subject to substantial government regulation, which could limit their current business, slow their future growth of locations and screens and in turn impact our business and slow our growth prospects.</w:t>
      </w:r>
    </w:p>
    <w:p>
      <w:pPr>
        <w:spacing w:after="0" w:line="3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founding members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during a portion of the COVID-19 Pandemic, health and safety laws restricted the ability of the founding members and network affiliates from opening their theaters and operating at full capacity, which significantly impacted their and our businesses.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effectively manage changes to our business strategy to continue the growth of our advertising inventory and network.</w:t>
      </w:r>
    </w:p>
    <w:p>
      <w:pPr>
        <w:spacing w:after="0" w:line="12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and our new digital out-of-home business have been and will continue to be negatively impacted by the COVID-19 Pandemic, which may decrease the growth of these businesses.</w:t>
      </w:r>
    </w:p>
    <w:p>
      <w:pPr>
        <w:spacing w:after="0" w:line="65" w:lineRule="exact"/>
        <w:rPr>
          <w:sz w:val="20"/>
          <w:szCs w:val="20"/>
          <w:color w:val="auto"/>
        </w:rPr>
      </w:pPr>
    </w:p>
    <w:p>
      <w:pPr>
        <w:jc w:val="both"/>
        <w:ind w:right="320" w:firstLine="509"/>
        <w:spacing w:after="0" w:line="277" w:lineRule="auto"/>
        <w:rPr>
          <w:sz w:val="20"/>
          <w:szCs w:val="20"/>
          <w:color w:val="auto"/>
        </w:rPr>
      </w:pPr>
      <w:r>
        <w:rPr>
          <w:rFonts w:ascii="Times New Roman" w:cs="Times New Roman" w:eastAsia="Times New Roman" w:hAnsi="Times New Roman"/>
          <w:sz w:val="17"/>
          <w:szCs w:val="17"/>
          <w:color w:val="auto"/>
        </w:rPr>
        <w:t xml:space="preserve">The amount of in-theater inventory we have to sell is limited by the length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order to maintain in-theater growth we will need to expand the number of theaters and screens in our network. If we lose a significant number of theaters or are unable to expand our network, our revenue and operating results could be adversely impacted.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relies heavily on technology systems, and any failures or disruptions may materially and adversely affect our operations.</w:t>
      </w:r>
    </w:p>
    <w:p>
      <w:pPr>
        <w:spacing w:after="0" w:line="12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7"/>
          <w:szCs w:val="17"/>
          <w:color w:val="auto"/>
        </w:rPr>
        <w:t>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our founding members, network affiliates or third-party service providers could be penetrated by internal or external parties intent on extracting information, corrupting information, stealing intellectual property or trade secrets, or disrupting business processes. For example, SolarWinds previously announced that its system was infected with malicious software during 2020,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Techniques used by cyber criminals to obtain unauthorized access, disable or degrade services, or sabotage systems evolve frequently and may not immediately be detected, and we may be unable to implement adequate preventative measures. Depending on the nature and scope of a future disruption, if any technology network or systems were to fail and we were unable to recover in a timely manner, we would be unable to fulfill critical business functions, which could lead to a loss of clients and revenue, harm our reputation or interfere with our ability to comply with financial reporting and other regulatory requirements.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and Adjusted OIBDA fluctuate from quarter to quarter and may be unpredictable, which could increase the volatility of our stock price.</w:t>
      </w:r>
    </w:p>
    <w:p>
      <w:pPr>
        <w:spacing w:after="0" w:line="12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A weak advertising market, the shift in spending of a major client from one quarter to another, the performance of films released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Additionally, the bankruptcy of our founding members, or negative news regarding the theater industry, cinema advertising generally or us could lead to increased volatility in revenue from quarter to quarter. These variations in our financial results could contribute to volatility in our stock price.</w:t>
      </w:r>
    </w:p>
    <w:p>
      <w:pPr>
        <w:spacing w:after="0" w:line="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spacing w:after="0" w:line="56" w:lineRule="exact"/>
        <w:rPr>
          <w:sz w:val="20"/>
          <w:szCs w:val="20"/>
          <w:color w:val="auto"/>
        </w:rPr>
      </w:pPr>
    </w:p>
    <w:p>
      <w:pPr>
        <w:jc w:val="both"/>
        <w:ind w:right="120" w:firstLine="509"/>
        <w:spacing w:after="0" w:line="269" w:lineRule="auto"/>
        <w:rPr>
          <w:sz w:val="20"/>
          <w:szCs w:val="20"/>
          <w:color w:val="auto"/>
        </w:rPr>
      </w:pPr>
      <w:r>
        <w:rPr>
          <w:rFonts w:ascii="Times New Roman" w:cs="Times New Roman" w:eastAsia="Times New Roman" w:hAnsi="Times New Roman"/>
          <w:sz w:val="17"/>
          <w:szCs w:val="17"/>
          <w:color w:val="auto"/>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Times New Roman" w:cs="Times New Roman" w:eastAsia="Times New Roman" w:hAnsi="Times New Roman"/>
          <w:sz w:val="17"/>
          <w:szCs w:val="17"/>
          <w:i w:val="1"/>
          <w:iCs w:val="1"/>
          <w:color w:val="auto"/>
        </w:rPr>
        <w:t>Noovie.com</w:t>
      </w:r>
      <w:r>
        <w:rPr>
          <w:rFonts w:ascii="Times New Roman" w:cs="Times New Roman" w:eastAsia="Times New Roman" w:hAnsi="Times New Roman"/>
          <w:sz w:val="17"/>
          <w:szCs w:val="17"/>
          <w:color w:val="auto"/>
        </w:rPr>
        <w:t xml:space="preserve">, our digital gaming products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 in-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35" w:name="page36"/>
    <w:bookmarkEnd w:id="35"/>
    <w:p>
      <w:pPr>
        <w:ind w:right="180"/>
        <w:spacing w:after="0" w:line="295" w:lineRule="auto"/>
        <w:rPr>
          <w:sz w:val="20"/>
          <w:szCs w:val="20"/>
          <w:color w:val="auto"/>
        </w:rPr>
      </w:pPr>
      <w:r>
        <w:rPr>
          <w:rFonts w:ascii="Times New Roman" w:cs="Times New Roman" w:eastAsia="Times New Roman" w:hAnsi="Times New Roman"/>
          <w:sz w:val="17"/>
          <w:szCs w:val="17"/>
          <w:color w:val="auto"/>
        </w:rPr>
        <w:t>theater, online, mobile and creative services. We may incur expenses, some of which may be significant, in developing, protecting, maintaining, and defending our intellectual property rights or licensing intellectual property from third parties.</w:t>
      </w:r>
    </w:p>
    <w:p>
      <w:pPr>
        <w:spacing w:after="0" w:line="42" w:lineRule="exact"/>
        <w:rPr>
          <w:sz w:val="20"/>
          <w:szCs w:val="20"/>
          <w:color w:val="auto"/>
        </w:rPr>
      </w:pPr>
    </w:p>
    <w:p>
      <w:pPr>
        <w:ind w:right="180" w:firstLine="509"/>
        <w:spacing w:after="0" w:line="295" w:lineRule="auto"/>
        <w:rPr>
          <w:sz w:val="20"/>
          <w:szCs w:val="20"/>
          <w:color w:val="auto"/>
        </w:rPr>
      </w:pPr>
      <w:r>
        <w:rPr>
          <w:rFonts w:ascii="Times New Roman" w:cs="Times New Roman" w:eastAsia="Times New Roman" w:hAnsi="Times New Roman"/>
          <w:sz w:val="17"/>
          <w:szCs w:val="17"/>
          <w:color w:val="auto"/>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spacing w:after="0" w:line="4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may discover that our business or the technology or methods we use to operate our business infringes patent, trademark, copyright, publicity rights, or other intellectual property rights owned by others or is otherwise negatively impacted by restrictions imposed by or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online, or mobile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third-party intellectual property rights.</w:t>
      </w:r>
    </w:p>
    <w:p>
      <w:pPr>
        <w:spacing w:after="0" w:line="10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Our in-theater, online and mobile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6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regain compliance with the requirements for continued listing on Nasdaq, our common stock could be delisted from trading, which would adversely affect the liquidity of our common stock and our ability to raise additional capital.</w:t>
      </w:r>
    </w:p>
    <w:p>
      <w:pPr>
        <w:spacing w:after="0" w:line="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On October 28, 2022, we received written notice from The Nasdaq Stock Market LLC (“Nasdaq”) indicating that we are not in compliance with the $1.00 minimum bid price requirement for continued listing on The Nasdaq Global Market, as set forth in Listing Rule 5450(a)(1) (the “Bid Price Rule”). In accordance with Listing Rule 5810(c)(3)(A), we have a period of 180 calendar days, or until April 26, 2023, to regain compliance with the Bid Price Rule. To regain compliance, the closing bid price of our common stock must meet or exceed $1.00 per share for a minimum of ten consecutive business days during this 180-day period. If at any time before April 26, 2023, the bid price of our common stock closes at $1.00 per share or more for a minimum of ten consecutive business days, Nasdaq will provide us with a written confirmation of compliance with the Bid Price Rule. If we do not regain compliance with the Bid Price Rule by April 26, 2023, we may be eligible for an additional 180-day compliance period. To qualify, we would be required to meet the continued listing requirement for market value of publicly held shares and all other initial listing standards for the Nasdaq Capital Market, with the exception of the Bid Price Rule, and would need to provide written notice of its intention to cure the bid price deficiency during the second compliance period.</w:t>
      </w:r>
    </w:p>
    <w:p>
      <w:pPr>
        <w:spacing w:after="0" w:line="7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This notice from Nasdaq has no immediate effect on the listing of our common stock and our common stock will continue to be listed under the symbol “NCMI”. We are currently evaluating available options for regaining compliance, including but not limited to, implementing a reverse stock split in connection with a special meeting of the stockholders or our 2023 annual meeting of the stockholders to regain compliance with the Bid Price Rule. There can be no assurance that the Company will regain compliance with the Bid Price Rule or maintain compliance with any of the other Nasdaq continued listing requirements. If we fail to regain compliance with the Bid Price Rule, our common stock could be delisted from Nasdaq. If this occurs, trading of our common stock would most likely take place in an over-the-counter market for unlisted securities. This will likely decrease the liquidity, trading volume, and price of our securities, causing the value of an investment in us to decrease and having an adverse effect on our business, financial conditions and results of operations, including our ability to attract and retain qualified employees, raise capital, and execute on strategic alternatives.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Corporate Structure</w:t>
      </w:r>
    </w:p>
    <w:p>
      <w:pPr>
        <w:spacing w:after="0" w:line="11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3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We are a holding company with no operations of our own and have no independent ability to generate cash flow other than interest income on cash balances or other securities owned.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its Senior Secured Credit Facility, Revolving Credit Facility and indentures, and the NCM LLC Operating Agreement. The NCM LLC Senior Secured Credit Facility, Revolving Credit Facility and indentures limit NCM LLC’s ability to distribute cash to 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7"/>
          <w:szCs w:val="17"/>
          <w:color w:val="auto"/>
        </w:rPr>
        <w:t>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NCM LLC’s debt agreements and legal requirements. NCM LLC’s Senior Secured Credit Facility and Revolving Credit Facility also restricts NCM LLC’s ability to distribute cash to its members, including us, until after the delivery of a compliance certificate following the fourth quarter of 2023.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75"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7"/>
          <w:szCs w:val="17"/>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59"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As a member of NCM LLC, we incur income taxes on our proportionate share of any net taxable income of NCM LLC. We have structured the NCM LLC Senior Secured Credit Facility, Revolving Credit Facility and indentures to allow NCM LLC to distribute cash to its members (including us and NCM LLC’s other members)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NCM LLC’s substantial debt obligations could impair our financial condition or prevent us from achieving our business goals.</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NCM LLC is party to substantial debt obligations. The Senior Secured Credit Facility and indentures contain restrictive covenants that limit NCM LLC’s ability to take specified actions and in some instances prescribe minimum financial maintenance requirements that NCM LLC must meet, which, in some cases, were made more restrictive following the second amendment to NCM LLC’s Senior Secured Credit Facility.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Consolidated Financial Statements included elsewhere in this document.</w:t>
      </w:r>
    </w:p>
    <w:p>
      <w:pPr>
        <w:spacing w:after="0" w:line="75" w:lineRule="exact"/>
        <w:rPr>
          <w:sz w:val="20"/>
          <w:szCs w:val="20"/>
          <w:color w:val="auto"/>
        </w:rPr>
      </w:pPr>
    </w:p>
    <w:p>
      <w:pPr>
        <w:jc w:val="both"/>
        <w:ind w:right="60" w:firstLine="509"/>
        <w:spacing w:after="0" w:line="275" w:lineRule="auto"/>
        <w:rPr>
          <w:sz w:val="20"/>
          <w:szCs w:val="20"/>
          <w:color w:val="auto"/>
        </w:rPr>
      </w:pPr>
      <w:r>
        <w:rPr>
          <w:rFonts w:ascii="Times New Roman" w:cs="Times New Roman" w:eastAsia="Times New Roman" w:hAnsi="Times New Roman"/>
          <w:sz w:val="17"/>
          <w:szCs w:val="17"/>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sell assets on satisfactory terms or at all or make cash distributions. In addition, NCM LLC’s indebtedness could have other negative consequences for us, including without limitation:</w:t>
      </w:r>
    </w:p>
    <w:p>
      <w:pPr>
        <w:spacing w:after="0" w:line="59" w:lineRule="exact"/>
        <w:rPr>
          <w:sz w:val="20"/>
          <w:szCs w:val="20"/>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NCM LLC’s ability to obtain financing in the future;</w:t>
      </w:r>
    </w:p>
    <w:p>
      <w:pPr>
        <w:spacing w:after="0" w:line="117" w:lineRule="exact"/>
        <w:rPr>
          <w:rFonts w:ascii="Times New Roman" w:cs="Times New Roman" w:eastAsia="Times New Roman" w:hAnsi="Times New Roman"/>
          <w:sz w:val="17"/>
          <w:szCs w:val="17"/>
          <w:color w:val="auto"/>
        </w:rPr>
      </w:pPr>
    </w:p>
    <w:p>
      <w:pPr>
        <w:ind w:left="640" w:right="4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much of NCM LLC's cash flow to be dedicated to interest obligations and making it unavailable for other purposes, including payments to its members (including NCM, Inc.);</w:t>
      </w:r>
    </w:p>
    <w:p>
      <w:pPr>
        <w:spacing w:after="0" w:line="41" w:lineRule="exact"/>
        <w:rPr>
          <w:rFonts w:ascii="Times New Roman" w:cs="Times New Roman" w:eastAsia="Times New Roman" w:hAnsi="Times New Roman"/>
          <w:sz w:val="17"/>
          <w:szCs w:val="17"/>
          <w:color w:val="auto"/>
        </w:rPr>
      </w:pPr>
    </w:p>
    <w:p>
      <w:pPr>
        <w:ind w:left="640" w:hanging="322"/>
        <w:spacing w:after="0" w:line="27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NCM LLC more vulnerable to an increase in interest rates, a downturn in operating performance or decline in general economic conditions.</w:t>
      </w:r>
    </w:p>
    <w:p>
      <w:pPr>
        <w:spacing w:after="0" w:line="114"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3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The agreements relating to NCM LLC’s debt, including the Notes due 2026 and Notes due 2028, the Senior Secured Credit Facility, the Revolving Credit Facility 2018 and the Revolving Credit Facility 2022 limit but do not prohibit NCM LLC’s ability to incur additional debt, and do not place any restrictions on NCM, Inc.’s ability to incur debt. Accordingly, NCM, Inc. or NCM LLC could incur additional debt in the future, including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37" w:name="page38"/>
    <w:bookmarkEnd w:id="37"/>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NCM LLC’s other equityholders or their affiliates, as well as our largest stockholders, may have interests that differ from those of our public stockholders and they may be able to influence our affairs.</w:t>
      </w:r>
    </w:p>
    <w:p>
      <w:pPr>
        <w:spacing w:after="0" w:line="3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So long as either Cinemark or Regal owns at least 5% of NCM LLC’s issued and outstanding common membership units, which is calculated to include shares of common stock received upon redemption of NCM LLC membership units, but excluding shares of our common stock otherwise acquired subject to limited exceptions, if the two directors appointed by Cinemark or the two directors appointed by Regal to our Board of Directors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65" w:lineRule="exact"/>
        <w:rPr>
          <w:sz w:val="20"/>
          <w:szCs w:val="20"/>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 transfer, sell or pledge all or a portion of the membership units of NCM LLC beneficially owned by NCM, Inc.;</w:t>
      </w:r>
    </w:p>
    <w:p>
      <w:pPr>
        <w:spacing w:after="0" w:line="117" w:lineRule="exact"/>
        <w:rPr>
          <w:rFonts w:ascii="Times New Roman" w:cs="Times New Roman" w:eastAsia="Times New Roman" w:hAnsi="Times New Roman"/>
          <w:sz w:val="17"/>
          <w:szCs w:val="17"/>
          <w:color w:val="auto"/>
        </w:rPr>
      </w:pPr>
    </w:p>
    <w:p>
      <w:pPr>
        <w:ind w:left="640" w:right="2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dispose, lease or license assets with an aggregate value exceeding 20% of the fair market value of the business of NCM LLC operating as a going concern;</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reorganize, recapitalize, reclassify, consolidate, dissolve, liquidate or enter into a similar transaction;</w:t>
      </w:r>
    </w:p>
    <w:p>
      <w:pPr>
        <w:spacing w:after="0" w:line="117"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any funded indebtedness or repay, before due, any funded indebtedness with a fixed term in an aggregate amount in excess of $15.0 million per year;</w:t>
      </w:r>
    </w:p>
    <w:p>
      <w:pPr>
        <w:spacing w:after="0" w:line="41"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restate or repeal any provision of NCM, Inc.’s certificate of incorporation or bylaws or the NCM LLC Operating Agreement;</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modify or terminate certain material contracts not in the ordinary course of business as defined under applicable securities laws;</w:t>
      </w:r>
    </w:p>
    <w:p>
      <w:pPr>
        <w:spacing w:after="0" w:line="117" w:lineRule="exact"/>
        <w:rPr>
          <w:rFonts w:ascii="Times New Roman" w:cs="Times New Roman" w:eastAsia="Times New Roman" w:hAnsi="Times New Roman"/>
          <w:sz w:val="17"/>
          <w:szCs w:val="17"/>
          <w:color w:val="auto"/>
        </w:rPr>
      </w:pPr>
    </w:p>
    <w:p>
      <w:pPr>
        <w:ind w:left="640" w:right="5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set forth in the NCM LLC Operating Agreement, declare, set aside or pay any redemption of, or dividends with respect to membership interests;</w:t>
      </w:r>
    </w:p>
    <w:p>
      <w:pPr>
        <w:spacing w:after="0" w:line="41" w:lineRule="exact"/>
        <w:rPr>
          <w:rFonts w:ascii="Times New Roman" w:cs="Times New Roman" w:eastAsia="Times New Roman" w:hAnsi="Times New Roman"/>
          <w:sz w:val="17"/>
          <w:szCs w:val="17"/>
          <w:color w:val="auto"/>
        </w:rPr>
      </w:pPr>
    </w:p>
    <w:p>
      <w:pPr>
        <w:ind w:left="640" w:right="2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any material terms or provisions (as defined in the Nasdaq rules) of NCM, Inc.’s equity incentive plan or enter into any new equity incentive compensation plan;</w:t>
      </w:r>
    </w:p>
    <w:p>
      <w:pPr>
        <w:spacing w:after="0" w:line="41" w:lineRule="exact"/>
        <w:rPr>
          <w:rFonts w:ascii="Times New Roman" w:cs="Times New Roman" w:eastAsia="Times New Roman" w:hAnsi="Times New Roman"/>
          <w:sz w:val="17"/>
          <w:szCs w:val="17"/>
          <w:color w:val="auto"/>
        </w:rPr>
      </w:pPr>
    </w:p>
    <w:p>
      <w:pPr>
        <w:ind w:left="640" w:right="42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current business purpose of NCM, Inc. to serve solely as the manager of NCM LLC or any change in the current business purpose of NCM LLC to provide the services as set forth in the ESAs; and</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any actions relating to NCM LLC that could reasonably be expected to have a material adverse tax effect on NCM LLC’s founding members.</w:t>
      </w:r>
    </w:p>
    <w:p>
      <w:pPr>
        <w:spacing w:after="0" w:line="118"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7"/>
          <w:szCs w:val="17"/>
          <w:color w:val="auto"/>
        </w:rPr>
        <w:t>Pursuant to a director designation agreement, so long as Cinemark or Regal owns at least 5% of NCM LLC’s issued and outstanding common membership units, which is calculated in a similar manner as under our Certificate of Incorporation, such NCM LLC founding member will have the right to designate a total of two nominees to our Board of Directors who will be voted upon by our stockholders. One such designee by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67"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If any director designee to our Board of Directors designated by Cinemark is not appointed to our Board of Directors, nominated by us or elected by our stockholders, as applicable, then Cinemark (so long as they each continue to own at least 5% of NCM LLC’s issued and outstanding common membership units) will be entitled to approve specified actions of NCM LLC.</w:t>
      </w:r>
    </w:p>
    <w:p>
      <w:pPr>
        <w:spacing w:after="0" w:line="59" w:lineRule="exact"/>
        <w:rPr>
          <w:sz w:val="20"/>
          <w:szCs w:val="20"/>
          <w:color w:val="auto"/>
        </w:rPr>
      </w:pPr>
    </w:p>
    <w:p>
      <w:pPr>
        <w:ind w:right="280" w:firstLine="509"/>
        <w:spacing w:after="0" w:line="269" w:lineRule="auto"/>
        <w:rPr>
          <w:sz w:val="20"/>
          <w:szCs w:val="20"/>
          <w:color w:val="auto"/>
        </w:rPr>
      </w:pPr>
      <w:r>
        <w:rPr>
          <w:rFonts w:ascii="Times New Roman" w:cs="Times New Roman" w:eastAsia="Times New Roman" w:hAnsi="Times New Roman"/>
          <w:sz w:val="17"/>
          <w:szCs w:val="17"/>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 members or their affiliates own a minority economic interest (but not less than 5%) in NCM LLC or our common stock in certain situations, they may be able to continue exerting such degree of influence over us and NCM LLC.</w:t>
      </w:r>
    </w:p>
    <w:p>
      <w:pPr>
        <w:spacing w:after="0" w:line="63"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17"/>
          <w:szCs w:val="17"/>
          <w:color w:val="auto"/>
        </w:rPr>
        <w:t>Further, Standard General L.P. (“Standard General”), our largest stockholder after Regal and Cinemark, beneficially owns 12,932,382 shares of our common stock, and as of December 29, 2022, Regal beneficially owns 40,683,797 shares of our common stock, and Cinemark held NCM LLC membership interests that are convertible into another 43,690,797 shares of our common stock. As a result, Cinemark, Regal and Standard General are in a position to influence or control to some degree the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38" w:name="page39"/>
    <w:bookmarkEnd w:id="38"/>
    <w:p>
      <w:pPr>
        <w:ind w:right="140"/>
        <w:spacing w:after="0" w:line="275" w:lineRule="auto"/>
        <w:rPr>
          <w:sz w:val="20"/>
          <w:szCs w:val="20"/>
          <w:color w:val="auto"/>
        </w:rPr>
      </w:pPr>
      <w:r>
        <w:rPr>
          <w:rFonts w:ascii="Times New Roman" w:cs="Times New Roman" w:eastAsia="Times New Roman" w:hAnsi="Times New Roman"/>
          <w:sz w:val="17"/>
          <w:szCs w:val="17"/>
          <w:color w:val="auto"/>
        </w:rPr>
        <w:t>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w:t>
      </w:r>
    </w:p>
    <w:p>
      <w:pPr>
        <w:spacing w:after="0" w:line="5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It is possible that the interests of Cinemark, Regal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is in the business of making investments in companies and may hold, and may from time to time in the future acquire, interests in or provide advice to businesses that directly or indirectly compete with us.</w:t>
      </w:r>
    </w:p>
    <w:p>
      <w:pPr>
        <w:spacing w:after="0" w:line="63" w:lineRule="exact"/>
        <w:rPr>
          <w:sz w:val="20"/>
          <w:szCs w:val="20"/>
          <w:color w:val="auto"/>
        </w:rPr>
      </w:pPr>
    </w:p>
    <w:p>
      <w:pPr>
        <w:ind w:right="5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Different interests among the remaining founding members or between the remaining founding members and us could prevent us from achieving our business goals.</w:t>
      </w:r>
    </w:p>
    <w:p>
      <w:pPr>
        <w:spacing w:after="0" w:line="3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7"/>
          <w:szCs w:val="17"/>
          <w:color w:val="auto"/>
        </w:rPr>
        <w:t>As long as Cinemark and Regal maintain their rights to designate directors under our Directors Designation Agreement, our Board of Directors may include directors and certain executive officers of Cinemark and Regal and other directors who may have commercial or other relationships with Cinemark and Regal. Cinemark and Regal compete with each other in the operation of their respective businesses and could have individual business interests that may conflict. Their differing interests could make it difficult for us to pursue strategic initiatives that require approval from the Board of Directors or require equityholder approval.</w:t>
      </w:r>
    </w:p>
    <w:p>
      <w:pPr>
        <w:spacing w:after="0" w:line="65"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 units by a founding member, as is the case for AMC and Regal, because the founding member may have less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another third-party.</w:t>
      </w:r>
    </w:p>
    <w:p>
      <w:pPr>
        <w:spacing w:after="0" w:line="69"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contains provisions related to corporate opportunities that may be of interest to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may apply even if the business opportunity is one that we might reasonably be deemed to have pursued or had the ability or desire to pursue if granted the opportunity to do so.</w:t>
      </w:r>
    </w:p>
    <w:p>
      <w:pPr>
        <w:spacing w:after="0" w:line="283"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negative impact on our business, financial condition, results of operations or prospects if attractive corporate opportunities are allocated by NCM LLC’s founding members to themselves or their other affiliates or we lose key personnel to them.</w:t>
      </w:r>
    </w:p>
    <w:p>
      <w:pPr>
        <w:spacing w:after="0" w:line="63"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37" w:lineRule="exact"/>
        <w:rPr>
          <w:sz w:val="20"/>
          <w:szCs w:val="20"/>
          <w:color w:val="auto"/>
        </w:rPr>
      </w:pPr>
    </w:p>
    <w:p>
      <w:pPr>
        <w:ind w:right="280" w:firstLine="509"/>
        <w:spacing w:after="0" w:line="275" w:lineRule="auto"/>
        <w:rPr>
          <w:sz w:val="20"/>
          <w:szCs w:val="20"/>
          <w:color w:val="auto"/>
        </w:rPr>
      </w:pPr>
      <w:r>
        <w:rPr>
          <w:rFonts w:ascii="Times New Roman" w:cs="Times New Roman" w:eastAsia="Times New Roman" w:hAnsi="Times New Roman"/>
          <w:sz w:val="17"/>
          <w:szCs w:val="17"/>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9" w:name="page40"/>
    <w:bookmarkEnd w:id="39"/>
    <w:p>
      <w:pPr>
        <w:ind w:right="360"/>
        <w:spacing w:after="0" w:line="295" w:lineRule="auto"/>
        <w:rPr>
          <w:sz w:val="20"/>
          <w:szCs w:val="20"/>
          <w:color w:val="auto"/>
        </w:rPr>
      </w:pPr>
      <w:r>
        <w:rPr>
          <w:rFonts w:ascii="Times New Roman" w:cs="Times New Roman" w:eastAsia="Times New Roman" w:hAnsi="Times New Roman"/>
          <w:sz w:val="17"/>
          <w:szCs w:val="17"/>
          <w:color w:val="auto"/>
        </w:rPr>
        <w:t>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38"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37"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Provisions contained in our certificate of incorporation and bylaws, the NCM LLC Operating Agreement, and provisions of the Delaware General Corporation Law (“DGCL”), could delay or prevent a third-party from entering into a strategic transaction with us, even if such a transaction would benefit our stockholders. For example, our certificate of incorporation and bylaws:</w:t>
      </w:r>
    </w:p>
    <w:p>
      <w:pPr>
        <w:spacing w:after="0" w:line="84" w:lineRule="exact"/>
        <w:rPr>
          <w:sz w:val="20"/>
          <w:szCs w:val="20"/>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veto rights to the directors designated by Cinemark and Regal over certain actions specified in our certificate of incorporation;</w:t>
      </w:r>
    </w:p>
    <w:p>
      <w:pPr>
        <w:spacing w:after="0" w:line="125" w:lineRule="exact"/>
        <w:rPr>
          <w:rFonts w:ascii="Times New Roman" w:cs="Times New Roman" w:eastAsia="Times New Roman" w:hAnsi="Times New Roman"/>
          <w:sz w:val="21"/>
          <w:szCs w:val="21"/>
          <w:color w:val="auto"/>
        </w:rPr>
      </w:pPr>
    </w:p>
    <w:p>
      <w:pPr>
        <w:ind w:left="640" w:right="320" w:hanging="322"/>
        <w:spacing w:after="0" w:line="239" w:lineRule="auto"/>
        <w:tabs>
          <w:tab w:leader="none" w:pos="63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authorize the issuance of “blank check” preferred stock that could be issued by our Board of Directors to increase the number of outstanding shares, making a takeover more difficult and expensive;</w:t>
      </w:r>
    </w:p>
    <w:p>
      <w:pPr>
        <w:spacing w:after="0" w:line="111"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prohibit stockholder action by written consent; and</w:t>
      </w:r>
    </w:p>
    <w:p>
      <w:pPr>
        <w:spacing w:after="0" w:line="138" w:lineRule="exact"/>
        <w:rPr>
          <w:rFonts w:ascii="Times New Roman" w:cs="Times New Roman" w:eastAsia="Times New Roman" w:hAnsi="Times New Roman"/>
          <w:sz w:val="21"/>
          <w:szCs w:val="21"/>
          <w:color w:val="auto"/>
        </w:rPr>
      </w:pPr>
    </w:p>
    <w:p>
      <w:pPr>
        <w:ind w:left="640" w:right="720" w:hanging="322"/>
        <w:spacing w:after="0" w:line="239" w:lineRule="auto"/>
        <w:tabs>
          <w:tab w:leader="none" w:pos="63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do not permit cumulative voting in the election of directors, which would otherwise allow less than a majority of stockholders to elect director candidates.</w:t>
      </w:r>
    </w:p>
    <w:p>
      <w:pPr>
        <w:spacing w:after="0" w:line="87" w:lineRule="exact"/>
        <w:rPr>
          <w:sz w:val="20"/>
          <w:szCs w:val="20"/>
          <w:color w:val="auto"/>
        </w:rPr>
      </w:pPr>
    </w:p>
    <w:p>
      <w:pPr>
        <w:ind w:right="400" w:firstLine="509"/>
        <w:spacing w:after="0" w:line="275" w:lineRule="auto"/>
        <w:rPr>
          <w:sz w:val="20"/>
          <w:szCs w:val="20"/>
          <w:color w:val="auto"/>
        </w:rPr>
      </w:pPr>
      <w:r>
        <w:rPr>
          <w:rFonts w:ascii="Times New Roman" w:cs="Times New Roman" w:eastAsia="Times New Roman" w:hAnsi="Times New Roman"/>
          <w:sz w:val="17"/>
          <w:szCs w:val="17"/>
          <w:color w:val="auto"/>
        </w:rPr>
        <w:t>NCM LLC’s Operating Agreement also provides that NCM LLC’s other members will be able to exercise a greater degree of influence over the operations of NCM LLC if any director nominee designated by NCM LLC’s other members is not elected by our stockholders, which may discourage other nominations to our Board of Directors.</w:t>
      </w:r>
    </w:p>
    <w:p>
      <w:pPr>
        <w:spacing w:after="0" w:line="59"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55"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3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The common unit adjustment agreement and the ESAs provide that NCM LLC will issue common membership units to account for changes in attendance associated with the theaters NCM LLC’s founding members operate and which are made part of our advertising network. Historically, each of NCM LLC’s founding members has increased the attendance associated with the theaters it operates in most years. If this trend continues, NCM LLC may issue additional common membership units to NCM LLC’s founding members to reflect their increases in attendance associated with theaters. Each common membership unit may be redeemed in exchange for, at our option, shares of our common stock on a one-for-one basis or a cash payment equal to the market price of one share of our common stock. On December 28, 2022, Regal was issued 40,683,797 shares of our common stock in connection with the redemption of all of Regal’s common membership units in NCM LLC. This increased the number of shares of common stock outstanding from 81,764,193 to 128,402,636 and Regal’s ownership is equal to 31.7% of our issued and outstanding common stock as of December, 29, 2022. This redemption and other future redemptions, if we elected to issue common stock rather than cash upon redemption, may dilute the voting power of our common stockholders.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75"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future issuance of preferred stock could dilute the voting power of our common stockholders and adversely affect the market value of our common stock.</w:t>
      </w:r>
    </w:p>
    <w:p>
      <w:pPr>
        <w:spacing w:after="0" w:line="37"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59"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0" w:name="page41"/>
    <w:bookmarkEnd w:id="40"/>
    <w:p>
      <w:pPr>
        <w:ind w:right="200"/>
        <w:spacing w:after="0" w:line="295" w:lineRule="auto"/>
        <w:rPr>
          <w:sz w:val="20"/>
          <w:szCs w:val="20"/>
          <w:color w:val="auto"/>
        </w:rPr>
      </w:pPr>
      <w:r>
        <w:rPr>
          <w:rFonts w:ascii="Times New Roman" w:cs="Times New Roman" w:eastAsia="Times New Roman" w:hAnsi="Times New Roman"/>
          <w:sz w:val="17"/>
          <w:szCs w:val="17"/>
          <w:color w:val="auto"/>
        </w:rPr>
        <w:t>the preferred stock would effectively be entitled to purchase common stock at the lower conversion price causing economic dilution to the holders of common stock.</w:t>
      </w:r>
    </w:p>
    <w:p>
      <w:pPr>
        <w:spacing w:after="0" w:line="38"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3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spacing w:after="0" w:line="287" w:lineRule="exact"/>
        <w:rPr>
          <w:sz w:val="20"/>
          <w:szCs w:val="20"/>
          <w:color w:val="auto"/>
        </w:rPr>
      </w:pPr>
    </w:p>
    <w:p>
      <w:pPr>
        <w:jc w:val="both"/>
        <w:ind w:right="260" w:firstLine="509"/>
        <w:spacing w:after="0" w:line="275" w:lineRule="auto"/>
        <w:rPr>
          <w:sz w:val="20"/>
          <w:szCs w:val="20"/>
          <w:color w:val="auto"/>
        </w:rPr>
      </w:pPr>
      <w:r>
        <w:rPr>
          <w:rFonts w:ascii="Times New Roman" w:cs="Times New Roman" w:eastAsia="Times New Roman" w:hAnsi="Times New Roman"/>
          <w:sz w:val="17"/>
          <w:szCs w:val="17"/>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55" w:lineRule="exact"/>
        <w:rPr>
          <w:sz w:val="20"/>
          <w:szCs w:val="20"/>
          <w:color w:val="auto"/>
        </w:rPr>
      </w:pPr>
    </w:p>
    <w:p>
      <w:pPr>
        <w:ind w:right="6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37"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277"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3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common stock by Regal, Cinemark, AMC, Standard General or any of our significant stockholders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Cinemark, Regal and AMC may receive up to 43,690,797 shares of common stock as of December 29, 2022 upon redemption of their outstanding common membership units of NCM LLC. The resale of these shares of common stock has been registered as required by the terms of the registration rights agreement between NCM, Inc. and the founding members. Standard General also owns 12,932,382 shares that it may sell at any time. Additionally, once equity awards held by our employees become vested and/or exercisable, as applicable, to the extent that they are not held by one of our affiliates, the shares acquired upon vesting or exercise are freely tradable. Refer to Note 11 to the audited Consolidated Financial Statements included in our annual report on Form 10-K.</w:t>
      </w:r>
    </w:p>
    <w:p>
      <w:pPr>
        <w:spacing w:after="0" w:line="10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15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98" w:lineRule="exact"/>
        <w:rPr>
          <w:sz w:val="20"/>
          <w:szCs w:val="20"/>
          <w:color w:val="auto"/>
        </w:rPr>
      </w:pPr>
    </w:p>
    <w:p>
      <w:pPr>
        <w:jc w:val="both"/>
        <w:ind w:right="220" w:firstLine="509"/>
        <w:spacing w:after="0" w:line="275" w:lineRule="auto"/>
        <w:rPr>
          <w:sz w:val="20"/>
          <w:szCs w:val="20"/>
          <w:color w:val="auto"/>
        </w:rPr>
      </w:pPr>
      <w:r>
        <w:rPr>
          <w:rFonts w:ascii="Times New Roman" w:cs="Times New Roman" w:eastAsia="Times New Roman" w:hAnsi="Times New Roman"/>
          <w:sz w:val="17"/>
          <w:szCs w:val="17"/>
          <w:color w:val="auto"/>
        </w:rPr>
        <w:t>The Company's headquarters are located in Centennial, Colorado. As of December 29, 2022, the Company also leases advertising sales offices in New York, Los Angeles and Chicago and digital development offices in Los Angeles and New York. We own no material real property. We believe that all of our present facilities are adequate for our current needs and that additional space is available for future expansion on acceptable terms.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41" w:name="page42"/>
    <w:bookmarkEnd w:id="41"/>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98"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On September 7, 2022, Cineworld Group plc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Cinemas, Inc. filed a motion to reject the ESA without specifying an effective date for the rejection and indicated that Regal Cinemas, Inc. planned on negotiating with NCM LLC. NCM LLC has also filed an adversary proceeding against Regal Cinemas, Inc. seeking declaratory relief and an injunction prohibiting Regal Cinemas, Inc.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w:t>
      </w:r>
    </w:p>
    <w:p>
      <w:pPr>
        <w:spacing w:after="0" w:line="28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 xml:space="preserve">On April 11, 2023, NCM LLC filed a voluntary petition for reorganization with a prearranged Chapter 11 plan under Chapter 11 of title 11 of the United States Code in the U.S. Bankruptcy Court for the Southern District of Texas. The Chapter 11 Case is being administered under the caption </w:t>
      </w:r>
      <w:r>
        <w:rPr>
          <w:rFonts w:ascii="Times New Roman" w:cs="Times New Roman" w:eastAsia="Times New Roman" w:hAnsi="Times New Roman"/>
          <w:sz w:val="17"/>
          <w:szCs w:val="17"/>
          <w:i w:val="1"/>
          <w:iCs w:val="1"/>
          <w:color w:val="auto"/>
        </w:rPr>
        <w:t>In re: 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CineMedia, LLC</w:t>
      </w:r>
      <w:r>
        <w:rPr>
          <w:rFonts w:ascii="Times New Roman" w:cs="Times New Roman" w:eastAsia="Times New Roman" w:hAnsi="Times New Roman"/>
          <w:sz w:val="17"/>
          <w:szCs w:val="17"/>
          <w:color w:val="auto"/>
        </w:rPr>
        <w:t>, Case No. 23-90291. The Company will continue to act as the manager of NCM LLC, the “debtor in possession” under the jurisdiction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NCM LLC will continue to pursue approval of a proposed plan of reorganization, which will incorporate the terms of the Restructuring Support Agreement.</w:t>
      </w:r>
    </w:p>
    <w:p>
      <w:pPr>
        <w:spacing w:after="0" w:line="75" w:lineRule="exact"/>
        <w:rPr>
          <w:sz w:val="20"/>
          <w:szCs w:val="20"/>
          <w:color w:val="auto"/>
        </w:rPr>
      </w:pPr>
    </w:p>
    <w:p>
      <w:pPr>
        <w:ind w:right="20" w:firstLine="509"/>
        <w:spacing w:after="0" w:line="295" w:lineRule="auto"/>
        <w:rPr>
          <w:sz w:val="20"/>
          <w:szCs w:val="20"/>
          <w:color w:val="auto"/>
        </w:rPr>
      </w:pPr>
      <w:r>
        <w:rPr>
          <w:rFonts w:ascii="Times New Roman" w:cs="Times New Roman" w:eastAsia="Times New Roman" w:hAnsi="Times New Roman"/>
          <w:sz w:val="17"/>
          <w:szCs w:val="17"/>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20"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Ronnie Y. Ng</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Scott D. Felenstein</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of Sales, Marketing &amp; Partnerships</w:t>
            </w:r>
          </w:p>
        </w:tc>
      </w:tr>
      <w:tr>
        <w:trPr>
          <w:trHeight w:val="22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Maria V. Woods</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tc>
      </w:tr>
    </w:tbl>
    <w:p>
      <w:pPr>
        <w:spacing w:after="0" w:line="22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Thomas F. Lesinski. </w:t>
      </w:r>
      <w:r>
        <w:rPr>
          <w:rFonts w:ascii="Times New Roman" w:cs="Times New Roman" w:eastAsia="Times New Roman" w:hAnsi="Times New Roman"/>
          <w:sz w:val="17"/>
          <w:szCs w:val="17"/>
          <w:color w:val="auto"/>
        </w:rPr>
        <w:t>Mr. Lesinski was appointed Chief Executive Officer of NCM, Inc. in August 2019. Prior to his current position, Mr. Lesinski 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Non-Employee Chairman of the Board of Directors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spacing w:after="0" w:line="280" w:lineRule="exact"/>
        <w:rPr>
          <w:sz w:val="20"/>
          <w:szCs w:val="20"/>
          <w:color w:val="auto"/>
        </w:rPr>
      </w:pPr>
    </w:p>
    <w:p>
      <w:pPr>
        <w:ind w:right="30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Ronnie Y. Ng</w:t>
      </w:r>
      <w:r>
        <w:rPr>
          <w:rFonts w:ascii="Times New Roman" w:cs="Times New Roman" w:eastAsia="Times New Roman" w:hAnsi="Times New Roman"/>
          <w:sz w:val="17"/>
          <w:szCs w:val="17"/>
          <w:color w:val="auto"/>
        </w:rPr>
        <w:t>. Mr. Ng was appointed Chief Financial Officer in September 2021. Mr. Ng previously served as the Chief Financial Officer and Head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Development of Allen Media Group from October 2018 until September 2021 where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7"/>
          <w:szCs w:val="17"/>
          <w:color w:val="auto"/>
        </w:rPr>
        <w:t>he led the company's finance organization and oversaw multiple large scale acquisitions and the refinancing of the company's capital structure. Before joining Allen Media Group, Mr. Ng served as Vice President in the Fixed Income Group for TCW Group from 2013 to 2018 where he invested in investment grade corporate bonds, high-yield bonds and leveraged loans. Prior to joining TCW Group, Mr. Ng was an investment banker for approximately 10 years. From 2006 to 2012 he was an Executive Director at UBS Investment Bank’s Global Media Group where he managed, advised, and structured various financings and mergers and acquisition transactions. Previously, Mr. Ng held similar investment banking positions from 2003 to 2006 at Deutsche Bank and Houlihan Lokey. Prior to Mr. Ng’s investment banking career, he provided financial and accounting due diligence services for merger and acquisition and financing transactions at Arthur Andersen. Mr. Ng holds a Bachelor of Science degree in finance from the University of Illinois at Urbana-Champaign and was a licensed general securities representative (Series 7) and Uniform Securities Agent (Series 63).</w:t>
      </w:r>
    </w:p>
    <w:p>
      <w:pPr>
        <w:spacing w:after="0" w:line="7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Scott D. Felenstein. </w:t>
      </w:r>
      <w:r>
        <w:rPr>
          <w:rFonts w:ascii="Times New Roman" w:cs="Times New Roman" w:eastAsia="Times New Roman" w:hAnsi="Times New Roman"/>
          <w:sz w:val="17"/>
          <w:szCs w:val="17"/>
          <w:color w:val="auto"/>
        </w:rPr>
        <w:t>Mr. Felenstein was appointed as President of Sales, Marketing &amp; Partnerships in July 2021. Prior to this appointment, Mr. Felenstein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Executive Vice President and Chief Revenue Officer since April 2017. Prior to joining NCM, Inc., Mr. 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6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Maria V. Woods. </w:t>
      </w:r>
      <w:r>
        <w:rPr>
          <w:rFonts w:ascii="Times New Roman" w:cs="Times New Roman" w:eastAsia="Times New Roman" w:hAnsi="Times New Roman"/>
          <w:sz w:val="17"/>
          <w:szCs w:val="17"/>
          <w:color w:val="auto"/>
        </w:rPr>
        <w:t>Ms. Woods was appointed Executive Vice President and General Counsel in September 2021. Ms. Woods previously served in several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key leadership roles on NCM’s legal team from 2010 through 2015, rising to the role of National CineMedia, LLC’s EVP and General Counsel. Ms. Woods previously served as General Counsel for Lucky’s Market from June of 2015 to June of 2020, including during their bankruptcy proceedings in January of 2020. In between her role at Lucky’s Market and returning to NCM in September 2021, Ms. Woods served as General Counsel and Secretary at JumpCloud, Inc., providing strategic legal counsel for all legal aspects of the company’s SaaS identity management business, including, corporate governance, merger and acquisition activity, financing and stock repurchases and commercial contracting and served as General Counsel &amp; Secretary at ONE Group Hospitality, Inc. Earlier in her career, she was Associate General Counsel at Einstein Noah Restaurant Group, Inc. and Assistant General Counsel at Sun Microsystems, Inc. She began her career at Holme Roberts &amp; Owen (now Bryan Cave) in Denver. She holds a Bachelor of Arts in Communications Studies from the University of Iowa and a Juris Doctorate from the University of Denver Sturm College of Law.</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4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20"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Our common stock, $0.01 par value, is traded on The Nasdaq Global Select Market under the symbol “NCMI”. There were 221 stockholders of record as of April 10, 2023 (does not include beneficial holders of shares held in “street name”).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0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7"/>
          <w:szCs w:val="17"/>
          <w:color w:val="auto"/>
        </w:rPr>
        <w:t>We intend to distribute substantially all of our free cash flow (distributions from NCM LLC less income taxes and payments under the tax receivable agreement with the founding members) in the form of dividends to our stockholders. The declaration, payment, timing and amount of any dividends payable will be at the sole discretion of our Board of Directors who will take into account general economic and advertising market business conditions, our financial condition, our available cash, our current and anticipated cash needs, including opportunities to reinvest in our business and any other factors that the Board of Directors considers relevant which includes short-term and long-term impacts to the Company related to the COVID-19 Pandemic and restrictions under the NCM LLC Credit Agreement and the Revolving Credit Agreement 2022 (as defined herein), entered into on January 5, 2022. The Company intends to pay a regular dividend for the foreseeable future at the discretion of the Board of Directors consistent with the Company’s intention to distribute substantially all its free cash flow to stockholders through a dividend.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w:t>
      </w:r>
      <w:r>
        <w:rPr>
          <w:rFonts w:ascii="Times New Roman" w:cs="Times New Roman" w:eastAsia="Times New Roman" w:hAnsi="Times New Roman"/>
          <w:sz w:val="17"/>
          <w:szCs w:val="17"/>
          <w:color w:val="242424"/>
        </w:rPr>
        <w:t>ar. For tax purposes, our dividends paid in 2021 and 2022 were treated as non-dividend distributions to stockholders.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4"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 table below provides information about shares delivered to the Company from restricted stock held by Company employees upon vesting for the purpose of funding the recipient’s tax withholding obligations.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3" w:name="page44"/>
    <w:bookmarkEnd w:id="43"/>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Total Number</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8"/>
              </w:rPr>
              <w:t>of Shares</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rPr>
              <w: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Purchased as</w:t>
            </w: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7"/>
              </w:rPr>
              <w:t>(b)</w:t>
            </w:r>
          </w:p>
        </w:tc>
        <w:tc>
          <w:tcPr>
            <w:tcW w:w="14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Part of Publicly</w:t>
            </w: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210"/>
              <w:spacing w:after="0" w:line="131" w:lineRule="exact"/>
              <w:rPr>
                <w:sz w:val="20"/>
                <w:szCs w:val="20"/>
                <w:color w:val="auto"/>
              </w:rPr>
            </w:pPr>
            <w:r>
              <w:rPr>
                <w:rFonts w:ascii="Times New Roman" w:cs="Times New Roman" w:eastAsia="Times New Roman" w:hAnsi="Times New Roman"/>
                <w:sz w:val="14"/>
                <w:szCs w:val="14"/>
                <w:color w:val="auto"/>
                <w:w w:val="98"/>
              </w:rPr>
              <w:t>Total Number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9"/>
              </w:rPr>
              <w:t>Announced</w:t>
            </w:r>
          </w:p>
        </w:tc>
        <w:tc>
          <w:tcPr>
            <w:tcW w:w="0" w:type="dxa"/>
            <w:vAlign w:val="bottom"/>
          </w:tcPr>
          <w:p>
            <w:pPr>
              <w:spacing w:after="0"/>
              <w:rPr>
                <w:sz w:val="1"/>
                <w:szCs w:val="1"/>
                <w:color w:val="auto"/>
              </w:rPr>
            </w:pPr>
          </w:p>
        </w:tc>
      </w:tr>
      <w:tr>
        <w:trPr>
          <w:trHeight w:val="14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190"/>
              <w:spacing w:after="0" w:line="144" w:lineRule="exact"/>
              <w:rPr>
                <w:sz w:val="20"/>
                <w:szCs w:val="20"/>
                <w:color w:val="auto"/>
              </w:rPr>
            </w:pPr>
            <w:r>
              <w:rPr>
                <w:rFonts w:ascii="Times New Roman" w:cs="Times New Roman" w:eastAsia="Times New Roman" w:hAnsi="Times New Roman"/>
                <w:sz w:val="14"/>
                <w:szCs w:val="14"/>
                <w:color w:val="auto"/>
                <w:w w:val="98"/>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color w:val="auto"/>
                <w:w w:val="97"/>
              </w:rPr>
              <w:t>Average Price</w:t>
            </w:r>
          </w:p>
        </w:tc>
        <w:tc>
          <w:tcPr>
            <w:tcW w:w="14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Plans or</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Purchased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Paid 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Programs</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September 30, 2022 through October 27, 2022</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4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3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October 28, 2022 through December 1, 2022</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63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December 2, 2022 through December 29, 2022</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0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440" w:type="dxa"/>
            <w:vAlign w:val="bottom"/>
            <w:gridSpan w:val="5"/>
          </w:tcPr>
          <w:p>
            <w:pPr>
              <w:jc w:val="right"/>
              <w:ind w:right="391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1"/>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980" w:type="dxa"/>
            <w:vAlign w:val="bottom"/>
            <w:gridSpan w:val="3"/>
          </w:tcPr>
          <w:p>
            <w:pPr>
              <w:jc w:val="right"/>
              <w:ind w:right="570"/>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4"/>
          <w:szCs w:val="14"/>
          <w:color w:val="auto"/>
        </w:rPr>
        <w:t>(d)</w:t>
      </w:r>
    </w:p>
    <w:p>
      <w:pPr>
        <w:ind w:left="180"/>
        <w:spacing w:after="0" w:line="194" w:lineRule="auto"/>
        <w:rPr>
          <w:sz w:val="20"/>
          <w:szCs w:val="20"/>
          <w:color w:val="auto"/>
        </w:rPr>
      </w:pPr>
      <w:r>
        <w:rPr>
          <w:rFonts w:ascii="Times New Roman" w:cs="Times New Roman" w:eastAsia="Times New Roman" w:hAnsi="Times New Roman"/>
          <w:sz w:val="14"/>
          <w:szCs w:val="14"/>
          <w:color w:val="auto"/>
        </w:rPr>
        <w:t>Maximum</w:t>
      </w:r>
    </w:p>
    <w:p>
      <w:pPr>
        <w:ind w:left="140"/>
        <w:spacing w:after="0" w:line="214" w:lineRule="auto"/>
        <w:rPr>
          <w:sz w:val="20"/>
          <w:szCs w:val="20"/>
          <w:color w:val="auto"/>
        </w:rPr>
      </w:pPr>
      <w:r>
        <w:rPr>
          <w:rFonts w:ascii="Times New Roman" w:cs="Times New Roman" w:eastAsia="Times New Roman" w:hAnsi="Times New Roman"/>
          <w:sz w:val="14"/>
          <w:szCs w:val="14"/>
          <w:color w:val="auto"/>
        </w:rPr>
        <w:t>Number (or</w:t>
      </w:r>
    </w:p>
    <w:p>
      <w:pPr>
        <w:ind w:left="100"/>
        <w:spacing w:after="0" w:line="214" w:lineRule="auto"/>
        <w:rPr>
          <w:sz w:val="20"/>
          <w:szCs w:val="20"/>
          <w:color w:val="auto"/>
        </w:rPr>
      </w:pPr>
      <w:r>
        <w:rPr>
          <w:rFonts w:ascii="Times New Roman" w:cs="Times New Roman" w:eastAsia="Times New Roman" w:hAnsi="Times New Roman"/>
          <w:sz w:val="14"/>
          <w:szCs w:val="14"/>
          <w:color w:val="auto"/>
        </w:rPr>
        <w:t>Approximate</w:t>
      </w:r>
    </w:p>
    <w:p>
      <w:pPr>
        <w:ind w:left="80" w:right="320" w:firstLine="6"/>
        <w:spacing w:after="0" w:line="220" w:lineRule="auto"/>
        <w:rPr>
          <w:sz w:val="20"/>
          <w:szCs w:val="20"/>
          <w:color w:val="auto"/>
        </w:rPr>
      </w:pPr>
      <w:r>
        <w:rPr>
          <w:rFonts w:ascii="Times New Roman" w:cs="Times New Roman" w:eastAsia="Times New Roman" w:hAnsi="Times New Roman"/>
          <w:sz w:val="13"/>
          <w:szCs w:val="13"/>
          <w:color w:val="auto"/>
        </w:rPr>
        <w:t>Dollar Value) of Shares that</w:t>
      </w:r>
    </w:p>
    <w:p>
      <w:pPr>
        <w:ind w:left="160"/>
        <w:spacing w:after="0" w:line="214" w:lineRule="auto"/>
        <w:rPr>
          <w:sz w:val="20"/>
          <w:szCs w:val="20"/>
          <w:color w:val="auto"/>
        </w:rPr>
      </w:pPr>
      <w:r>
        <w:rPr>
          <w:rFonts w:ascii="Times New Roman" w:cs="Times New Roman" w:eastAsia="Times New Roman" w:hAnsi="Times New Roman"/>
          <w:sz w:val="14"/>
          <w:szCs w:val="14"/>
          <w:color w:val="auto"/>
        </w:rPr>
        <w:t>may yet be</w:t>
      </w:r>
    </w:p>
    <w:p>
      <w:pPr>
        <w:spacing w:after="0" w:line="194" w:lineRule="auto"/>
        <w:rPr>
          <w:sz w:val="20"/>
          <w:szCs w:val="20"/>
          <w:color w:val="auto"/>
        </w:rPr>
      </w:pPr>
      <w:r>
        <w:rPr>
          <w:rFonts w:ascii="Times New Roman" w:cs="Times New Roman" w:eastAsia="Times New Roman" w:hAnsi="Times New Roman"/>
          <w:sz w:val="14"/>
          <w:szCs w:val="14"/>
          <w:color w:val="auto"/>
        </w:rPr>
        <w:t>Purchased under</w:t>
      </w:r>
    </w:p>
    <w:p>
      <w:pPr>
        <w:jc w:val="center"/>
        <w:ind w:right="240"/>
        <w:spacing w:after="0" w:line="214" w:lineRule="auto"/>
        <w:rPr>
          <w:sz w:val="20"/>
          <w:szCs w:val="20"/>
          <w:color w:val="auto"/>
        </w:rPr>
      </w:pPr>
      <w:r>
        <w:rPr>
          <w:rFonts w:ascii="Times New Roman" w:cs="Times New Roman" w:eastAsia="Times New Roman" w:hAnsi="Times New Roman"/>
          <w:sz w:val="14"/>
          <w:szCs w:val="14"/>
          <w:color w:val="auto"/>
        </w:rPr>
        <w:t>the Plans or</w:t>
      </w:r>
    </w:p>
    <w:p>
      <w:pPr>
        <w:spacing w:after="0" w:line="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17780</wp:posOffset>
            </wp:positionV>
            <wp:extent cx="903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N/A</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N/A</w:t>
      </w:r>
    </w:p>
    <w:p>
      <w:pPr>
        <w:sectPr>
          <w:pgSz w:w="11900" w:h="16838" w:orient="portrait"/>
          <w:cols w:equalWidth="0" w:num="2">
            <w:col w:w="9700" w:space="340"/>
            <w:col w:w="1160"/>
          </w:cols>
          <w:pgMar w:left="320" w:top="899" w:right="379" w:bottom="1440" w:gutter="0" w:footer="0" w:header="0"/>
        </w:sectPr>
      </w:pPr>
    </w:p>
    <w:bookmarkStart w:id="44" w:name="page45"/>
    <w:bookmarkEnd w:id="44"/>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1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As discussed in the forepart of this report,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7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This section of this Form 10-K generally discusses fiscal 2022 and fiscal 2021 items and year-to-year comparisons between fiscal 2022 and fiscal 2021. Discussions of fiscal 2020 items and year-to-year comparisons between fiscal 2021 and fiscal 2020 that are not included in this Form 10-K can be found in “Management’s Discussion and Analysis of Financial Condition and Results of Operations” in Part II, Item 7 of the Company’s Annual Report on Form 10-K for the fiscal year ended December 30,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Bankruptcy Filing and Going Concern</w:t>
      </w:r>
    </w:p>
    <w:p>
      <w:pPr>
        <w:spacing w:after="0" w:line="12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As a result of the commencement of the Chapter 11 Case on April 11, 2023 discussed further within Item 1, we are operating as the manager of the debtor-in-possession pursuant to the authority granted under Chapter 11 of the Bankruptcy Code. Pursuant to the Chapter 11 Case, we intend to de-lever NCM LLC’s balance sheet and reduce overall indebtedness. Additionally, as a debtor in possession, certain of NCM LLC’s activities are subject to review and approval by the Bankruptcy Court, including, among other things, the incurrence of secured indebtedness, material asset dispositions, and other transactions outside the ordinary course of business. There can be no guarantee NCM LLC will successfully agree upon a viable plan of reorganization with the various stakeholders, or that any such agreement will be reached in the time frame that is acceptable to the Bankruptcy Court.</w:t>
      </w:r>
    </w:p>
    <w:p>
      <w:pPr>
        <w:spacing w:after="0" w:line="67"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We have concluded that NCM LLC’s financial condition and projected operating results, the defaults under NCM LLC’s debt agreements subsequent to December 29, 2022, and the risks and uncertainties surrounding NCM LLC’s Chapter 11 Case raise substantial doubt as to our ability to continue as a going concern. See Note 16</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Subsequent Events for further discussion.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jc w:val="both"/>
        <w:ind w:right="300" w:firstLine="509"/>
        <w:spacing w:after="0" w:line="275" w:lineRule="auto"/>
        <w:rPr>
          <w:sz w:val="20"/>
          <w:szCs w:val="20"/>
          <w:color w:val="auto"/>
        </w:rPr>
      </w:pPr>
      <w:r>
        <w:rPr>
          <w:rFonts w:ascii="Times New Roman" w:cs="Times New Roman" w:eastAsia="Times New Roman" w:hAnsi="Times New Roman"/>
          <w:sz w:val="17"/>
          <w:szCs w:val="17"/>
          <w:color w:val="auto"/>
        </w:rPr>
        <w:t xml:space="preserve">We are America’s Movie Network. As the largest cinema advertising network in North America, we are a media company dedicated to uniting brands with young, diverse audiences through the power of movies and pop culture. We currently derive revenue principally from the sale of advertising to national, regional and local businesses in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our cinema advertising and entertainment show seen on movie screens across the U.S.</w:t>
      </w:r>
    </w:p>
    <w:p>
      <w:pPr>
        <w:spacing w:after="0" w:line="57"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7"/>
          <w:szCs w:val="17"/>
          <w:color w:val="auto"/>
        </w:rPr>
        <w:t xml:space="preserve">We present two different formats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depending on the theater circuit in which it runs. In Regal and Cinemark and a portion of our network affiliates’ theaters,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now includes Post-Showtime advertising inventory after the advertised showtime consisting of (1) the lights down segment that runs for five minutes after the advertised showtime with trailer lighting and (2) the 30- or 60-second Platinum Spot. As of December 29, 2022, theaters presenting the new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format with Post-Showtime Inventory made up approximately 59.3% of our network. All other NCM network theater circuits, which make up the remaining 40.7% of our network, present the Classic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which ends approximately at the advertised movie showtime when the movie trailers begin. The movie trailers that run before the feature film are not part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w:t>
      </w:r>
    </w:p>
    <w:p>
      <w:pPr>
        <w:spacing w:after="0" w:line="6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7"/>
          <w:szCs w:val="17"/>
          <w:color w:val="auto"/>
        </w:rPr>
        <w:t xml:space="preserve">We also sell advertising on our LEN, a series of strategically-placed screens located in movie theater lobbies, as well as other forms of advertising and promotions in theater lobbies. In addition, we sell digital online and mobile advertising through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across our suite of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digital properties,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Shuffle and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xml:space="preserve"> on third-party’s internet sites, as well as a variety of complementary out of home venues, including restaurants, convenience stores and college campuses, in order to reach entertainment audiences beyond the theater. As of December 29, 2022, approximately 7.3 million moviegoers have downloaded our mobile apps. These downloads and the acquisition of second- and third-party data have resulted in unique data records of approximately 374.4 million as of December 29, 2022. We have long-term ESAs (approximately 16.8 weighted average years) with the founding members and multi-year agreements with network affiliates, which expire at various dates between May 29, 2023 and December 31, 2037. The weighted average remaining term of the ESAs and the network affiliate agreements is 14.0 years as of December 29, 2022. The ESAs and network affiliate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5" w:name="page46"/>
    <w:bookmarkEnd w:id="45"/>
    <w:p>
      <w:pPr>
        <w:ind w:right="380"/>
        <w:spacing w:after="0" w:line="297" w:lineRule="auto"/>
        <w:rPr>
          <w:sz w:val="20"/>
          <w:szCs w:val="20"/>
          <w:color w:val="auto"/>
        </w:rPr>
      </w:pPr>
      <w:r>
        <w:rPr>
          <w:rFonts w:ascii="Times New Roman" w:cs="Times New Roman" w:eastAsia="Times New Roman" w:hAnsi="Times New Roman"/>
          <w:sz w:val="17"/>
          <w:szCs w:val="17"/>
          <w:color w:val="auto"/>
        </w:rPr>
        <w:t xml:space="preserve">agreements grant NCM LLC exclusive rights in their theaters to sell advertising, subject to limited exceptions.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LEN programming are distributed predominantly via satellite through our proprietary DCN.</w:t>
      </w:r>
    </w:p>
    <w:p>
      <w:pPr>
        <w:spacing w:after="0" w:line="4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national and regional advertising pricing (CPM), local advertising rate per theater per week,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any future dividends declared by our Board of Directors.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Cineworld Proceeding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On September 7, 2022, Cineworld Group plc, the parent company of Regal, and certain of its subsidiaries, including Regal,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Regal Cinemas, Inc., a party to the ESA with NCM LLC,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currently plans on negotiating with the Company. NCM LLC has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Although there can be no assurances that NCM LLC’s proceeding for declaratory relief will be successful, the Company believes these exclusivity rights will survive any attempted rejection of the ESA by Regal in the bankruptcy proceeding. As of the filing date, the Company continues to negotiate with Regal regarding the ESA and NCM LLC's provision of advertising services. In the event that NCM LLC’s or NCM, Inc.’s agreements with Regal and its affiliates are rejected, it could have a materially negative impact on the Company’s operations or financial condition.</w:t>
      </w:r>
    </w:p>
    <w:p>
      <w:pPr>
        <w:spacing w:after="0" w:line="6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COVID-19 Impact and Other Macroeconomic Factors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impacts from the COVID-19 Pandemic have had and continue to have an effect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world and our business. The movie slate for 2022 improved from prior years but continued to be limited by post-production delays and major motion picture release schedule changes. Attendance levels increased from the prior year, but have not met historical levels and has not been consistent throughout the year due to timing of major motion picture releases. In-theater advertising revenue for the year ended December 30, 2021 and the year ended December 29, 2022 also remained below historical levels due in part to a lag between the recovery of attendees and advertisers, as well as current macroeconomic factors, such as rising interest rates, inflationary pressures and any potential recession, and the respective impacts on advertisers.</w:t>
      </w:r>
    </w:p>
    <w:p>
      <w:pPr>
        <w:spacing w:after="0" w:line="66"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To ensure sufficient liquidity to endure the impacts of the COVID-19 Pandemic and other macroeconomic factors, we continued to manage our liquidity position through various cost control methods discussed further within the “Financial Condition and Liquidity” section below. Since the beginning of the COVID-19 Pandemic, the Company has significantly reduced payroll related costs through a combination of temporary furloughs and salary reductions and permanent layoffs. These changes have resulted in a headcount reduction of 39% as of December 29, 2022,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are still required to pay these screen-based fees when theaters are open.</w:t>
      </w:r>
    </w:p>
    <w:p>
      <w:pPr>
        <w:spacing w:after="0" w:line="2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believe that the exhibition industry has historically fared well during periods of economic stress, and we remain optimistic that attendance figures will continue to benefit from increased major motion picture activity. There can be no assurance that studios will not reschedule movie releases; that post-production delays will not negatively impact network attendance, advertiser sentiment, and our business in general; social distancing, capacity restrictions, and other public safety measures will not be reintroduced; when or if theaters within our network will return to historic attendance levels; and that the theaters which have reopened will remain open; or if any of the changes in consumer behavior or changes to the theatrical window in response to the COVID-19 Pandemic will become permanent.</w:t>
      </w:r>
    </w:p>
    <w:p>
      <w:pPr>
        <w:spacing w:after="0" w:line="63"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Financing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On January 5, 2022, NCM LLC entered into the third amendment (the “Credit Agreement Third Amendment”) to its Credit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dated as of June 20, 2018, among NCM LLC, the several banks and other financial institutions or entities from time to time parties thereto, and JPMorgan Chase Bank, N.A., as administrative agent, as previously amended (the “Credit Agreement”). Among other things, the Credit Agreement Third Amendment provides for: (i) certain modifications to and extensions to modifications of the affirmative and negative covenants therein, including maintaining a total</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6" w:name="page47"/>
    <w:bookmarkEnd w:id="46"/>
    <w:p>
      <w:pPr>
        <w:spacing w:after="0" w:line="263" w:lineRule="auto"/>
        <w:rPr>
          <w:sz w:val="20"/>
          <w:szCs w:val="20"/>
          <w:color w:val="auto"/>
        </w:rPr>
      </w:pPr>
      <w:r>
        <w:rPr>
          <w:rFonts w:ascii="Times New Roman" w:cs="Times New Roman" w:eastAsia="Times New Roman" w:hAnsi="Times New Roman"/>
          <w:sz w:val="17"/>
          <w:szCs w:val="17"/>
          <w:color w:val="auto"/>
        </w:rPr>
        <w:t>balance of $55.0 million of a combination of unrestricted cash on hand and availability under NCM LLC’s revolving credit facility through the fourth quarter of 2023; (ii) the suspension of the consolidated net total leverage and consolidated net senior secured leverage financial covenants through the fiscal quarter ending December 29, 2022 (the “Extended Covenant Waiver Holiday”)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28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Also on January 5, 2022, NCM LLC entered into a Revolving Credit Agreement (the “Revolving Credit Agreement 2022”) among NCM LLC, the 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Secured Overnight Financing Rate (“SOFR”) plus 8.0%, with a 1.0%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Historical and Operating Data</w:t>
      </w:r>
    </w:p>
    <w:p>
      <w:pPr>
        <w:spacing w:after="0" w:line="12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“Item 1. Business,”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The results of operations data for the years ended December 29, 2022 and December 30, 2021 and the balance sheet data as of December 29, 2022 and December 30, 2021 are derived from the audited Consolidated Financial Statements of NCM, Inc. included elsewhere in this document. The results of operations data for the years ended December 31, 2020, December 26, 2019 and December 27, 2018 and the balance sheet data as of December 31, 2020, December 26, 2019 and December 27, 2018 are derived from the audited Consolidated Financial Statements of NCM, Inc. that are not included in this document.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Results of Operations Data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200" w:type="dxa"/>
            <w:vAlign w:val="bottom"/>
          </w:tcPr>
          <w:p>
            <w:pPr>
              <w:spacing w:after="0"/>
              <w:rPr>
                <w:sz w:val="10"/>
                <w:szCs w:val="10"/>
                <w:color w:val="auto"/>
              </w:rPr>
            </w:pPr>
          </w:p>
        </w:tc>
        <w:tc>
          <w:tcPr>
            <w:tcW w:w="100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Dec. 29,</w:t>
            </w:r>
          </w:p>
        </w:tc>
        <w:tc>
          <w:tcPr>
            <w:tcW w:w="200" w:type="dxa"/>
            <w:vAlign w:val="bottom"/>
          </w:tcPr>
          <w:p>
            <w:pPr>
              <w:spacing w:after="0"/>
              <w:rPr>
                <w:sz w:val="10"/>
                <w:szCs w:val="10"/>
                <w:color w:val="auto"/>
              </w:rPr>
            </w:pPr>
          </w:p>
        </w:tc>
        <w:tc>
          <w:tcPr>
            <w:tcW w:w="100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Dec. 30,</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 31,</w:t>
            </w:r>
          </w:p>
        </w:tc>
        <w:tc>
          <w:tcPr>
            <w:tcW w:w="200" w:type="dxa"/>
            <w:vAlign w:val="bottom"/>
          </w:tcPr>
          <w:p>
            <w:pPr>
              <w:spacing w:after="0"/>
              <w:rPr>
                <w:sz w:val="10"/>
                <w:szCs w:val="10"/>
                <w:color w:val="auto"/>
              </w:rPr>
            </w:pPr>
          </w:p>
        </w:tc>
        <w:tc>
          <w:tcPr>
            <w:tcW w:w="100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Dec. 26,</w:t>
            </w:r>
          </w:p>
        </w:tc>
        <w:tc>
          <w:tcPr>
            <w:tcW w:w="220" w:type="dxa"/>
            <w:vAlign w:val="bottom"/>
          </w:tcPr>
          <w:p>
            <w:pPr>
              <w:spacing w:after="0"/>
              <w:rPr>
                <w:sz w:val="10"/>
                <w:szCs w:val="10"/>
                <w:color w:val="auto"/>
              </w:rPr>
            </w:pPr>
          </w:p>
        </w:tc>
        <w:tc>
          <w:tcPr>
            <w:tcW w:w="880" w:type="dxa"/>
            <w:vAlign w:val="bottom"/>
          </w:tcPr>
          <w:p>
            <w:pPr>
              <w:jc w:val="right"/>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Dec. 27,</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170"/>
        </w:trPr>
        <w:tc>
          <w:tcPr>
            <w:tcW w:w="532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Theater access fees and revenue share to founding</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members</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expense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170"/>
        </w:trPr>
        <w:tc>
          <w:tcPr>
            <w:tcW w:w="532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Amortization of intangibles recorded for network theater</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screen leases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NON-OPERATING EXPENSE (INCOME)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2"/>
        </w:trPr>
        <w:tc>
          <w:tcPr>
            <w:tcW w:w="5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5"/>
        </w:trPr>
        <w:tc>
          <w:tcPr>
            <w:tcW w:w="53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CONSOLIDATED NET (LOSS) INCOME</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0" w:type="dxa"/>
            <w:vAlign w:val="bottom"/>
          </w:tcPr>
          <w:p>
            <w:pPr>
              <w:spacing w:after="0"/>
              <w:rPr>
                <w:sz w:val="1"/>
                <w:szCs w:val="1"/>
                <w:color w:val="auto"/>
              </w:rPr>
            </w:pPr>
          </w:p>
        </w:tc>
      </w:tr>
      <w:tr>
        <w:trPr>
          <w:trHeight w:val="170"/>
        </w:trPr>
        <w:tc>
          <w:tcPr>
            <w:tcW w:w="532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Less: Net (loss) income attributable to noncontrolling</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interests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4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NCM, Inc.</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(LOSS) EARNINGS PER NCM, INC.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and Operating Data</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cash dividend declared per common share and</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 29,</w:t>
            </w:r>
          </w:p>
        </w:tc>
        <w:tc>
          <w:tcPr>
            <w:tcW w:w="220" w:type="dxa"/>
            <w:vAlign w:val="bottom"/>
          </w:tcPr>
          <w:p>
            <w:pPr>
              <w:spacing w:after="0"/>
              <w:rPr>
                <w:sz w:val="10"/>
                <w:szCs w:val="10"/>
                <w:color w:val="auto"/>
              </w:rPr>
            </w:pPr>
          </w:p>
        </w:tc>
        <w:tc>
          <w:tcPr>
            <w:tcW w:w="106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Dec. 30,</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240" w:type="dxa"/>
            <w:vAlign w:val="bottom"/>
          </w:tcPr>
          <w:p>
            <w:pPr>
              <w:spacing w:after="0"/>
              <w:rPr>
                <w:sz w:val="10"/>
                <w:szCs w:val="10"/>
                <w:color w:val="auto"/>
              </w:rPr>
            </w:pPr>
          </w:p>
        </w:tc>
        <w:tc>
          <w:tcPr>
            <w:tcW w:w="106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 26,</w:t>
            </w:r>
          </w:p>
        </w:tc>
        <w:tc>
          <w:tcPr>
            <w:tcW w:w="220" w:type="dxa"/>
            <w:vAlign w:val="bottom"/>
          </w:tcPr>
          <w:p>
            <w:pPr>
              <w:spacing w:after="0"/>
              <w:rPr>
                <w:sz w:val="10"/>
                <w:szCs w:val="10"/>
                <w:color w:val="auto"/>
              </w:rPr>
            </w:pPr>
          </w:p>
        </w:tc>
        <w:tc>
          <w:tcPr>
            <w:tcW w:w="980" w:type="dxa"/>
            <w:vAlign w:val="bottom"/>
          </w:tcPr>
          <w:p>
            <w:pPr>
              <w:jc w:val="right"/>
              <w:ind w:right="297"/>
              <w:spacing w:after="0" w:line="125" w:lineRule="exact"/>
              <w:rPr>
                <w:sz w:val="20"/>
                <w:szCs w:val="20"/>
                <w:color w:val="auto"/>
              </w:rPr>
            </w:pPr>
            <w:r>
              <w:rPr>
                <w:rFonts w:ascii="Times New Roman" w:cs="Times New Roman" w:eastAsia="Times New Roman" w:hAnsi="Times New Roman"/>
                <w:sz w:val="14"/>
                <w:szCs w:val="14"/>
                <w:b w:val="1"/>
                <w:bCs w:val="1"/>
                <w:color w:val="auto"/>
              </w:rPr>
              <w:t>Dec. 27,</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screen data)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Adjusted OIBDA </w:t>
            </w:r>
            <w:r>
              <w:rPr>
                <w:rFonts w:ascii="Times New Roman" w:cs="Times New Roman" w:eastAsia="Times New Roman" w:hAnsi="Times New Roman"/>
                <w:sz w:val="17"/>
                <w:szCs w:val="17"/>
                <w:i w:val="1"/>
                <w:iCs w:val="1"/>
                <w:color w:val="auto"/>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205.4</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Adjusted OIBDA margin </w:t>
            </w:r>
            <w:r>
              <w:rPr>
                <w:rFonts w:ascii="Times New Roman" w:cs="Times New Roman" w:eastAsia="Times New Roman" w:hAnsi="Times New Roman"/>
                <w:sz w:val="17"/>
                <w:szCs w:val="17"/>
                <w:i w:val="1"/>
                <w:iCs w:val="1"/>
                <w:color w:val="auto"/>
              </w:rPr>
              <w:t>(1)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46.5 %</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 declared per common share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0.68</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Founding member screens at period end </w:t>
            </w:r>
            <w:r>
              <w:rPr>
                <w:rFonts w:ascii="Times New Roman" w:cs="Times New Roman" w:eastAsia="Times New Roman" w:hAnsi="Times New Roman"/>
                <w:sz w:val="17"/>
                <w:szCs w:val="17"/>
                <w:i w:val="1"/>
                <w:iCs w:val="1"/>
                <w:color w:val="auto"/>
              </w:rPr>
              <w:t>(2) (5)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16,515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16,880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16,768</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Total screens at period end </w:t>
            </w:r>
            <w:r>
              <w:rPr>
                <w:rFonts w:ascii="Times New Roman" w:cs="Times New Roman" w:eastAsia="Times New Roman" w:hAnsi="Times New Roman"/>
                <w:sz w:val="17"/>
                <w:szCs w:val="17"/>
                <w:i w:val="1"/>
                <w:iCs w:val="1"/>
                <w:color w:val="auto"/>
              </w:rPr>
              <w:t>(3) (5)</w:t>
            </w:r>
          </w:p>
        </w:tc>
        <w:tc>
          <w:tcPr>
            <w:tcW w:w="2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20,095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20,740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20,450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21,208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21,172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Total attendance for period </w:t>
            </w:r>
            <w:r>
              <w:rPr>
                <w:rFonts w:ascii="Times New Roman" w:cs="Times New Roman" w:eastAsia="Times New Roman" w:hAnsi="Times New Roman"/>
                <w:sz w:val="17"/>
                <w:szCs w:val="17"/>
                <w:i w:val="1"/>
                <w:iCs w:val="1"/>
                <w:color w:val="auto"/>
              </w:rPr>
              <w:t>(4) (5)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651.4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705.1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Selected Historical Financial and Operating Data</w:t>
      </w:r>
    </w:p>
    <w:p>
      <w:pPr>
        <w:spacing w:after="0" w:line="68" w:lineRule="exact"/>
        <w:rPr>
          <w:sz w:val="20"/>
          <w:szCs w:val="20"/>
          <w:color w:val="auto"/>
        </w:rPr>
      </w:pPr>
    </w:p>
    <w:p>
      <w:pPr>
        <w:ind w:left="940" w:hanging="309"/>
        <w:spacing w:after="0" w:line="263" w:lineRule="auto"/>
        <w:tabs>
          <w:tab w:leader="none" w:pos="934"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executive officer transition costs, legal fees related to abandoned financing transactions, costs related to the reorganization of the sales force, advisor fees related to involvement in the Cineworld Proceeding and impairments of long-lived assets. Adjusted OIBDA margin is calculated by dividing Adjusted OIBDA by total revenue. Our management uses these non-GAAP financial measures to evaluate operating performance, to forecast future results and as a basis for compensation. The Company believes these are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8" w:name="page49"/>
    <w:bookmarkEnd w:id="48"/>
    <w:p>
      <w:pPr>
        <w:ind w:left="420"/>
        <w:spacing w:after="0" w:line="258" w:lineRule="auto"/>
        <w:rPr>
          <w:sz w:val="20"/>
          <w:szCs w:val="20"/>
          <w:color w:val="auto"/>
        </w:rPr>
      </w:pPr>
      <w:r>
        <w:rPr>
          <w:rFonts w:ascii="Times New Roman" w:cs="Times New Roman" w:eastAsia="Times New Roman" w:hAnsi="Times New Roman"/>
          <w:sz w:val="17"/>
          <w:szCs w:val="17"/>
          <w:color w:val="auto"/>
        </w:rPr>
        <w:t>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executive officer turnover, legal fees related to abandoned financing transactions, costs related to the reorganization of the sales force, advisor fees related to involvement in the Cineworld Proceeding, impairments of long-lived assets,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share-based payment costs, costs associated with the resignation and hiring of the Company’s executive officers, legal fees related to abandoned financing transactions, costs related to the reorganization of the sales force, advisor fees related to involvement in the Cineworld Proceeding or impairments of long-lived assets.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Adjusted OIBDA does not reflect integration and other encumbered theater payments as they are recorded as a reduction to intangible</w:t>
      </w:r>
    </w:p>
    <w:p>
      <w:pPr>
        <w:spacing w:after="0" w:line="32" w:lineRule="exact"/>
        <w:rPr>
          <w:sz w:val="20"/>
          <w:szCs w:val="20"/>
          <w:color w:val="auto"/>
        </w:rPr>
      </w:pPr>
    </w:p>
    <w:p>
      <w:pPr>
        <w:ind w:left="420" w:right="20"/>
        <w:spacing w:after="0" w:line="260" w:lineRule="auto"/>
        <w:rPr>
          <w:sz w:val="20"/>
          <w:szCs w:val="20"/>
          <w:color w:val="auto"/>
        </w:rPr>
      </w:pPr>
      <w:r>
        <w:rPr>
          <w:rFonts w:ascii="Times New Roman" w:cs="Times New Roman" w:eastAsia="Times New Roman" w:hAnsi="Times New Roman"/>
          <w:sz w:val="17"/>
          <w:szCs w:val="17"/>
          <w:color w:val="auto"/>
        </w:rPr>
        <w:t>assets. Integration payments and other encumbered theater payments received are added to Adjusted OIBDA to determine our compliance with financial covenants under our senior secured credit facility and included in available cash distributions to NCM LLC’s founding members. During the years ended December 29, 2022, December 30, 2021, December 31, 2020, December 26, 2019 and December 27, 2018, the Company recorded integration and other encumbered theater payments of $5.4 million, $1.6 million, $1.4 million, $22.3 million, and $21.4 million, respectively, from NCM LLC’s founding members.</w:t>
      </w:r>
    </w:p>
    <w:p>
      <w:pPr>
        <w:spacing w:after="0" w:line="19" w:lineRule="exact"/>
        <w:rPr>
          <w:sz w:val="20"/>
          <w:szCs w:val="20"/>
          <w:color w:val="auto"/>
        </w:rPr>
      </w:pPr>
    </w:p>
    <w:p>
      <w:pPr>
        <w:ind w:left="420" w:hanging="309"/>
        <w:spacing w:after="0"/>
        <w:tabs>
          <w:tab w:leader="none" w:pos="42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total number of screens within NCM LLC’s advertising network operated by NCM LLC’s founding members.</w:t>
      </w:r>
    </w:p>
    <w:p>
      <w:pPr>
        <w:spacing w:after="0" w:line="65" w:lineRule="exact"/>
        <w:rPr>
          <w:rFonts w:ascii="Times New Roman" w:cs="Times New Roman" w:eastAsia="Times New Roman" w:hAnsi="Times New Roman"/>
          <w:sz w:val="17"/>
          <w:szCs w:val="17"/>
          <w:i w:val="1"/>
          <w:iCs w:val="1"/>
          <w:color w:val="auto"/>
        </w:rPr>
      </w:pPr>
    </w:p>
    <w:p>
      <w:pPr>
        <w:ind w:left="420" w:hanging="309"/>
        <w:spacing w:after="0"/>
        <w:tabs>
          <w:tab w:leader="none" w:pos="42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total screens within NCM LLC’s advertising network.</w:t>
      </w:r>
    </w:p>
    <w:p>
      <w:pPr>
        <w:spacing w:after="0" w:line="65" w:lineRule="exact"/>
        <w:rPr>
          <w:rFonts w:ascii="Times New Roman" w:cs="Times New Roman" w:eastAsia="Times New Roman" w:hAnsi="Times New Roman"/>
          <w:sz w:val="17"/>
          <w:szCs w:val="17"/>
          <w:i w:val="1"/>
          <w:iCs w:val="1"/>
          <w:color w:val="auto"/>
        </w:rPr>
      </w:pPr>
    </w:p>
    <w:p>
      <w:pPr>
        <w:ind w:left="420" w:hanging="309"/>
        <w:spacing w:after="0"/>
        <w:tabs>
          <w:tab w:leader="none" w:pos="42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total attendance within NCM LLC’s advertising network as provided by our founding members and affiliate partners.</w:t>
      </w:r>
    </w:p>
    <w:p>
      <w:pPr>
        <w:spacing w:after="0" w:line="65" w:lineRule="exact"/>
        <w:rPr>
          <w:rFonts w:ascii="Times New Roman" w:cs="Times New Roman" w:eastAsia="Times New Roman" w:hAnsi="Times New Roman"/>
          <w:sz w:val="17"/>
          <w:szCs w:val="17"/>
          <w:i w:val="1"/>
          <w:iCs w:val="1"/>
          <w:color w:val="auto"/>
        </w:rPr>
      </w:pPr>
    </w:p>
    <w:p>
      <w:pPr>
        <w:ind w:left="420" w:right="40" w:hanging="309"/>
        <w:spacing w:after="0" w:line="295" w:lineRule="auto"/>
        <w:tabs>
          <w:tab w:leader="none" w:pos="414"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Excludes screens and attendance associated with certain AMC Carmike Cinemas, Inc. (“Carmike”) theaters for certain periods presented. Refer to Note 5 to the audited Consolidated Financial Statements included elsewhere in this document.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operating income to Adjusted OIBDA for the periods presented (dollars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73660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80"/>
          </w:cols>
          <w:pgMar w:left="840" w:top="917"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
        </w:trPr>
        <w:tc>
          <w:tcPr>
            <w:tcW w:w="2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4"/>
        </w:trPr>
        <w:tc>
          <w:tcPr>
            <w:tcW w:w="2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Dec. 29,</w:t>
            </w:r>
          </w:p>
        </w:tc>
        <w:tc>
          <w:tcPr>
            <w:tcW w:w="260" w:type="dxa"/>
            <w:vAlign w:val="bottom"/>
          </w:tcPr>
          <w:p>
            <w:pPr>
              <w:spacing w:after="0"/>
              <w:rPr>
                <w:sz w:val="10"/>
                <w:szCs w:val="10"/>
                <w:color w:val="auto"/>
              </w:rPr>
            </w:pPr>
          </w:p>
        </w:tc>
        <w:tc>
          <w:tcPr>
            <w:tcW w:w="112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Dec. 30,</w:t>
            </w:r>
          </w:p>
        </w:tc>
        <w:tc>
          <w:tcPr>
            <w:tcW w:w="180" w:type="dxa"/>
            <w:vAlign w:val="bottom"/>
          </w:tcPr>
          <w:p>
            <w:pPr>
              <w:spacing w:after="0"/>
              <w:rPr>
                <w:sz w:val="10"/>
                <w:szCs w:val="10"/>
                <w:color w:val="auto"/>
              </w:rPr>
            </w:pPr>
          </w:p>
        </w:tc>
        <w:tc>
          <w:tcPr>
            <w:tcW w:w="12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Dec. 31,</w:t>
            </w:r>
          </w:p>
        </w:tc>
        <w:tc>
          <w:tcPr>
            <w:tcW w:w="260" w:type="dxa"/>
            <w:vAlign w:val="bottom"/>
          </w:tcPr>
          <w:p>
            <w:pPr>
              <w:spacing w:after="0"/>
              <w:rPr>
                <w:sz w:val="10"/>
                <w:szCs w:val="10"/>
                <w:color w:val="auto"/>
              </w:rPr>
            </w:pPr>
          </w:p>
        </w:tc>
        <w:tc>
          <w:tcPr>
            <w:tcW w:w="112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Dec. 26,</w:t>
            </w:r>
          </w:p>
        </w:tc>
        <w:tc>
          <w:tcPr>
            <w:tcW w:w="260" w:type="dxa"/>
            <w:vAlign w:val="bottom"/>
          </w:tcPr>
          <w:p>
            <w:pPr>
              <w:spacing w:after="0"/>
              <w:rPr>
                <w:sz w:val="10"/>
                <w:szCs w:val="10"/>
                <w:color w:val="auto"/>
              </w:rPr>
            </w:pPr>
          </w:p>
        </w:tc>
        <w:tc>
          <w:tcPr>
            <w:tcW w:w="1020" w:type="dxa"/>
            <w:vAlign w:val="bottom"/>
          </w:tcPr>
          <w:p>
            <w:pPr>
              <w:jc w:val="right"/>
              <w:ind w:right="315"/>
              <w:spacing w:after="0" w:line="124" w:lineRule="exact"/>
              <w:rPr>
                <w:sz w:val="20"/>
                <w:szCs w:val="20"/>
                <w:color w:val="auto"/>
              </w:rPr>
            </w:pPr>
            <w:r>
              <w:rPr>
                <w:rFonts w:ascii="Times New Roman" w:cs="Times New Roman" w:eastAsia="Times New Roman" w:hAnsi="Times New Roman"/>
                <w:sz w:val="14"/>
                <w:szCs w:val="14"/>
                <w:b w:val="1"/>
                <w:bCs w:val="1"/>
                <w:color w:val="auto"/>
              </w:rPr>
              <w:t>Dec. 27,</w:t>
            </w:r>
          </w:p>
        </w:tc>
      </w:tr>
      <w:tr>
        <w:trPr>
          <w:trHeight w:val="190"/>
        </w:trPr>
        <w:tc>
          <w:tcPr>
            <w:tcW w:w="218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1"/>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154.3</w:t>
            </w: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Amortization expense </w:t>
            </w:r>
            <w:r>
              <w:rPr>
                <w:rFonts w:ascii="Times New Roman" w:cs="Times New Roman" w:eastAsia="Times New Roman" w:hAnsi="Times New Roman"/>
                <w:sz w:val="17"/>
                <w:szCs w:val="17"/>
                <w:i w:val="1"/>
                <w:iCs w:val="1"/>
                <w:color w:val="auto"/>
              </w:rPr>
              <w:t>(1)</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27.3</w:t>
            </w:r>
          </w:p>
        </w:tc>
      </w:tr>
      <w:tr>
        <w:trPr>
          <w:trHeight w:val="170"/>
        </w:trPr>
        <w:tc>
          <w:tcPr>
            <w:tcW w:w="43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7"/>
                <w:szCs w:val="17"/>
                <w:color w:val="auto"/>
              </w:rPr>
              <w:t>Amortization of intangibles recorded for network theater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screen leases</w:t>
            </w:r>
          </w:p>
        </w:tc>
        <w:tc>
          <w:tcPr>
            <w:tcW w:w="26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Share-based compensation costs </w:t>
            </w:r>
            <w:r>
              <w:rPr>
                <w:rFonts w:ascii="Times New Roman" w:cs="Times New Roman" w:eastAsia="Times New Roman" w:hAnsi="Times New Roman"/>
                <w:sz w:val="17"/>
                <w:szCs w:val="17"/>
                <w:i w:val="1"/>
                <w:iCs w:val="1"/>
                <w:color w:val="auto"/>
              </w:rPr>
              <w:t>(2)</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7.8</w:t>
            </w: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Advisor fees related to abandoned financing transactions </w:t>
            </w:r>
            <w:r>
              <w:rPr>
                <w:rFonts w:ascii="Times New Roman" w:cs="Times New Roman" w:eastAsia="Times New Roman" w:hAnsi="Times New Roman"/>
                <w:sz w:val="17"/>
                <w:szCs w:val="17"/>
                <w:i w:val="1"/>
                <w:iCs w:val="1"/>
                <w:color w:val="auto"/>
              </w:rPr>
              <w:t>(3)</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Executive transition costs </w:t>
            </w:r>
            <w:r>
              <w:rPr>
                <w:rFonts w:ascii="Times New Roman" w:cs="Times New Roman" w:eastAsia="Times New Roman" w:hAnsi="Times New Roman"/>
                <w:sz w:val="17"/>
                <w:szCs w:val="17"/>
                <w:i w:val="1"/>
                <w:iCs w:val="1"/>
                <w:color w:val="auto"/>
              </w:rPr>
              <w:t>(4)</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Impairment of long-lived assets </w:t>
            </w:r>
            <w:r>
              <w:rPr>
                <w:rFonts w:ascii="Times New Roman" w:cs="Times New Roman" w:eastAsia="Times New Roman" w:hAnsi="Times New Roman"/>
                <w:sz w:val="17"/>
                <w:szCs w:val="17"/>
                <w:i w:val="1"/>
                <w:iCs w:val="1"/>
                <w:color w:val="auto"/>
              </w:rPr>
              <w:t>(5)</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Sales force reorganization costs </w:t>
            </w:r>
            <w:r>
              <w:rPr>
                <w:rFonts w:ascii="Times New Roman" w:cs="Times New Roman" w:eastAsia="Times New Roman" w:hAnsi="Times New Roman"/>
                <w:sz w:val="17"/>
                <w:szCs w:val="17"/>
                <w:i w:val="1"/>
                <w:iCs w:val="1"/>
                <w:color w:val="auto"/>
              </w:rPr>
              <w:t>(6)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Advisor fees related to the Cineworld Proceeding </w:t>
            </w:r>
            <w:r>
              <w:rPr>
                <w:rFonts w:ascii="Times New Roman" w:cs="Times New Roman" w:eastAsia="Times New Roman" w:hAnsi="Times New Roman"/>
                <w:sz w:val="17"/>
                <w:szCs w:val="17"/>
                <w:i w:val="1"/>
                <w:iCs w:val="1"/>
                <w:color w:val="auto"/>
              </w:rPr>
              <w:t>(7)</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43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OIBDA</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207.5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205.4</w:t>
            </w:r>
          </w:p>
        </w:tc>
      </w:tr>
      <w:tr>
        <w:trPr>
          <w:trHeight w:val="21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444.8</w:t>
            </w:r>
          </w:p>
        </w:tc>
        <w:tc>
          <w:tcPr>
            <w:tcW w:w="1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441.4</w:t>
            </w:r>
          </w:p>
        </w:tc>
      </w:tr>
      <w:tr>
        <w:trPr>
          <w:trHeight w:val="222"/>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OIBDA margin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46.5 %</w:t>
            </w:r>
          </w:p>
        </w:tc>
      </w:tr>
      <w:tr>
        <w:trPr>
          <w:trHeight w:val="157"/>
        </w:trPr>
        <w:tc>
          <w:tcPr>
            <w:tcW w:w="218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3" w:lineRule="exact"/>
        <w:rPr>
          <w:sz w:val="20"/>
          <w:szCs w:val="20"/>
          <w:color w:val="auto"/>
        </w:rPr>
      </w:pPr>
    </w:p>
    <w:p>
      <w:pPr>
        <w:ind w:left="940" w:right="60" w:hanging="309"/>
        <w:spacing w:after="0" w:line="269"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Following the adoption of ASC 842, as discussed within Note 13 to the audited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11" w:lineRule="exact"/>
        <w:rPr>
          <w:rFonts w:ascii="Times New Roman" w:cs="Times New Roman" w:eastAsia="Times New Roman" w:hAnsi="Times New Roman"/>
          <w:sz w:val="17"/>
          <w:szCs w:val="17"/>
          <w:i w:val="1"/>
          <w:iCs w:val="1"/>
          <w:color w:val="auto"/>
        </w:rPr>
      </w:pPr>
    </w:p>
    <w:p>
      <w:pPr>
        <w:ind w:left="940" w:right="520" w:hanging="309"/>
        <w:spacing w:after="0" w:line="287"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Share-based compensation costs are included in network operations, selling and marketing and administrative expense in the accompanying Consolidated Financial Statements.</w:t>
      </w:r>
    </w:p>
    <w:p>
      <w:pPr>
        <w:spacing w:after="0" w:line="2" w:lineRule="exact"/>
        <w:rPr>
          <w:rFonts w:ascii="Times New Roman" w:cs="Times New Roman" w:eastAsia="Times New Roman" w:hAnsi="Times New Roman"/>
          <w:sz w:val="17"/>
          <w:szCs w:val="17"/>
          <w:i w:val="1"/>
          <w:iCs w:val="1"/>
          <w:color w:val="auto"/>
        </w:rPr>
      </w:pPr>
    </w:p>
    <w:p>
      <w:pPr>
        <w:ind w:left="940" w:hanging="309"/>
        <w:spacing w:after="0" w:line="287"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These fees relate to advisor and legal costs incurred for advice pertaining to an alternative debt transaction that was abandoned in the fourth quarter of 2021 and an alternative equity transaction that was abandoned in the fourth quarter of 2022.</w:t>
      </w:r>
    </w:p>
    <w:p>
      <w:pPr>
        <w:spacing w:after="0" w:line="2" w:lineRule="exact"/>
        <w:rPr>
          <w:rFonts w:ascii="Times New Roman" w:cs="Times New Roman" w:eastAsia="Times New Roman" w:hAnsi="Times New Roman"/>
          <w:sz w:val="17"/>
          <w:szCs w:val="17"/>
          <w:i w:val="1"/>
          <w:iCs w:val="1"/>
          <w:color w:val="auto"/>
        </w:rPr>
      </w:pPr>
    </w:p>
    <w:p>
      <w:pPr>
        <w:ind w:left="940" w:right="220" w:hanging="309"/>
        <w:spacing w:after="0" w:line="287"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Executive transition costs represent costs associated with the search for the Company’s new CFO during the third quarter of 2021, the search for the company’s CEO in 2019, and CEO transitions costs incurred in 2018.</w:t>
      </w:r>
    </w:p>
    <w:p>
      <w:pPr>
        <w:spacing w:after="0" w:line="2" w:lineRule="exact"/>
        <w:rPr>
          <w:rFonts w:ascii="Times New Roman" w:cs="Times New Roman" w:eastAsia="Times New Roman" w:hAnsi="Times New Roman"/>
          <w:sz w:val="17"/>
          <w:szCs w:val="17"/>
          <w:i w:val="1"/>
          <w:iCs w:val="1"/>
          <w:color w:val="auto"/>
        </w:rPr>
      </w:pPr>
    </w:p>
    <w:p>
      <w:pPr>
        <w:ind w:left="940" w:hanging="309"/>
        <w:spacing w:after="0"/>
        <w:tabs>
          <w:tab w:leader="none" w:pos="940"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impairment of long-lived assets primarily relates to the write down of certain internally developed software no longer in use.</w:t>
      </w:r>
    </w:p>
    <w:p>
      <w:pPr>
        <w:spacing w:after="0" w:line="65" w:lineRule="exact"/>
        <w:rPr>
          <w:rFonts w:ascii="Times New Roman" w:cs="Times New Roman" w:eastAsia="Times New Roman" w:hAnsi="Times New Roman"/>
          <w:sz w:val="17"/>
          <w:szCs w:val="17"/>
          <w:i w:val="1"/>
          <w:iCs w:val="1"/>
          <w:color w:val="auto"/>
        </w:rPr>
      </w:pPr>
    </w:p>
    <w:p>
      <w:pPr>
        <w:ind w:left="940" w:right="260" w:hanging="309"/>
        <w:spacing w:after="0" w:line="287"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Sales force reorganization costs represents redundancy costs associated with changes to the Company’s sales force implemented during the first quarter of 2022.</w:t>
      </w:r>
    </w:p>
    <w:p>
      <w:pPr>
        <w:spacing w:after="0" w:line="2" w:lineRule="exact"/>
        <w:rPr>
          <w:rFonts w:ascii="Times New Roman" w:cs="Times New Roman" w:eastAsia="Times New Roman" w:hAnsi="Times New Roman"/>
          <w:sz w:val="17"/>
          <w:szCs w:val="17"/>
          <w:i w:val="1"/>
          <w:iCs w:val="1"/>
          <w:color w:val="auto"/>
        </w:rPr>
      </w:pPr>
    </w:p>
    <w:p>
      <w:pPr>
        <w:ind w:left="940" w:right="80" w:hanging="309"/>
        <w:spacing w:after="0" w:line="295" w:lineRule="auto"/>
        <w:tabs>
          <w:tab w:leader="none" w:pos="93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Advisor and legal fees incurred in connection with the Company’s involvement in the Cineworld Proceeding during the third and fourth quarter of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Operating Data</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Our Operating Data</w:t>
      </w:r>
      <w:r>
        <w:rPr>
          <w:rFonts w:ascii="Times New Roman" w:cs="Times New Roman" w:eastAsia="Times New Roman" w:hAnsi="Times New Roman"/>
          <w:sz w:val="17"/>
          <w:szCs w:val="17"/>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20" w:type="dxa"/>
            <w:vAlign w:val="bottom"/>
          </w:tcPr>
          <w:p>
            <w:pPr>
              <w:spacing w:after="0"/>
              <w:rPr>
                <w:sz w:val="10"/>
                <w:szCs w:val="10"/>
                <w:color w:val="auto"/>
              </w:rPr>
            </w:pPr>
          </w:p>
        </w:tc>
        <w:tc>
          <w:tcPr>
            <w:tcW w:w="132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Dec. 29,</w:t>
            </w:r>
          </w:p>
        </w:tc>
        <w:tc>
          <w:tcPr>
            <w:tcW w:w="440" w:type="dxa"/>
            <w:vAlign w:val="bottom"/>
          </w:tcPr>
          <w:p>
            <w:pPr>
              <w:spacing w:after="0"/>
              <w:rPr>
                <w:sz w:val="10"/>
                <w:szCs w:val="10"/>
                <w:color w:val="auto"/>
              </w:rPr>
            </w:pPr>
          </w:p>
        </w:tc>
        <w:tc>
          <w:tcPr>
            <w:tcW w:w="1080" w:type="dxa"/>
            <w:vAlign w:val="bottom"/>
          </w:tcPr>
          <w:p>
            <w:pPr>
              <w:jc w:val="right"/>
              <w:ind w:right="455"/>
              <w:spacing w:after="0" w:line="124" w:lineRule="exact"/>
              <w:rPr>
                <w:sz w:val="20"/>
                <w:szCs w:val="20"/>
                <w:color w:val="auto"/>
              </w:rPr>
            </w:pPr>
            <w:r>
              <w:rPr>
                <w:rFonts w:ascii="Times New Roman" w:cs="Times New Roman" w:eastAsia="Times New Roman" w:hAnsi="Times New Roman"/>
                <w:sz w:val="14"/>
                <w:szCs w:val="14"/>
                <w:b w:val="1"/>
                <w:bCs w:val="1"/>
                <w:color w:val="auto"/>
              </w:rPr>
              <w:t>Dec. 30,</w:t>
            </w:r>
          </w:p>
        </w:tc>
        <w:tc>
          <w:tcPr>
            <w:tcW w:w="100" w:type="dxa"/>
            <w:vAlign w:val="bottom"/>
          </w:tcPr>
          <w:p>
            <w:pPr>
              <w:spacing w:after="0"/>
              <w:rPr>
                <w:sz w:val="10"/>
                <w:szCs w:val="10"/>
                <w:color w:val="auto"/>
              </w:rPr>
            </w:pPr>
          </w:p>
        </w:tc>
        <w:tc>
          <w:tcPr>
            <w:tcW w:w="15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 to 2021</w:t>
            </w: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117.5 %</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47.8 %</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32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Theater access fees and revenue share to founding members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61.1 %</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32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23.1 %</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32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22"/>
        </w:trPr>
        <w:tc>
          <w:tcPr>
            <w:tcW w:w="6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Amortization of intangibles recorded for network theater screen leases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15"/>
        </w:trPr>
        <w:tc>
          <w:tcPr>
            <w:tcW w:w="6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(68.6)</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0" w:type="dxa"/>
            <w:vAlign w:val="bottom"/>
          </w:tcPr>
          <w:p>
            <w:pPr>
              <w:spacing w:after="0"/>
              <w:rPr>
                <w:sz w:val="1"/>
                <w:szCs w:val="1"/>
                <w:color w:val="auto"/>
              </w:rPr>
            </w:pPr>
          </w:p>
        </w:tc>
      </w:tr>
      <w:tr>
        <w:trPr>
          <w:trHeight w:val="215"/>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(69.7)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0" w:type="dxa"/>
            <w:vAlign w:val="bottom"/>
          </w:tcPr>
          <w:p>
            <w:pPr>
              <w:spacing w:after="0"/>
              <w:rPr>
                <w:sz w:val="1"/>
                <w:szCs w:val="1"/>
                <w:color w:val="auto"/>
              </w:rPr>
            </w:pPr>
          </w:p>
        </w:tc>
      </w:tr>
      <w:tr>
        <w:trPr>
          <w:trHeight w:val="215"/>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attributable to NCM, Inc.</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per NCM, Inc. basic share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(0.61)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NCM, Inc. diluted share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(0.61)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61"/>
        </w:trPr>
        <w:tc>
          <w:tcPr>
            <w:tcW w:w="21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0" w:type="dxa"/>
            <w:vAlign w:val="bottom"/>
          </w:tcPr>
          <w:p>
            <w:pPr>
              <w:spacing w:after="0"/>
              <w:rPr>
                <w:sz w:val="1"/>
                <w:szCs w:val="1"/>
                <w:color w:val="auto"/>
              </w:rPr>
            </w:pPr>
          </w:p>
        </w:tc>
      </w:tr>
      <w:tr>
        <w:trPr>
          <w:trHeight w:val="222"/>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OIBDA margin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44.6 %</w:t>
            </w:r>
          </w:p>
        </w:tc>
        <w:tc>
          <w:tcPr>
            <w:tcW w:w="0" w:type="dxa"/>
            <w:vAlign w:val="bottom"/>
          </w:tcPr>
          <w:p>
            <w:pPr>
              <w:spacing w:after="0"/>
              <w:rPr>
                <w:sz w:val="1"/>
                <w:szCs w:val="1"/>
                <w:color w:val="auto"/>
              </w:rPr>
            </w:pPr>
          </w:p>
        </w:tc>
      </w:tr>
      <w:tr>
        <w:trPr>
          <w:trHeight w:val="22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Total theater attendance (in millions) </w:t>
            </w:r>
            <w:r>
              <w:rPr>
                <w:rFonts w:ascii="Times New Roman" w:cs="Times New Roman" w:eastAsia="Times New Roman" w:hAnsi="Times New Roman"/>
                <w:sz w:val="17"/>
                <w:szCs w:val="17"/>
                <w:i w:val="1"/>
                <w:iCs w:val="1"/>
                <w:color w:val="auto"/>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394.8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250.7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57.5 %</w:t>
            </w:r>
          </w:p>
        </w:tc>
        <w:tc>
          <w:tcPr>
            <w:tcW w:w="0" w:type="dxa"/>
            <w:vAlign w:val="bottom"/>
          </w:tcPr>
          <w:p>
            <w:pPr>
              <w:spacing w:after="0"/>
              <w:rPr>
                <w:sz w:val="1"/>
                <w:szCs w:val="1"/>
                <w:color w:val="auto"/>
              </w:rPr>
            </w:pPr>
          </w:p>
        </w:tc>
      </w:tr>
      <w:tr>
        <w:trPr>
          <w:trHeight w:val="157"/>
        </w:trPr>
        <w:tc>
          <w:tcPr>
            <w:tcW w:w="218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940" w:right="100" w:hanging="309"/>
        <w:spacing w:after="0" w:line="275" w:lineRule="auto"/>
        <w:tabs>
          <w:tab w:leader="none" w:pos="934"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total attendance within NCM LLC’s advertising network, excluding screens and attendance associated with AMC Carmike theaters that are currently part of another cinema advertising network for each of the periods presented. Refer to Note 5 to the audited Consolidated Financial Statements included elsewhere in this document.</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Our Network</w:t>
      </w:r>
      <w:r>
        <w:rPr>
          <w:rFonts w:ascii="Times New Roman" w:cs="Times New Roman" w:eastAsia="Times New Roman" w:hAnsi="Times New Roman"/>
          <w:sz w:val="17"/>
          <w:szCs w:val="17"/>
          <w:color w:val="auto"/>
        </w:rPr>
        <w:t>—The net screens added to our network by the founding members and network affiliates during 2022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420" w:type="dxa"/>
            <w:vAlign w:val="bottom"/>
          </w:tcPr>
          <w:p>
            <w:pPr>
              <w:spacing w:after="0"/>
              <w:rPr>
                <w:sz w:val="15"/>
                <w:szCs w:val="15"/>
                <w:color w:val="auto"/>
              </w:rPr>
            </w:pPr>
          </w:p>
        </w:tc>
      </w:tr>
      <w:tr>
        <w:trPr>
          <w:trHeight w:val="23"/>
        </w:trPr>
        <w:tc>
          <w:tcPr>
            <w:tcW w:w="21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30,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20,740</w:t>
            </w:r>
          </w:p>
        </w:tc>
      </w:tr>
      <w:tr>
        <w:trPr>
          <w:trHeight w:val="222"/>
        </w:trPr>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Lost affiliates, net of new affiliates </w:t>
            </w:r>
            <w:r>
              <w:rPr>
                <w:rFonts w:ascii="Times New Roman" w:cs="Times New Roman" w:eastAsia="Times New Roman" w:hAnsi="Times New Roman"/>
                <w:sz w:val="17"/>
                <w:szCs w:val="17"/>
                <w:i w:val="1"/>
                <w:iCs w:val="1"/>
                <w:color w:val="auto"/>
              </w:rPr>
              <w:t>(1)</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22"/>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Closures, net of openings </w:t>
            </w:r>
            <w:r>
              <w:rPr>
                <w:rFonts w:ascii="Times New Roman" w:cs="Times New Roman" w:eastAsia="Times New Roman" w:hAnsi="Times New Roman"/>
                <w:sz w:val="17"/>
                <w:szCs w:val="17"/>
                <w:i w:val="1"/>
                <w:iCs w:val="1"/>
                <w:color w:val="auto"/>
              </w:rPr>
              <w:t>(2)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as of December 29,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20,095</w:t>
            </w:r>
          </w:p>
        </w:tc>
      </w:tr>
      <w:tr>
        <w:trPr>
          <w:trHeight w:val="20"/>
        </w:trPr>
        <w:tc>
          <w:tcPr>
            <w:tcW w:w="2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2"/>
        </w:trPr>
        <w:tc>
          <w:tcPr>
            <w:tcW w:w="218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64" w:lineRule="exact"/>
        <w:rPr>
          <w:sz w:val="20"/>
          <w:szCs w:val="20"/>
          <w:color w:val="auto"/>
        </w:rPr>
      </w:pPr>
    </w:p>
    <w:p>
      <w:pPr>
        <w:ind w:left="940" w:right="480" w:hanging="309"/>
        <w:spacing w:after="0" w:line="267" w:lineRule="auto"/>
        <w:tabs>
          <w:tab w:leader="none" w:pos="934"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loss of four of our affiliates, partially offset by the gain of one affiliate during 2022 resulting in a net reduction of 291 affiliate screens to our network as of December 29, 2022.</w:t>
      </w:r>
    </w:p>
    <w:p>
      <w:pPr>
        <w:ind w:left="940" w:hanging="309"/>
        <w:spacing w:after="0"/>
        <w:tabs>
          <w:tab w:leader="none" w:pos="940"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closure of 354 screens, net of new screens added, across our founding members and network affiliates.</w:t>
      </w:r>
    </w:p>
    <w:p>
      <w:pPr>
        <w:spacing w:after="0" w:line="100"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ind w:right="160"/>
        <w:spacing w:after="0" w:line="295" w:lineRule="auto"/>
        <w:rPr>
          <w:sz w:val="20"/>
          <w:szCs w:val="20"/>
          <w:color w:val="auto"/>
        </w:rPr>
      </w:pPr>
      <w:r>
        <w:rPr>
          <w:rFonts w:ascii="Times New Roman" w:cs="Times New Roman" w:eastAsia="Times New Roman" w:hAnsi="Times New Roman"/>
          <w:sz w:val="17"/>
          <w:szCs w:val="17"/>
          <w:color w:val="auto"/>
        </w:rPr>
        <w:t>platforms and other out of home video advertising platforms by allowing advertisers the broad reach and national scale that they need to effectively reach their target audiences.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2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Prior to the completion of our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results of operations data discussed herein were derived from the audited Consolidated Financial Statements and accounting records of NCM,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should be read in conjunction with the notes thereto.</w:t>
      </w:r>
    </w:p>
    <w:p>
      <w:pPr>
        <w:spacing w:after="0" w:line="100" w:lineRule="exact"/>
        <w:rPr>
          <w:sz w:val="20"/>
          <w:szCs w:val="20"/>
          <w:color w:val="auto"/>
        </w:rPr>
      </w:pPr>
    </w:p>
    <w:p>
      <w:pPr>
        <w:ind w:right="280" w:firstLine="509"/>
        <w:spacing w:after="0" w:line="295" w:lineRule="auto"/>
        <w:rPr>
          <w:sz w:val="20"/>
          <w:szCs w:val="20"/>
          <w:color w:val="auto"/>
        </w:rPr>
      </w:pPr>
      <w:r>
        <w:rPr>
          <w:rFonts w:ascii="Times New Roman" w:cs="Times New Roman" w:eastAsia="Times New Roman" w:hAnsi="Times New Roman"/>
          <w:sz w:val="17"/>
          <w:szCs w:val="17"/>
          <w:color w:val="auto"/>
        </w:rPr>
        <w:t>We have a 52-week or 53-week fiscal year ending on the first Thursday after December 25. Fiscal year 2022 contained 52 weeks and fiscal year 2021 contained 52 weeks. Our 2023 fiscal year will contain 52 weeks. Throughout this document, we refer to our fiscal years as set forth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Reference in</w:t>
            </w:r>
          </w:p>
        </w:tc>
      </w:tr>
      <w:tr>
        <w:trPr>
          <w:trHeight w:val="196"/>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this Document</w:t>
            </w:r>
          </w:p>
        </w:tc>
      </w:tr>
      <w:tr>
        <w:trPr>
          <w:trHeight w:val="23"/>
        </w:trPr>
        <w:tc>
          <w:tcPr>
            <w:tcW w:w="8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29, 2022</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2022</w:t>
            </w:r>
          </w:p>
        </w:tc>
      </w:tr>
      <w:tr>
        <w:trPr>
          <w:trHeight w:val="227"/>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30, 2021</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2021</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Years 2022 and 2021</w:t>
      </w:r>
    </w:p>
    <w:p>
      <w:pPr>
        <w:spacing w:after="0" w:line="120" w:lineRule="exact"/>
        <w:rPr>
          <w:sz w:val="20"/>
          <w:szCs w:val="20"/>
          <w:color w:val="auto"/>
        </w:rPr>
      </w:pPr>
    </w:p>
    <w:p>
      <w:pPr>
        <w:ind w:right="24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Total revenue increased $134.6 million, or 117.5%, from $114.6 million for 2021 to $249.2 million for 2022. The following is a summary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by category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2021 to 2022</w:t>
            </w:r>
          </w:p>
        </w:tc>
      </w:tr>
      <w:tr>
        <w:trPr>
          <w:trHeight w:val="22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National advertising revenue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Local and regional advertising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125.4 %</w:t>
            </w:r>
          </w:p>
        </w:tc>
      </w:tr>
      <w:tr>
        <w:trPr>
          <w:trHeight w:val="170"/>
        </w:trPr>
        <w:tc>
          <w:tcPr>
            <w:tcW w:w="55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Founding member advertising revenue from beverage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5"/>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concessionaire agreements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67.6 %</w:t>
            </w:r>
          </w:p>
        </w:tc>
      </w:tr>
      <w:tr>
        <w:trPr>
          <w:trHeight w:val="215"/>
        </w:trPr>
        <w:tc>
          <w:tcPr>
            <w:tcW w:w="55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117.5 %</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shows data on revenue per attendee for 2022 and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18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2021 to 2022</w:t>
            </w:r>
          </w:p>
        </w:tc>
      </w:tr>
      <w:tr>
        <w:trPr>
          <w:trHeight w:val="221"/>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National advertising revenue per attendee</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0.474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41.1 %</w:t>
            </w:r>
          </w:p>
        </w:tc>
      </w:tr>
      <w:tr>
        <w:trPr>
          <w:trHeight w:val="222"/>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Local and regional advertising revenue per attendee</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0.110</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43.1 %</w:t>
            </w:r>
          </w:p>
        </w:tc>
      </w:tr>
      <w:tr>
        <w:trPr>
          <w:trHeight w:val="177"/>
        </w:trPr>
        <w:tc>
          <w:tcPr>
            <w:tcW w:w="64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Total advertising revenue (excluding founding member</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27"/>
        </w:trPr>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beverage revenue) per attendee</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0.584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41.5 %</w:t>
            </w:r>
          </w:p>
        </w:tc>
      </w:tr>
      <w:tr>
        <w:trPr>
          <w:trHeight w:val="222"/>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advertising revenue per attendee</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0.631</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38.1 %</w:t>
            </w:r>
          </w:p>
        </w:tc>
      </w:tr>
      <w:tr>
        <w:trPr>
          <w:trHeight w:val="222"/>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Total theater attendance (in millions) </w:t>
            </w:r>
            <w:r>
              <w:rPr>
                <w:rFonts w:ascii="Times New Roman" w:cs="Times New Roman" w:eastAsia="Times New Roman" w:hAnsi="Times New Roman"/>
                <w:sz w:val="17"/>
                <w:szCs w:val="17"/>
                <w:i w:val="1"/>
                <w:iCs w:val="1"/>
                <w:color w:val="auto"/>
              </w:rPr>
              <w:t>(1)</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57.5 %</w:t>
            </w:r>
          </w:p>
        </w:tc>
      </w:tr>
      <w:tr>
        <w:trPr>
          <w:trHeight w:val="170"/>
        </w:trPr>
        <w:tc>
          <w:tcPr>
            <w:tcW w:w="2180" w:type="dxa"/>
            <w:vAlign w:val="bottom"/>
            <w:tcBorders>
              <w:bottom w:val="single" w:sz="8" w:color="auto"/>
            </w:tcBorders>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77" w:lineRule="exact"/>
        <w:rPr>
          <w:sz w:val="20"/>
          <w:szCs w:val="20"/>
          <w:color w:val="auto"/>
        </w:rPr>
      </w:pPr>
    </w:p>
    <w:p>
      <w:pPr>
        <w:ind w:left="940" w:right="60" w:hanging="309"/>
        <w:spacing w:after="0" w:line="295" w:lineRule="auto"/>
        <w:tabs>
          <w:tab w:leader="none" w:pos="934"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Represents the total attendance within NCM LLC’s advertising network, excluding screens and attendance associated with AMC Carmike theaters for each period presented. Refer to Note 5 to the audited Consolidated Financial Statements included elsewhere in this document.</w:t>
      </w:r>
    </w:p>
    <w:p>
      <w:pPr>
        <w:spacing w:after="0" w:line="42" w:lineRule="exact"/>
        <w:rPr>
          <w:sz w:val="20"/>
          <w:szCs w:val="20"/>
          <w:color w:val="auto"/>
        </w:rPr>
      </w:pPr>
    </w:p>
    <w:p>
      <w:pPr>
        <w:ind w:left="560" w:right="200"/>
        <w:spacing w:after="0" w:line="267" w:lineRule="auto"/>
        <w:rPr>
          <w:sz w:val="20"/>
          <w:szCs w:val="20"/>
          <w:color w:val="auto"/>
        </w:rPr>
      </w:pPr>
      <w:r>
        <w:rPr>
          <w:rFonts w:ascii="Times New Roman" w:cs="Times New Roman" w:eastAsia="Times New Roman" w:hAnsi="Times New Roman"/>
          <w:sz w:val="17"/>
          <w:szCs w:val="17"/>
          <w:u w:val="single" w:color="auto"/>
          <w:color w:val="auto"/>
        </w:rPr>
        <w:t>National advertising revenue.</w:t>
      </w:r>
      <w:r>
        <w:rPr>
          <w:rFonts w:ascii="Times New Roman" w:cs="Times New Roman" w:eastAsia="Times New Roman" w:hAnsi="Times New Roman"/>
          <w:sz w:val="17"/>
          <w:szCs w:val="17"/>
          <w:color w:val="auto"/>
        </w:rPr>
        <w:t xml:space="preserve"> National advertising revenue increased by $102.9 million, or 122.2%, from $84.2 million in 2021 to $187.1 million in 2022. The increase was due to a significant increase in impressions sold and a 15.4% increase in national advertising CPMs during 2022, compared to</w:t>
      </w:r>
    </w:p>
    <w:p>
      <w:pPr>
        <w:spacing w:after="0" w:line="1" w:lineRule="exact"/>
        <w:rPr>
          <w:sz w:val="20"/>
          <w:szCs w:val="20"/>
          <w:color w:val="auto"/>
        </w:rPr>
      </w:pPr>
    </w:p>
    <w:p>
      <w:pPr>
        <w:ind w:left="560" w:right="160"/>
        <w:spacing w:after="0" w:line="264" w:lineRule="auto"/>
        <w:rPr>
          <w:sz w:val="20"/>
          <w:szCs w:val="20"/>
          <w:color w:val="auto"/>
        </w:rPr>
      </w:pPr>
      <w:r>
        <w:rPr>
          <w:rFonts w:ascii="Times New Roman" w:cs="Times New Roman" w:eastAsia="Times New Roman" w:hAnsi="Times New Roman"/>
          <w:sz w:val="17"/>
          <w:szCs w:val="17"/>
          <w:color w:val="auto"/>
        </w:rPr>
        <w:t>2021. The increase in impressions sold was primarily due to a 57.5% increase in network attendance and a 42.5% increase in national advertising utilization due in part to the Company’s ability to participate in the 2022 upfront marketplace, as compared to 2021 when the theaters were closed, and the return of advertisers to the network for the full year of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52" w:name="page53"/>
    <w:bookmarkEnd w:id="52"/>
    <w:p>
      <w:pPr>
        <w:ind w:left="560" w:right="100"/>
        <w:spacing w:after="0" w:line="269" w:lineRule="auto"/>
        <w:rPr>
          <w:sz w:val="20"/>
          <w:szCs w:val="20"/>
          <w:color w:val="auto"/>
        </w:rPr>
      </w:pPr>
      <w:r>
        <w:rPr>
          <w:rFonts w:ascii="Times New Roman" w:cs="Times New Roman" w:eastAsia="Times New Roman" w:hAnsi="Times New Roman"/>
          <w:sz w:val="17"/>
          <w:szCs w:val="17"/>
          <w:u w:val="single" w:color="auto"/>
          <w:color w:val="auto"/>
        </w:rPr>
        <w:t>Local and regional advertising revenue.</w:t>
      </w:r>
      <w:r>
        <w:rPr>
          <w:rFonts w:ascii="Times New Roman" w:cs="Times New Roman" w:eastAsia="Times New Roman" w:hAnsi="Times New Roman"/>
          <w:sz w:val="17"/>
          <w:szCs w:val="17"/>
          <w:color w:val="auto"/>
        </w:rPr>
        <w:t xml:space="preserve"> Local and regional advertising revenue increased by $24.2 million, or 125.4%, from $19.3 million in 2021 to $43.5 million in 2022. The increase in local and regional advertising revenue was due primarily to the closure of approximately 40% of our network for three of months in 2021 due to the COVID-19 Pandemic. The increase was also driven by an increase in advertiser demand in 2022, compared to 2021, following a significant increase in network attendance primarily due to an improved movie slate.</w:t>
      </w:r>
    </w:p>
    <w:p>
      <w:pPr>
        <w:spacing w:after="0" w:line="63" w:lineRule="exact"/>
        <w:rPr>
          <w:sz w:val="20"/>
          <w:szCs w:val="20"/>
          <w:color w:val="auto"/>
        </w:rPr>
      </w:pPr>
    </w:p>
    <w:p>
      <w:pPr>
        <w:ind w:left="560" w:right="100"/>
        <w:spacing w:after="0" w:line="275" w:lineRule="auto"/>
        <w:rPr>
          <w:sz w:val="20"/>
          <w:szCs w:val="20"/>
          <w:color w:val="auto"/>
        </w:rPr>
      </w:pPr>
      <w:r>
        <w:rPr>
          <w:rFonts w:ascii="Times New Roman" w:cs="Times New Roman" w:eastAsia="Times New Roman" w:hAnsi="Times New Roman"/>
          <w:sz w:val="17"/>
          <w:szCs w:val="17"/>
          <w:u w:val="single" w:color="auto"/>
          <w:color w:val="auto"/>
        </w:rPr>
        <w:t>Founding member beverage revenue.</w:t>
      </w:r>
      <w:r>
        <w:rPr>
          <w:rFonts w:ascii="Times New Roman" w:cs="Times New Roman" w:eastAsia="Times New Roman" w:hAnsi="Times New Roman"/>
          <w:sz w:val="17"/>
          <w:szCs w:val="17"/>
          <w:color w:val="auto"/>
        </w:rPr>
        <w:t xml:space="preserve"> National advertising revenue from the founding members’ beverage concessionaire agreement increased $7.5 million, or $67.6%, from $11.1 million for 2021 to $18.6 million for 2022. The increase was due to a 59.4% increase in founding member attendance in 2022, compared to 2021. The increase was also due to contractual increases in the beverage revenue CPMs in 2022, compared to 2021.</w:t>
      </w:r>
    </w:p>
    <w:p>
      <w:pPr>
        <w:spacing w:after="0" w:line="57" w:lineRule="exact"/>
        <w:rPr>
          <w:sz w:val="20"/>
          <w:szCs w:val="20"/>
          <w:color w:val="auto"/>
        </w:rPr>
      </w:pPr>
    </w:p>
    <w:p>
      <w:pPr>
        <w:ind w:right="70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Total operating expenses increased $59.1 million, or 32.3%, from $183.2 million for 2021 to $242.3 million for 2022.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table shows the changes in operating expense for 2021 and 2022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55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 to 2022</w:t>
            </w:r>
          </w:p>
        </w:tc>
      </w:tr>
      <w:tr>
        <w:trPr>
          <w:trHeight w:val="22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Network costs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Theater access fees and revenue share—founding members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23.3 %</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23.1 %</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170"/>
        </w:trPr>
        <w:tc>
          <w:tcPr>
            <w:tcW w:w="55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Amortization of intangibles recorded for network theater screen</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5"/>
        </w:trPr>
        <w:tc>
          <w:tcPr>
            <w:tcW w:w="5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leases</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40"/>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560" w:right="380"/>
        <w:spacing w:after="0" w:line="270" w:lineRule="auto"/>
        <w:rPr>
          <w:sz w:val="20"/>
          <w:szCs w:val="20"/>
          <w:color w:val="auto"/>
        </w:rPr>
      </w:pPr>
      <w:r>
        <w:rPr>
          <w:rFonts w:ascii="Times New Roman" w:cs="Times New Roman" w:eastAsia="Times New Roman" w:hAnsi="Times New Roman"/>
          <w:sz w:val="17"/>
          <w:szCs w:val="17"/>
          <w:u w:val="single" w:color="auto"/>
          <w:color w:val="auto"/>
        </w:rPr>
        <w:t>Advertising operating costs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Advertising operating costs increased $8.8 million, or 47.8%, from $18.4 million in 2021 to $27.2 million in 2022. The increase was due primarily to an $8.9 million increase in advertising affiliate and partner expense in 2022, as compared to 2021, and a $0.4 million increase in personnel related costs due to the reinstatement of full salaries to all employees in the first quarter of 2022, as compared to 2021 when temporary salary and wage reductions were in place for the full year.</w:t>
      </w:r>
    </w:p>
    <w:p>
      <w:pPr>
        <w:spacing w:after="0" w:line="62" w:lineRule="exact"/>
        <w:rPr>
          <w:sz w:val="20"/>
          <w:szCs w:val="20"/>
          <w:color w:val="auto"/>
        </w:rPr>
      </w:pPr>
    </w:p>
    <w:p>
      <w:pPr>
        <w:ind w:left="560" w:right="60"/>
        <w:spacing w:after="0" w:line="275" w:lineRule="auto"/>
        <w:rPr>
          <w:sz w:val="20"/>
          <w:szCs w:val="20"/>
          <w:color w:val="auto"/>
        </w:rPr>
      </w:pPr>
      <w:r>
        <w:rPr>
          <w:rFonts w:ascii="Times New Roman" w:cs="Times New Roman" w:eastAsia="Times New Roman" w:hAnsi="Times New Roman"/>
          <w:sz w:val="17"/>
          <w:szCs w:val="17"/>
          <w:u w:val="single" w:color="auto"/>
          <w:color w:val="auto"/>
        </w:rPr>
        <w:t>Network costs.</w:t>
      </w:r>
      <w:r>
        <w:rPr>
          <w:rFonts w:ascii="Times New Roman" w:cs="Times New Roman" w:eastAsia="Times New Roman" w:hAnsi="Times New Roman"/>
          <w:sz w:val="17"/>
          <w:szCs w:val="17"/>
          <w:color w:val="auto"/>
        </w:rPr>
        <w:t xml:space="preserve"> Network costs increased $1.0 million, or 13.5%, from $7.4 million in 2021 to $8.4 million in 2022. The increase was primarily related to a $1.0 million increase in personnel related costs primarily due to the reinstatement of full salaries to all employees in the first quarter of 2022, as compared to 2021 when temporary salary and wage reductions were in place for the full year.</w:t>
      </w:r>
    </w:p>
    <w:p>
      <w:pPr>
        <w:spacing w:after="0" w:line="59" w:lineRule="exact"/>
        <w:rPr>
          <w:sz w:val="20"/>
          <w:szCs w:val="20"/>
          <w:color w:val="auto"/>
        </w:rPr>
      </w:pPr>
    </w:p>
    <w:p>
      <w:pPr>
        <w:jc w:val="both"/>
        <w:ind w:left="560"/>
        <w:spacing w:after="0" w:line="269" w:lineRule="auto"/>
        <w:rPr>
          <w:sz w:val="20"/>
          <w:szCs w:val="20"/>
          <w:color w:val="auto"/>
        </w:rPr>
      </w:pPr>
      <w:r>
        <w:rPr>
          <w:rFonts w:ascii="Times New Roman" w:cs="Times New Roman" w:eastAsia="Times New Roman" w:hAnsi="Times New Roman"/>
          <w:sz w:val="17"/>
          <w:szCs w:val="17"/>
          <w:u w:val="single" w:color="auto"/>
          <w:color w:val="auto"/>
        </w:rPr>
        <w:t>Theater access fees and revenue share—founding members.</w:t>
      </w:r>
      <w:r>
        <w:rPr>
          <w:rFonts w:ascii="Times New Roman" w:cs="Times New Roman" w:eastAsia="Times New Roman" w:hAnsi="Times New Roman"/>
          <w:sz w:val="17"/>
          <w:szCs w:val="17"/>
          <w:color w:val="auto"/>
        </w:rPr>
        <w:t xml:space="preserve"> Theater access fees and revenue share increased $31.2 million, or 61.1%, from $51.1 million in 2021 to $82.3 million in 2022. This increase consisted of a $16.9 million increase due to the 59.4% increase in founding member theater attendance in 2022, as compared to 2021, and a $11.3 million increase due to the 25.8% increase in average active screens in 2022, as compared to 2021. This increase was also due to a $1.7 million increase in Platinum Spot revenue share for 2022, as compared to 2021.</w:t>
      </w:r>
    </w:p>
    <w:p>
      <w:pPr>
        <w:spacing w:after="0" w:line="63" w:lineRule="exact"/>
        <w:rPr>
          <w:sz w:val="20"/>
          <w:szCs w:val="20"/>
          <w:color w:val="auto"/>
        </w:rPr>
      </w:pPr>
    </w:p>
    <w:p>
      <w:pPr>
        <w:ind w:left="560"/>
        <w:spacing w:after="0" w:line="263" w:lineRule="auto"/>
        <w:rPr>
          <w:sz w:val="20"/>
          <w:szCs w:val="20"/>
          <w:color w:val="auto"/>
        </w:rPr>
      </w:pPr>
      <w:r>
        <w:rPr>
          <w:rFonts w:ascii="Times New Roman" w:cs="Times New Roman" w:eastAsia="Times New Roman" w:hAnsi="Times New Roman"/>
          <w:sz w:val="17"/>
          <w:szCs w:val="17"/>
          <w:u w:val="single" w:color="auto"/>
          <w:color w:val="auto"/>
        </w:rPr>
        <w:t>Selling and marketing costs.</w:t>
      </w:r>
      <w:r>
        <w:rPr>
          <w:rFonts w:ascii="Times New Roman" w:cs="Times New Roman" w:eastAsia="Times New Roman" w:hAnsi="Times New Roman"/>
          <w:sz w:val="17"/>
          <w:szCs w:val="17"/>
          <w:color w:val="auto"/>
        </w:rPr>
        <w:t xml:space="preserve"> Selling and marketing costs increased $8.1 million, or 23.3%, from $34.7 million in 2021 to $42.8 million in 2022. This increase was primarily related to a $4.9 million increase in personnel related costs due primarily to an increase in performance based compensation expense due to higher revenue in 2022, as compared to 2021, and an increase due to the reinstatement of full salaries to all employees in the first quarter of 2022, as compared to 2021 when temporary salary and wage reductions were in place for the full year. The increase was also due to a $2.2 million increase in selling related expenses driven by increased marketing activity, a $1.1 million increase in bad debt expense driven by the increase in revenue and a $0.5 increase in software costs. These increases were partially offset by a $0.7 million decrease in non-cash barter expense in 2022, as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53" w:name="page54"/>
    <w:bookmarkEnd w:id="53"/>
    <w:p>
      <w:pPr>
        <w:ind w:left="560" w:right="160"/>
        <w:spacing w:after="0" w:line="261" w:lineRule="auto"/>
        <w:rPr>
          <w:sz w:val="20"/>
          <w:szCs w:val="20"/>
          <w:color w:val="auto"/>
        </w:rPr>
      </w:pPr>
      <w:r>
        <w:rPr>
          <w:rFonts w:ascii="Times New Roman" w:cs="Times New Roman" w:eastAsia="Times New Roman" w:hAnsi="Times New Roman"/>
          <w:sz w:val="17"/>
          <w:szCs w:val="17"/>
          <w:u w:val="single" w:color="auto"/>
          <w:color w:val="auto"/>
        </w:rPr>
        <w:t>Administrative and other costs.</w:t>
      </w:r>
      <w:r>
        <w:rPr>
          <w:rFonts w:ascii="Times New Roman" w:cs="Times New Roman" w:eastAsia="Times New Roman" w:hAnsi="Times New Roman"/>
          <w:sz w:val="17"/>
          <w:szCs w:val="17"/>
          <w:color w:val="auto"/>
        </w:rPr>
        <w:t xml:space="preserve"> Administrative and other costs increased $8.3 million, or 23.1%, from $36.0 million in 2021 to $44.3 million in 2022. This increase was primarily due to a $5.1 million increase in legal and professional fees incurred related to the Cineworld Proceeding in 2022. Administrative and other costs also increased $1.3 million due to a decrease in capitalized labor due to the nature of the work performed by our technology department in 2022, as compared to 2021, and the reinstatement of full salaries to all employees in the first quarter of 2022, as compared to 2021 when temporary salary and wage reductions were in place for the full year. The increase was also due to a $0.8 million increase in corporate expenses, a $0.4 million increase in cloud computing expense related to our cinema advertising management system, a $0.4 million increase in other business taxes due to changes in state tax laws in 2022, as compared to 2021, and a $0.3 million increase in legal and professional fees due to an abandoned equity transaction in 2022.</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u w:val="single" w:color="auto"/>
          <w:color w:val="auto"/>
        </w:rPr>
        <w:t>Impairment of long-lived assets.</w:t>
      </w:r>
      <w:r>
        <w:rPr>
          <w:rFonts w:ascii="Times New Roman" w:cs="Times New Roman" w:eastAsia="Times New Roman" w:hAnsi="Times New Roman"/>
          <w:sz w:val="17"/>
          <w:szCs w:val="17"/>
          <w:color w:val="auto"/>
        </w:rPr>
        <w:t xml:space="preserve"> Impairment of long-lived assets increased $5.8 million, or 100.0%, from $0.0 million in 2021 to $5.8 million in 2022.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This increase in impairment expense consisted of the write-off of certain long-lived assets during the first quarter of 2022.</w:t>
      </w:r>
    </w:p>
    <w:p>
      <w:pPr>
        <w:spacing w:after="0" w:line="100" w:lineRule="exact"/>
        <w:rPr>
          <w:sz w:val="20"/>
          <w:szCs w:val="20"/>
          <w:color w:val="auto"/>
        </w:rPr>
      </w:pPr>
    </w:p>
    <w:p>
      <w:pPr>
        <w:ind w:left="560" w:right="140"/>
        <w:spacing w:after="0" w:line="295" w:lineRule="auto"/>
        <w:rPr>
          <w:sz w:val="20"/>
          <w:szCs w:val="20"/>
          <w:color w:val="auto"/>
        </w:rPr>
      </w:pPr>
      <w:r>
        <w:rPr>
          <w:rFonts w:ascii="Times New Roman" w:cs="Times New Roman" w:eastAsia="Times New Roman" w:hAnsi="Times New Roman"/>
          <w:sz w:val="17"/>
          <w:szCs w:val="17"/>
          <w:u w:val="single" w:color="auto"/>
          <w:color w:val="auto"/>
        </w:rPr>
        <w:t>Depreciation expense.</w:t>
      </w:r>
      <w:r>
        <w:rPr>
          <w:rFonts w:ascii="Times New Roman" w:cs="Times New Roman" w:eastAsia="Times New Roman" w:hAnsi="Times New Roman"/>
          <w:sz w:val="17"/>
          <w:szCs w:val="17"/>
          <w:color w:val="auto"/>
        </w:rPr>
        <w:t xml:space="preserve"> Depreciation expense decreased $4.4 million, or 40.4%, from $10.9 million in 2021 to $6.5 million in 2022, primarily due to the write-off of internally developed software in the first quarter of 2022.</w:t>
      </w:r>
    </w:p>
    <w:p>
      <w:pPr>
        <w:spacing w:after="0" w:line="42" w:lineRule="exact"/>
        <w:rPr>
          <w:sz w:val="20"/>
          <w:szCs w:val="20"/>
          <w:color w:val="auto"/>
        </w:rPr>
      </w:pPr>
    </w:p>
    <w:p>
      <w:pPr>
        <w:ind w:left="560" w:right="80"/>
        <w:spacing w:after="0" w:line="295" w:lineRule="auto"/>
        <w:rPr>
          <w:sz w:val="20"/>
          <w:szCs w:val="20"/>
          <w:color w:val="auto"/>
        </w:rPr>
      </w:pPr>
      <w:r>
        <w:rPr>
          <w:rFonts w:ascii="Times New Roman" w:cs="Times New Roman" w:eastAsia="Times New Roman" w:hAnsi="Times New Roman"/>
          <w:sz w:val="17"/>
          <w:szCs w:val="17"/>
          <w:u w:val="single" w:color="auto"/>
          <w:color w:val="auto"/>
        </w:rPr>
        <w:t>Amortization of intangibles recorded for network theater screen leases.</w:t>
      </w:r>
      <w:r>
        <w:rPr>
          <w:rFonts w:ascii="Times New Roman" w:cs="Times New Roman" w:eastAsia="Times New Roman" w:hAnsi="Times New Roman"/>
          <w:sz w:val="17"/>
          <w:szCs w:val="17"/>
          <w:color w:val="auto"/>
        </w:rPr>
        <w:t xml:space="preserve"> Amortization of intangibles recorded for network theater screen leases increased $0.3 million, or 1.2%, from $24.7 million in 2021, to $25.0 million in 2022.</w:t>
      </w:r>
    </w:p>
    <w:p>
      <w:pPr>
        <w:spacing w:after="0" w:line="170" w:lineRule="exact"/>
        <w:rPr>
          <w:sz w:val="20"/>
          <w:szCs w:val="20"/>
          <w:color w:val="auto"/>
        </w:rPr>
      </w:pPr>
    </w:p>
    <w:p>
      <w:pPr>
        <w:ind w:right="240" w:firstLine="509"/>
        <w:spacing w:after="0" w:line="293" w:lineRule="auto"/>
        <w:rPr>
          <w:sz w:val="20"/>
          <w:szCs w:val="20"/>
          <w:color w:val="auto"/>
        </w:rPr>
      </w:pPr>
      <w:r>
        <w:rPr>
          <w:rFonts w:ascii="Times New Roman" w:cs="Times New Roman" w:eastAsia="Times New Roman" w:hAnsi="Times New Roman"/>
          <w:sz w:val="17"/>
          <w:szCs w:val="17"/>
          <w:i w:val="1"/>
          <w:iCs w:val="1"/>
          <w:u w:val="single" w:color="auto"/>
          <w:color w:val="auto"/>
        </w:rPr>
        <w:t>Non-operating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 non-operating expense increased $23.3 million, or 46.8%, from non-operating expense of $49.8 million in 2021 to non-operating expense of $73.1 million in 2022. The following table shows the changes in non-operating expense for 2022 and 2021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2021 to 2022</w:t>
            </w:r>
          </w:p>
        </w:tc>
      </w:tr>
      <w:tr>
        <w:trPr>
          <w:trHeight w:val="22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on borrowings</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modification and retirement of debt,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(7.1)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(591.7)%</w:t>
            </w:r>
          </w:p>
        </w:tc>
      </w:tr>
      <w:tr>
        <w:trPr>
          <w:trHeight w:val="170"/>
        </w:trPr>
        <w:tc>
          <w:tcPr>
            <w:tcW w:w="51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Loss (Gain) on re-measurement of the payable to</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7"/>
        </w:trPr>
        <w:tc>
          <w:tcPr>
            <w:tcW w:w="518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founding members under the tax receivable</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7"/>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agreement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18.3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asset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(0.6)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600.0 %</w:t>
            </w:r>
          </w:p>
        </w:tc>
      </w:tr>
      <w:tr>
        <w:trPr>
          <w:trHeight w:val="215"/>
        </w:trPr>
        <w:tc>
          <w:tcPr>
            <w:tcW w:w="5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non-operating expense</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23.3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46.8 %</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increase in non-operating expense was primarily due to a $14.9 million increase in interest on borrowings primarily related to the increase in the weighted average interest rate from 5.6% in 2021 to 7.3% in 2022. It is also due to the issuance of the Revolving Credit Agreement 2022 in January of 2022 and a $16.1 million gain compared to a $2.2 million loss for the re-measurement of the payable to founding members under the tax receivable agreement for 2021 and 2022, respectively. These increases were partially offset by a $7.1 million increase in the gain on the modification and retirement debt driven by NCM, Inc.’s purchase of $25.8 million of the Notes due 2028 on the open market in the second quarter of 2022, a $2.2 million increase in the gain on sale of assets and a $0.6 increase in other non-operating income in 2022, as compared to 2021.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Known Trends and Uncertainties</w:t>
      </w:r>
    </w:p>
    <w:p>
      <w:pPr>
        <w:spacing w:after="0" w:line="116"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COVID-19 and Other Macroeconomic Factors</w:t>
      </w:r>
      <w:r>
        <w:rPr>
          <w:rFonts w:ascii="Times New Roman" w:cs="Times New Roman" w:eastAsia="Times New Roman" w:hAnsi="Times New Roman"/>
          <w:sz w:val="17"/>
          <w:szCs w:val="17"/>
          <w:color w:val="auto"/>
        </w:rPr>
        <w:t>—As discussed within the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section, due to the COVID-19 Pandemic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theaters within the Company’s network were temporarily closed during a portion of 2021. The Company's ability to advertise within theaters once opened in 2021 was limited due to reduced movie schedules and patron capacities at many network theaters and the timing and frequency of new major motion picture releases as compared to prior years due to the COVID-19 Pandemic. In 2022, attendance levels increased but remained below historical levels due to post-production delays and changes in major motion picture release schedules. Our theater access fees, network affiliate payments and Platinum Spot revenue share payments are driven by attendance, active screens and/or revenue, and therefore, were not incurred when theaters were closed and attendance-based fees were reduced for the period of time that attendance was lower than historical levels.</w:t>
      </w:r>
    </w:p>
    <w:p>
      <w:pPr>
        <w:spacing w:after="0" w:line="71"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We are currently unable to fully determine the extent of the impact of the COVID-19 Pandemic and other current macroeconomic factors on our business in future periods due to the lingering impacts on our business environment and related market volatility. However, we continue to monitor the situation and its potential impacts on our financial position, results of operations, liquidity and cash flows.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54" w:name="page55"/>
    <w:bookmarkEnd w:id="54"/>
    <w:p>
      <w:pPr>
        <w:ind w:right="40"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Cineworld Proceeding</w:t>
      </w:r>
      <w:r>
        <w:rPr>
          <w:rFonts w:ascii="Times New Roman" w:cs="Times New Roman" w:eastAsia="Times New Roman" w:hAnsi="Times New Roman"/>
          <w:sz w:val="17"/>
          <w:szCs w:val="17"/>
          <w:color w:val="auto"/>
        </w:rPr>
        <w:t>—As discussed within the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section, on September 7, 2022, Cineworld Group plc, the parent company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Regal,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the Company. NCM LLC has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The timing of the hearing could be impacted by the Chapter 11 Case. Although there can be no assurances that NCM LLC’s proceeding for declaratory relief will be successful, the Company believes these exclusivity rights will survive any attempted rejection of the ESA by Regal in the bankruptcy proceeding. As of the filing date, the Company continues to negotiate with Regal regarding the ESA and NCM LLC's provision of advertising services. In the event that NCM LLC’s or NCM, Inc.’s agreements with Regal and its affiliates are rejected, it could have a materially negative impact on the Company’s operations or financial condition.</w:t>
      </w:r>
    </w:p>
    <w:p>
      <w:pPr>
        <w:spacing w:after="0" w:line="6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Beverage Revenue</w:t>
      </w:r>
      <w:r>
        <w:rPr>
          <w:rFonts w:ascii="Times New Roman" w:cs="Times New Roman" w:eastAsia="Times New Roman" w:hAnsi="Times New Roman"/>
          <w:sz w:val="17"/>
          <w:szCs w:val="17"/>
          <w:color w:val="auto"/>
        </w:rPr>
        <w:t>—Under the ESAs, up to 90 seconds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show program can be sold to the founding members to satisfy their on-screen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advertising commitments under their beverage concessionaire agreements. For 2022 and 2021,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w:t>
      </w:r>
    </w:p>
    <w:p>
      <w:pPr>
        <w:spacing w:after="0" w:line="7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Theater Access Fees</w:t>
      </w:r>
      <w:r>
        <w:rPr>
          <w:rFonts w:ascii="Times New Roman" w:cs="Times New Roman" w:eastAsia="Times New Roman" w:hAnsi="Times New Roman"/>
          <w:sz w:val="17"/>
          <w:szCs w:val="17"/>
          <w:color w:val="auto"/>
        </w:rPr>
        <w:t>—In consideration for NCM LLC’s access to the founding members’ theater attendees for on-screen advertising and use of lobbies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increased by 4% on November 1, 2022 and will increase by 8% every five years, with the next increase occurring in 2027.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increasing 8% every five years beginning November 1, 2027.</w:t>
      </w:r>
    </w:p>
    <w:p>
      <w:pPr>
        <w:spacing w:after="0" w:line="68"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Platinum Spot</w:t>
      </w:r>
      <w:r>
        <w:rPr>
          <w:rFonts w:ascii="Times New Roman" w:cs="Times New Roman" w:eastAsia="Times New Roman" w:hAnsi="Times New Roman"/>
          <w:sz w:val="17"/>
          <w:szCs w:val="17"/>
          <w:color w:val="auto"/>
        </w:rPr>
        <w:t>—In consideration for the utilization of the theaters post-showtime for Platinum Spots, Cinemark and Regal receive a percentage of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and Liquidity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2"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color w:val="auto"/>
        </w:rPr>
        <w:t>As a result of the commencement of the Chapter 11 Case on April 11, 2023, we are operating as the manager of a debtor in possession pursuant to the authority granted under Chapter 11 of the Bankruptcy Code. Pursuant to the Chapter 11 filings, we intend to de-lever NCM LLC’s balance sheet and reduce overall indebtedness upon completion of that process. Additionally, as a debtor-in-possession, certain of NCM LLC’s and NCM, Inc.’s activity, as its manager, are subject to review and approval by the Bankruptcy Court, including, among other things, the incurrence of secured indebtedness, material asset dispositions, and other transactions outside the ordinary course of business. There can be no guarantee NCM LLC will successfully agree upon a viable plan of reorganization with various stakeholders or reach any such agreement in the time frame that is acceptable to the Bankruptcy Court. See Note 16</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Subsequent Events for additional information.</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normal operating cash flows are providing liquidity for the Company to operate as usual and fulfill ongoing commitments to stakeholders.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55" w:name="page56"/>
    <w:bookmarkEnd w:id="55"/>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We have concluded that our financial condition and projected operating results, the defaults under NCM LLC’s debt agreements subsequent to December 29, 2022, and the risks and uncertainties surrounding NCM LLC’s Chapter 11 Case raise substantial doubt as to the Company’s ability to continue as a going concern. As a result of the substantial doubt about the Company’s ability to continue as a going concern for the next twelve months, and the associated steps that have been undertaken to restructure NCM LLC’s balance sheet, NCM LLC’s expected cash outflows related to interest payments on NCM LLC’s debt in 2023 are difficult to predict at this time. NCM LLC does not expect to make interest payments on any of its debt. NCM LLC plans to fund its ongoing operations through cash generated from operations.</w:t>
      </w:r>
    </w:p>
    <w:p>
      <w:pPr>
        <w:spacing w:after="0" w:line="67"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We are unable to predict when NCM LLC will emerge from Chapter 11 because it is contingent upon numerous factors, many of which are out of the Company’s control. Major factors include obtaining the Bankruptcy Court’s approval of a Chapter 11 plan of reorganization, which will enable NCM LLC to transition from Chapter 11 into ordinary course operations outside of bankruptcy. NCM LLC also may need to obtain a new credit facility, or “exit financing.” NCM LLC’s ability to obtain such approval and financing will depend on, among other things, the timing and outcome of various ongoing matters related to the Chapter 11 Case as well as the general global macroeconomic factors. The plan of reorganization will determine the rights and satisfaction of claims of various creditors and security holders and is subject to the ultimate outcome of negotiations and Bankruptcy Court decisions ongoing through the date on which such plan is confirmed.</w:t>
      </w:r>
    </w:p>
    <w:p>
      <w:pPr>
        <w:spacing w:after="0" w:line="73"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7"/>
          <w:szCs w:val="17"/>
          <w:color w:val="auto"/>
        </w:rPr>
        <w:t>NCM LLC is a highly leveraged company. NCM, Inc.’s current primary source of liquidity is cash flow generated from the Management Services Agreement of NCM, LLC. Payments under the Management Service Agreement are expected to continue throughout the bankruptcy process. NCM, LLC’s primary source of liquidity are cash flows generated from operations. Subsequent to and during pendency of the Chapter 11 Case, we expect that NCM LLC’s primary liquidity requirements will be sufficient to fund operations.</w:t>
      </w:r>
    </w:p>
    <w:p>
      <w:pPr>
        <w:spacing w:after="0" w:line="63" w:lineRule="exact"/>
        <w:rPr>
          <w:sz w:val="20"/>
          <w:szCs w:val="20"/>
          <w:color w:val="auto"/>
        </w:rPr>
      </w:pPr>
    </w:p>
    <w:p>
      <w:pPr>
        <w:jc w:val="both"/>
        <w:ind w:right="660" w:firstLine="509"/>
        <w:spacing w:after="0" w:line="269" w:lineRule="auto"/>
        <w:rPr>
          <w:sz w:val="20"/>
          <w:szCs w:val="20"/>
          <w:color w:val="auto"/>
        </w:rPr>
      </w:pPr>
      <w:r>
        <w:rPr>
          <w:rFonts w:ascii="Times New Roman" w:cs="Times New Roman" w:eastAsia="Times New Roman" w:hAnsi="Times New Roman"/>
          <w:sz w:val="17"/>
          <w:szCs w:val="17"/>
          <w:color w:val="auto"/>
        </w:rPr>
        <w:t>Based on current financial projections, we expect to be able to continue to generate cash flows from operations in amounts sufficient to fund our operations and pay administrative expenses including professional fees while under Chapter 11. However, should the Chapter 11 Case take longer than anticipated or should our financial results be materially and negatively impacted by general global macroeconomic factors, we may be required to seek additional sources of liquidity. There can be no assurance that we will be able to obtain such liquidity on terms favorable to us, if at all.</w:t>
      </w:r>
    </w:p>
    <w:p>
      <w:pPr>
        <w:spacing w:after="0" w:line="63"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interest or principal payments on our term loans and the Notes due 2026 and Notes due 2028, income tax payments, TRA payments to the founding members and amount of dividends to NCM, Inc.’s common stockholders.</w:t>
      </w:r>
    </w:p>
    <w:p>
      <w:pPr>
        <w:spacing w:after="0" w:line="6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As discussed within the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section, due to the COVID-19 Pandemic and other macroeconomic factors, the Company’s ability to advertise within the reopened theaters in 2021 and 2022 was limited, driven by lower than historical levels of attendance due in part to the timing and frequency of major motion picture releases as compared to prior years due to post-production delays related to the COVID-19 Pandemic. The Company’s attendance levels have continued to improve but still remain below historic levels, which continues to impact cash receipts and advertising revenue. Further, there is a lag between when revenue is generated and when the Company ultimately collects the associated accounts receivable b</w:t>
      </w:r>
      <w:r>
        <w:rPr>
          <w:rFonts w:ascii="Times New Roman" w:cs="Times New Roman" w:eastAsia="Times New Roman" w:hAnsi="Times New Roman"/>
          <w:sz w:val="17"/>
          <w:szCs w:val="17"/>
          <w:color w:val="242424"/>
        </w:rPr>
        <w:t>alance. The Company also had reduced cash payments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42424"/>
        </w:rPr>
        <w:t>during the period when theaters within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42424"/>
        </w:rPr>
        <w:t>s network were closed or attendance levels were low as expenses related to theater attendance (i.e., theater access fees, Platinum Spot revenue share and network affiliate revenue share payments) were either not incurred or incurred at lower levels. As all of the theaters within our network were open during 2022, the screen-based portion of these expenses returned to historical levels and the attendance-based portion of these e</w:t>
      </w:r>
      <w:r>
        <w:rPr>
          <w:rFonts w:ascii="Times New Roman" w:cs="Times New Roman" w:eastAsia="Times New Roman" w:hAnsi="Times New Roman"/>
          <w:sz w:val="17"/>
          <w:szCs w:val="17"/>
          <w:color w:val="000000"/>
        </w:rPr>
        <w:t>xpenses is expected to continue to increase as attendance returns to historical levels. The Company also implemented the following cost-saving measures in</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color w:val="000000"/>
        </w:rPr>
        <w:t>order to preserve cash at the start of the COVID-19 Pandemic, and those measures remain in place as of the filing date:</w:t>
      </w:r>
    </w:p>
    <w:p>
      <w:pPr>
        <w:spacing w:after="0" w:line="77" w:lineRule="exact"/>
        <w:rPr>
          <w:sz w:val="20"/>
          <w:szCs w:val="20"/>
          <w:color w:val="auto"/>
        </w:rPr>
      </w:pPr>
    </w:p>
    <w:p>
      <w:pPr>
        <w:ind w:left="640" w:right="4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Offered the option for members of the Company’s Board of Directors to receive the cash retainers beginning with the first quarter of 2021 in equivalent value of the Company’s common stock in lieu of cash;</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Curtailed certain non-essential operating expenditures, including marketing, research and consulting services;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Temporarily suspended the 401K employee match program;</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Terminated or deferred certain non-essential capital expenditures;</w:t>
      </w:r>
    </w:p>
    <w:p>
      <w:pPr>
        <w:spacing w:after="0" w:line="117" w:lineRule="exact"/>
        <w:rPr>
          <w:rFonts w:ascii="Times New Roman" w:cs="Times New Roman" w:eastAsia="Times New Roman" w:hAnsi="Times New Roman"/>
          <w:sz w:val="17"/>
          <w:szCs w:val="17"/>
          <w:color w:val="auto"/>
        </w:rPr>
      </w:pPr>
    </w:p>
    <w:p>
      <w:pPr>
        <w:ind w:left="640" w:right="34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Strategically worked with our vendors, and other business partners to manage, defer, and/or abate certain costs during the disruptions caused by the COVID-19 Pandemic;</w:t>
      </w:r>
    </w:p>
    <w:p>
      <w:pPr>
        <w:spacing w:after="0" w:line="41" w:lineRule="exact"/>
        <w:rPr>
          <w:rFonts w:ascii="Times New Roman" w:cs="Times New Roman" w:eastAsia="Times New Roman" w:hAnsi="Times New Roman"/>
          <w:sz w:val="17"/>
          <w:szCs w:val="17"/>
          <w:color w:val="auto"/>
        </w:rPr>
      </w:pPr>
    </w:p>
    <w:p>
      <w:pPr>
        <w:ind w:left="640" w:right="12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our quarterly dividend beginning in the second quarter of 2020 through the second quarter of 2022 and suspended our quarterly dividend in the third and fourth quarter of 2022, which results in cash savings of $24.4 million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7"/>
          <w:szCs w:val="17"/>
          <w:color w:val="auto"/>
        </w:rPr>
        <w:t>in the fourth quarter of 2022 and cash savings of $124.3 million for NCM, Inc. since the beginning of the COVID-19 Pandemic; and</w:t>
      </w:r>
    </w:p>
    <w:p>
      <w:pPr>
        <w:spacing w:after="0" w:line="118" w:lineRule="exact"/>
        <w:rPr>
          <w:sz w:val="20"/>
          <w:szCs w:val="20"/>
          <w:color w:val="auto"/>
        </w:rPr>
      </w:pPr>
    </w:p>
    <w:p>
      <w:pPr>
        <w:ind w:left="620" w:hanging="302"/>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Introduced an active cash management process, which, among other things, requires CEO or CFO approval of all outgoing payments.</w:t>
      </w:r>
    </w:p>
    <w:p>
      <w:pPr>
        <w:spacing w:after="0" w:line="11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In March 2020, we drew down an additional $110.0 million on our revolving credit facility, in March 2021, we received $43.0 million in net proceeds under incremental term loans that mature on December 20, 2024, and in January 2022 we received $43.3 million in net proceeds under an incremental revolving credit facility that matures on June 20, 2023. The $59.4 million of cash at NCM LLC as of December 29, 2022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6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7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Also on January 5, 2022, NCM LLC also entered into the Revolving Credit Agreement 2022 among NCM LLC, the 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In accordance with the Revolving Credit Agreement 2022 and the Credit Agreement Third Amendment, for the period beginning in the second quarter of 2020 through the date that NCM LLC delivers a compliance certificate for the fourth quarter of 2023, NCM LLC must maintain a minimum liquidity balance of $55.0 million consisting of a combination of unrestricted cash on hand and availability under NCM LLC's revolving credit facility (the “Minimum Liquidity Requirement”). As of December 29, 2022, NCM LLC was in compliance with the requirements of the Credit Agreement, as amended, and the Revolving Credit Agreement 2022.</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our financial liquidity is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60" w:type="dxa"/>
            <w:vAlign w:val="bottom"/>
          </w:tcPr>
          <w:p>
            <w:pPr>
              <w:spacing w:after="0"/>
              <w:rPr>
                <w:sz w:val="15"/>
                <w:szCs w:val="15"/>
                <w:color w:val="auto"/>
              </w:rPr>
            </w:pPr>
          </w:p>
        </w:tc>
        <w:tc>
          <w:tcPr>
            <w:tcW w:w="13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200" w:type="dxa"/>
            <w:vAlign w:val="bottom"/>
          </w:tcPr>
          <w:p>
            <w:pPr>
              <w:spacing w:after="0"/>
              <w:rPr>
                <w:sz w:val="10"/>
                <w:szCs w:val="10"/>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360" w:type="dxa"/>
            <w:vAlign w:val="bottom"/>
          </w:tcPr>
          <w:p>
            <w:pPr>
              <w:spacing w:after="0"/>
              <w:rPr>
                <w:sz w:val="10"/>
                <w:szCs w:val="10"/>
                <w:color w:val="auto"/>
              </w:rPr>
            </w:pPr>
          </w:p>
        </w:tc>
        <w:tc>
          <w:tcPr>
            <w:tcW w:w="1380" w:type="dxa"/>
            <w:vAlign w:val="bottom"/>
          </w:tcPr>
          <w:p>
            <w:pPr>
              <w:jc w:val="center"/>
              <w:ind w:right="282"/>
              <w:spacing w:after="0" w:line="125" w:lineRule="exact"/>
              <w:rPr>
                <w:sz w:val="20"/>
                <w:szCs w:val="20"/>
                <w:color w:val="auto"/>
              </w:rPr>
            </w:pPr>
            <w:r>
              <w:rPr>
                <w:rFonts w:ascii="Times New Roman" w:cs="Times New Roman" w:eastAsia="Times New Roman" w:hAnsi="Times New Roman"/>
                <w:sz w:val="14"/>
                <w:szCs w:val="14"/>
                <w:b w:val="1"/>
                <w:bCs w:val="1"/>
                <w:color w:val="auto"/>
                <w:w w:val="97"/>
              </w:rPr>
              <w:t>2021 to</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Cash, cash equivalents and marketable securities </w:t>
            </w:r>
            <w:r>
              <w:rPr>
                <w:rFonts w:ascii="Times New Roman" w:cs="Times New Roman" w:eastAsia="Times New Roman" w:hAnsi="Times New Roman"/>
                <w:sz w:val="17"/>
                <w:szCs w:val="17"/>
                <w:i w:val="1"/>
                <w:iCs w:val="1"/>
                <w:color w:val="auto"/>
              </w:rPr>
              <w:t>(1)</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Revolver availability </w:t>
            </w:r>
            <w:r>
              <w:rPr>
                <w:rFonts w:ascii="Times New Roman" w:cs="Times New Roman" w:eastAsia="Times New Roman" w:hAnsi="Times New Roman"/>
                <w:sz w:val="17"/>
                <w:szCs w:val="17"/>
                <w:i w:val="1"/>
                <w:iCs w:val="1"/>
                <w:color w:val="auto"/>
              </w:rPr>
              <w:t>(2)</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40"/>
        </w:trPr>
        <w:tc>
          <w:tcPr>
            <w:tcW w:w="5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liquidity</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40" w:right="80" w:hanging="309"/>
        <w:spacing w:after="0" w:line="295" w:lineRule="auto"/>
        <w:tabs>
          <w:tab w:leader="none" w:pos="934"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Included in cash and cash equivalents as of December 29, 2022 and December 30, 2021 there was $59.4 million and $58.6 million, respectively, of cash held by NCM LLC which is not available to satisfy NCM, Inc.'s dividend payments and other NCM, Inc. obligations.</w:t>
      </w:r>
    </w:p>
    <w:p>
      <w:pPr>
        <w:spacing w:after="0" w:line="41" w:lineRule="exact"/>
        <w:rPr>
          <w:rFonts w:ascii="Times New Roman" w:cs="Times New Roman" w:eastAsia="Times New Roman" w:hAnsi="Times New Roman"/>
          <w:sz w:val="17"/>
          <w:szCs w:val="17"/>
          <w:i w:val="1"/>
          <w:iCs w:val="1"/>
          <w:color w:val="auto"/>
        </w:rPr>
      </w:pPr>
    </w:p>
    <w:p>
      <w:pPr>
        <w:ind w:left="940" w:right="40" w:hanging="309"/>
        <w:spacing w:after="0" w:line="264" w:lineRule="auto"/>
        <w:tabs>
          <w:tab w:leader="none" w:pos="934"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December 29, 2022 and December 30, 2021. As of December 29, 2022 and December 30, 2021, the amount available under the NCM LLC revolving credit facility in the table above, was net of the amount outstanding under the revolving credit facility of $167.0 million and $167.0 million, respectively, and net letters of credit of $0.8 million and $1.2 million, respectively.</w:t>
      </w:r>
    </w:p>
    <w:p>
      <w:pPr>
        <w:spacing w:after="0" w:line="67"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Subsequent to year-end, on January 17, 2023, NCM LLC entered into (i) Amendment No. 4 (the “Credit Agreement Fourth Amendment”) to its Credit Agreement, dated as of June 20, 2018, among NCM LLC, the several banks and other financial institutions or entities from time to time parties thereto, and JPMorgan Chase Bank, N.A., as administrative agent, as previously amended and (ii) Amendment No. 1 to its Revolving Credit Agreement dated as of January 5, 2022, among NCM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7" w:name="page58"/>
    <w:bookmarkEnd w:id="57"/>
    <w:p>
      <w:pPr>
        <w:ind w:right="140"/>
        <w:spacing w:after="0" w:line="266" w:lineRule="auto"/>
        <w:rPr>
          <w:sz w:val="20"/>
          <w:szCs w:val="20"/>
          <w:color w:val="auto"/>
        </w:rPr>
      </w:pPr>
      <w:r>
        <w:rPr>
          <w:rFonts w:ascii="Times New Roman" w:cs="Times New Roman" w:eastAsia="Times New Roman" w:hAnsi="Times New Roman"/>
          <w:sz w:val="17"/>
          <w:szCs w:val="17"/>
          <w:color w:val="auto"/>
        </w:rPr>
        <w:t>LLC, lender parties thereto and Wilmington Savings Fund Society, FSB, as administrative agent (the “Revolving Credit Agreement Amendment”). The Credit Agreement Fourth Amendment and Revolving Credit Agreement Amendment provide for the addback of specified professional fees paid by NCM LLC during the period of January 6, 2023 through the date NCM LLC delivers a compliance certificate for the quarter ending on or about December 28, 2023, when calculating the sum of unrestricted cash on hand at the NCM LLC and revolving credit facility availability under the Credit Agreement and Revolving Credit Agreement required to be maintained under each respective agreement.</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have generated and used cash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00" w:type="dxa"/>
            <w:vAlign w:val="bottom"/>
          </w:tcPr>
          <w:p>
            <w:pPr>
              <w:spacing w:after="0"/>
              <w:rPr>
                <w:sz w:val="15"/>
                <w:szCs w:val="15"/>
                <w:color w:val="auto"/>
              </w:rPr>
            </w:pPr>
          </w:p>
        </w:tc>
      </w:tr>
      <w:tr>
        <w:trPr>
          <w:trHeight w:val="23"/>
        </w:trPr>
        <w:tc>
          <w:tcPr>
            <w:tcW w:w="7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r>
      <w:tr>
        <w:trPr>
          <w:trHeight w:val="22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cash flow</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cash flow</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bl>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Cash Flows – Fiscal Years 2022 and 2021</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The $47.9 million decrease in cash used in operating activities in 2022, as compared to 2021 was primarily due to 1) a $52.3 million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 in consolidated net loss, 2) an $18.2 million decrease in non-cash gain on re-measurement of the payable founding members under the TRA, 3) 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 million decrease in payments for accounts payable and accrued expenses due in part to the cash preservation and expense management actions taken by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to mitigate the impact of the COVID-19 Pandemic and 4) a $7.1 million increase in gain on early retirement of debt, net. The decrease in cash used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partially offset by 1) a $12.3 million decrease in deferred revenue due to timing of payments in 2022, as compared to 2021, 2) a $9.9 million decrease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due to founding members, net, 3) a $9.3 million decrease in amounts received from founding members related to common membership unit adjustments</w:t>
      </w:r>
    </w:p>
    <w:p>
      <w:pPr>
        <w:spacing w:after="0" w:line="13" w:lineRule="exact"/>
        <w:rPr>
          <w:sz w:val="20"/>
          <w:szCs w:val="20"/>
          <w:color w:val="auto"/>
        </w:rPr>
      </w:pPr>
    </w:p>
    <w:p>
      <w:pPr>
        <w:ind w:right="100" w:firstLine="4"/>
        <w:spacing w:after="0" w:line="272" w:lineRule="auto"/>
        <w:tabs>
          <w:tab w:leader="none" w:pos="18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$5.8 million increase in the impairment of long-lived assets related to the write down in the first quarter of 2022 of certain internally developed software no longer in use and 5) a $4.8 million increase in the amortization of debt issuance costs in 2022, as compared to 2021.</w:t>
      </w:r>
    </w:p>
    <w:p>
      <w:pPr>
        <w:spacing w:after="0" w:line="59" w:lineRule="exact"/>
        <w:rPr>
          <w:sz w:val="20"/>
          <w:szCs w:val="20"/>
          <w:color w:val="auto"/>
        </w:rPr>
      </w:pPr>
    </w:p>
    <w:p>
      <w:pPr>
        <w:ind w:right="64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The $5.0 million decrease in cash used by investing activities in 2022, compared to 2021 was primarily due to a $2.8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in purchases of property and equipment and $2.2 million in proceeds from sale of assets in 2022, as compared to 2021.</w:t>
      </w:r>
    </w:p>
    <w:p>
      <w:pPr>
        <w:spacing w:after="0" w:line="3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The $11.2 million decrease in cash provided by financing activities in 2022, compared to 2021 was primarily due to a $19.8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the purchase of Notes due 2028 and a $0.9 million increase in the repayment of term loan facilities in 2022, as compared to 2021. These increases were partially offset by a $7.4 million decrease in dividends paid related to the decrease in the dividends declared from $0.20 per share to $0.11 per share in 2022, as compared to 2021, a $1.8 million decrease in purchases of stock for restricted stock tax withholding and a $0.3 million decrease in debt issuance costs paid in 2022, as compared to 2021.</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Sources of Capital and Capital Requirements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NCM, Inc.’s primary source of liquidity and capital resources is the quarterly available cash distributions from NCM LLC as well as its existing cash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and marketable securities, which as of December 29, 2022 were $62.7 million (including $59.4 million of cash held by NCM LLC). NCM LLC’s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primary sources of liquidity and capital resources are its cash provided by operating activities, availability under its revolving credit facility and cash 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hand. NCM LLC drew down an additional $110.0 million of its revolving credit facility in March 2020 in order to supplement the decrease in cash provided by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activities during the period our network theaters were closed. On January 5, 2022, the company entered in the Revolving Credit Agreement 2022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drew down upon the revolving credit facility of $50.0 million. Cash at NCM, Inc. is used to fund income taxes, payments associated with the TRA with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founding members, payments of NCM, Inc. specific expenses, purchases of low risk investments and for future payment of dividends to NCM, Inc. stockholders.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10 to the audited Consolidated Financial Statements included elsewhere in this document and “Financings” below for a detailed discussion of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transactions in 2021 and 2022 and the debt outstanding as of December 29, 2022.</w:t>
      </w:r>
    </w:p>
    <w:p>
      <w:pPr>
        <w:spacing w:after="0" w:line="10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 xml:space="preserve">During the next fiscal year, the Company intends to have cash outflows of interest payments of $85.0 million and amortization payments of $4.0 million payable throughout the fiscal year as required by the Credit Agreement, Revolving Credit Agreement 2022, Senior Secured Notes due 2028 and Senior Notes due 2026, capital expenditures between $7.0 million and $8.0 million, prepayments to affiliates of $3.9 million and lease payments of $3.8 million. The Company expects to continue to make capital expenditures and other contractually obligated prepayments and upfront payments that may vary from our historical practice. For other long-term anticipated cash outflows, refer to Note 10 - </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and Note 13 -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discussion of future anticipated 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8" w:name="page59"/>
    <w:bookmarkEnd w:id="58"/>
    <w:p>
      <w:pPr>
        <w:ind w:firstLine="509"/>
        <w:spacing w:after="0" w:line="260" w:lineRule="auto"/>
        <w:rPr>
          <w:sz w:val="20"/>
          <w:szCs w:val="20"/>
          <w:color w:val="auto"/>
        </w:rPr>
      </w:pPr>
      <w:r>
        <w:rPr>
          <w:rFonts w:ascii="Times New Roman" w:cs="Times New Roman" w:eastAsia="Times New Roman" w:hAnsi="Times New Roman"/>
          <w:sz w:val="17"/>
          <w:szCs w:val="17"/>
          <w:color w:val="auto"/>
        </w:rPr>
        <w:t>Cash flows generated by NCM LLC’s distributions to NCM, Inc. and the founding members have been impacted by the COVID-19 Pandemic and may be deferred through at least the quarter ending December 28, 2023 or longer due to the limitations instituted by the Credit Agreement Amendment, Credit Agreement Second Amendment (as defined herein) and Credit Agreement Third Amendment. NCM LLC is required pursuant to the terms of the NCM LLC Operating Agreement to distribute its available cash, as defined in the operating agreement, unless prohibited by NCM LLC's Credit Agreement, quarterly to its members (Cinemark and NCM, Inc.). The available cash distribution to the members of NCM LLC for the combined three months ended March 31, 2022, three months ended June 30, 2022, three months ended September 29, 2022 and three months ended December 29, 2022 was calculated as approximately negative $20.5 million, of which NCM, Inc.'s share is approximately negative $5.2 million. Pursuant to the NCM LLC Operating Agreement and the Credit Agreement Amendment, there were no available cash distributions made for the fourth quarter of 2022. As such, the positive available cash distribution for the fourth quarter of 2022 has been accrued for within “Amounts due to founding members, net” on the audited Consolidated Balance Sheet of December 29, 2022. The net negative available cash distributions for 2020, 2021 and 2022 can be used to offset a positive available cash distribution in the second quarter of 2023 in accordance with the NCM LLC Operating Agreement after the Extended Covenant Waiver Holiday.</w:t>
      </w:r>
    </w:p>
    <w:p>
      <w:pPr>
        <w:spacing w:after="0" w:line="7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NCM, Inc. expects to use its cash balances and cash received from future available cash distributions to fund payments associated with the TRA with the founding members and future dividends as declared by the Board of Directors or make other strategic investments as approved by the Board of Directors. The Company will owe a TRA payment for the 2022 tax year. The Company will also consider opportunistically using cash received for partial repayments of NCM LLC's outstanding debt balance, while ensuring the Company's financial flexibility is maintained. Distributions from NCM LLC and NCM, Inc. cash balances should be sufficient to fund payments associated with the TRA with the founding members, income taxes and any declared dividends for the foreseeable future at the discretion of the Board of Directors. The Company intends to pay a regular dividend at the discretion of the Board of Directors consistent with the Company’s intention to distribute substantially all its free cash flow to stockholders through its quarterly dividend. The declaration, payment, timing and amount of any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22"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7"/>
          <w:szCs w:val="17"/>
          <w:color w:val="auto"/>
        </w:rPr>
        <w:t>Capital expenditures of NCM LLC include digital applications being developed primarily by our programmers and outside consultants, capitalized software development or upgrades for our Digital Content Software, audience targeting and data management systems, cinema advertising management system, equipment required for our Customer Experience Center and content production and post-production facilities, office leasehold improvements, desktop equipment for use by our employees, and in certain cases, the costs necessary to install equipment at or digitize all or a portion of a network affiliate’s theaters when they are added to our network. Capital expenditures in 2022 were $4.2 million (including $1.9 million associated with digital product development; $0.9 million associated with upgrades to our existing systems related to the continued upgrades of our cinema advertising management system; $0.4 million associated with network affiliate additions and $0.1 million associated with certain implementation and prepaid costs associated with Cloud Computing arrangements) compared to $6.5 million for the 2021 period (including $1.7 million associated with digital product development; $1.6 million associated with upgrades to our existing systems related to the upgrade of our cinema advertising management system; $1.5 million associated with certain implementation and prepaid costs associated with Cloud Computing arrangements; and $0.6 million associated with network affiliate additions).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79"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We expect to make approximately $7.0 million to $8.0 million of capital expenditures in fiscal 2023, including approximately $2.4 million for digital product development. We expect these digital products to allow us to capture exclusive first party data on our movie audiences and build our own foundational capabilities for digital ad buying, selling and serving. We also expect approximately $1.0 million of capital expenditures related to upgrades to our Digital Content Software distribution and content management software and our other internal management systems, including our cinema advertising management system, reporting systems, network equipment related to currently contracted network affiliate theaters, server and storage upgrades and software licensing. Our capital expenditures may increase as we add additional network affiliates. We expect that additional expenditures, if any, would be funded in part by additional cash flows associated with those new network affiliates.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Financings</w:t>
      </w:r>
    </w:p>
    <w:p>
      <w:pPr>
        <w:spacing w:after="0" w:line="12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9" w:name="page60"/>
    <w:bookmarkEnd w:id="59"/>
    <w:p>
      <w:pPr>
        <w:ind w:right="160"/>
        <w:spacing w:after="0" w:line="266" w:lineRule="auto"/>
        <w:rPr>
          <w:sz w:val="20"/>
          <w:szCs w:val="20"/>
          <w:color w:val="auto"/>
        </w:rPr>
      </w:pPr>
      <w:r>
        <w:rPr>
          <w:rFonts w:ascii="Times New Roman" w:cs="Times New Roman" w:eastAsia="Times New Roman" w:hAnsi="Times New Roman"/>
          <w:sz w:val="17"/>
          <w:szCs w:val="17"/>
          <w:color w:val="auto"/>
        </w:rPr>
        <w:t>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65"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7"/>
          <w:szCs w:val="17"/>
          <w:color w:val="auto"/>
        </w:rPr>
        <w:t>Also on January 5, 2022, NCM LLC entered into the Revolving Credit Agreement 2022. The Revolving Credit Agreement 2022 provides for revolving loan commitments of $50.0 million of secured revolving loans, the entire amount of which was funded on January 5, 2022. The Revolving Credit Agreement 2022 provides for (i) a cash interest rate of term SOFR plus 8.0%, with a 1.0%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December 29, 2022, NCM LLC was in compliance with the requirements of the Credit Agreement Third Amendment and the Revolving Credit Agreement 2022.</w:t>
      </w:r>
    </w:p>
    <w:p>
      <w:pPr>
        <w:spacing w:after="0" w:line="67"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7"/>
          <w:szCs w:val="17"/>
          <w:color w:val="auto"/>
        </w:rPr>
        <w:t>On March 8, 2021, NCM LLC entered into a second amendment to its Credit Agreement (“the Credit Agreement Second Amendment”), dated as of June 20, 2018. Among other things, the Credit Agreement Second Amendment provides for: (i) certain modifications to the negative covenants;(ii) a waiver of non-compliance with the consolidated net total leverage and consolidated net senior secured leverage financial covenants through the quarter ended June 30, 2022;</w:t>
      </w:r>
    </w:p>
    <w:p>
      <w:pPr>
        <w:spacing w:after="0" w:line="2" w:lineRule="exact"/>
        <w:rPr>
          <w:sz w:val="20"/>
          <w:szCs w:val="20"/>
          <w:color w:val="auto"/>
        </w:rPr>
      </w:pPr>
    </w:p>
    <w:p>
      <w:pPr>
        <w:ind w:right="120" w:firstLine="4"/>
        <w:spacing w:after="0" w:line="256" w:lineRule="auto"/>
        <w:tabs>
          <w:tab w:leader="none" w:pos="30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net total leverage ratio and consolidated net senior secured leverage ratio financial covenants to be set to 6.75 to 1.00 and 5.50 to 1.00, respectively, for the quarter ending on or about September 29, 2022, and (iv) with respect to NCM LLC’s audited financial statements for the fiscal year ended December 30, 2021, a waiver of the requirement to deliver such financial statements without a “going concern” or like qualification or exception. The Credit Agreement Second Amendment also: (i) grants security interests in certain assets of NCM LLC and other potential loan parties that are not currently pledged to the lenders and (ii) increases the applicable margin of the existing term loans and revolving loans issued under the Credit Agreement in an amount equal to</w:t>
      </w:r>
    </w:p>
    <w:p>
      <w:pPr>
        <w:spacing w:after="0" w:line="1" w:lineRule="exact"/>
        <w:rPr>
          <w:rFonts w:ascii="Times New Roman" w:cs="Times New Roman" w:eastAsia="Times New Roman" w:hAnsi="Times New Roman"/>
          <w:sz w:val="17"/>
          <w:szCs w:val="17"/>
          <w:color w:val="auto"/>
        </w:rPr>
      </w:pPr>
    </w:p>
    <w:p>
      <w:pPr>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Additionally, pursuant to the terms of the Credit Agreement Second Amendment, NCM LLC is restricted from making available cash distributions until after NCM LLC delivers a compliance certificate for the quarter ending on or about December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w:t>
      </w:r>
    </w:p>
    <w:p>
      <w:pPr>
        <w:spacing w:after="0" w:line="280"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color w:val="auto"/>
        </w:rPr>
        <w:t>In addition, pursuant to the Credit Agreement Second Amendment, NCM LLC incurred new incremental term loans in an aggregate principal amount of $50.0 million, the proceeds of which will be used for general corporate purposes. The New Incremental Loans will have substantially similar terms to the existing term loans (after giving effect the Credit Agreement Amendment), except that the New Incremental Loans will: (i) have a cash interest rate of LIBOR plus 8.00%, (ii) have a maturity of December 20, 2024, and (iii) be subject to prepayment premiums if NCM LLC prepays the New Incremental Loans before maturity.</w:t>
      </w:r>
    </w:p>
    <w:p>
      <w:pPr>
        <w:spacing w:after="0" w:line="279"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In connection with the grant of the Additional Collateral to the lenders under the Credit Agreement, NCM LLC concurrently entered into an amendment to the Security Agreement, dated as of October 8, 2019 made by NCM LLC, as issuer, in favor of JPMorgan Chase Bank, N.A., as collateral agent, relating to that certain Indenture, dated as of October 8, 2019, between NCM LLC, as issuer and Wells Fargo Bank, National Association, as trustee, relating to NCM LLC’s Senior Secured Notes due 2028. This amendment grants a security interest in the Additional Collateral for the benefit of the holders of the Secured Notes.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April 30, 2020, NCM LLC entered into the first amendment to the Credit Agreement (the “Credit Agreement Amendment”) to allow for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automatic waiver of any non-compliance with its consolidated net senior secured leverage ratio and consolidated total leverage ratio financial covenants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occurring from the quarter ending June 25, 2020 until and including the quarter ending July 1, 2021 (the “Covenant Holiday Period”). The Credit Agreement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requires that, until the fiscal quarter ending July 1, 2021, NCM LLC must not permit the sum of unrestricted cash on hand at NCM LLC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availability under its revolving credit facility to be less than $55.0 million. Further, NCM LLC can make available cash distributions to its members (Cinemark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NCM, Inc.) during the Covenant Holiday Period only if trailing 12-month Consolidated EBITDA (as defined in the Credit Agreement) equals or exceeds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$277.0 million and outstanding loans under the revolving credit facility are equal to or less than $39.0 million. NCM LLC can make available cash distributions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its members outside of the Covenant Holiday Period so long as NCM LLC’s Consolidated Net Senior Secured Leverage Ratio is equal to or less than 5.00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and no default or event of default under the Credit Agreement has occurred and is continuing.</w:t>
      </w:r>
    </w:p>
    <w:p>
      <w:pPr>
        <w:spacing w:after="0" w:line="10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On October 8, 2019, NCM LLC completed a private offering of $400.0 million aggregate principal amount of 5.875% senior secured notes due 2028. The 2028 Notes will mature on April 15, 2028. Interest on the 2028 Notes accrues at a rate of 5.875% per annum and is payable semi-annually in arrears on April 15 and October 15 of each year, commencing on April 15,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0" w:name="page61"/>
    <w:bookmarkEnd w:id="60"/>
    <w:p>
      <w:pPr>
        <w:ind w:right="40"/>
        <w:spacing w:after="0" w:line="261" w:lineRule="auto"/>
        <w:rPr>
          <w:sz w:val="20"/>
          <w:szCs w:val="20"/>
          <w:color w:val="auto"/>
        </w:rPr>
      </w:pPr>
      <w:r>
        <w:rPr>
          <w:rFonts w:ascii="Times New Roman" w:cs="Times New Roman" w:eastAsia="Times New Roman" w:hAnsi="Times New Roman"/>
          <w:sz w:val="17"/>
          <w:szCs w:val="17"/>
          <w:color w:val="auto"/>
        </w:rPr>
        <w:t>2020. NCM LLC will pay interest to those persons who were holders of record at the close of business on the April 1 and October 1 immediately preceding the interest payment date. At any time prior to April 15, 2023, NCM LLC may redeem all or any portion of the 2028 Notes at a redemption price equal to 100% of the principal amount plus a make-whole premium, plus accrued and unpaid interest, if any, to the redemption date. On or after April 15, 2023, NCM LLC may redeem all or any portion of the 2028 Notes at specified redemption prices, plus accrued and unpaid interest, if any, to the redemption date. In addition, at any time prior to April 15, 2023, NCM LLC may on any one or more occasions redeem up to 35% of the original aggregate principal amount of the 2028 Notes from the net proceeds of certain equity offerings at a redemption price equal to 105.875% of the principal amount of the 2028 Notes redeemed, plus accrued and unpaid interest, if any, to the redemption date, provided that at least 65% of the original aggregate principal amount of the 2028 Notes remains outstanding after each such redemption and the redemption occurs within 90 days after the closing of such applicable equity offering.</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In June 2018, we entered into the Credit Agreement to replace NCM LLC's previous senior secured credit facility. Consistent with the structure of the previous facility, the Credit Agreement consists of a term loan facility and a revolving credit facility for $270.0 million and $175.0 million, respectively. The Credit Agreement extended the maturity dates by 5.5 years to June 20, 2025 for the term loan facility and 3.5 years to June 20, 2023 for the revolving credit facility. The interest rate under the term loan facility is either the LIBOR index plus 4.00% or the base rate plus 3.00% and the rate under the revolving credit facility is either the LIBOR index plus an applicable margin ranging from 3.00%-3.50% or the base rate plus an applicable margin ranging from 2.00%-2.50%. The applicable margin for the revolving credit facility is determined quarterly and is subject to adjustment based upon a consolidated net senior secured leverage ratio for NCM LLC. As of December 29, 2022, NCM LLC’s senior secured credit facility consisted of a $175.0 million revolving credit facility, a $258.5 million term loan (first tranche) and a $49.3 million term loan (second tranche).</w:t>
      </w:r>
    </w:p>
    <w:p>
      <w:pPr>
        <w:spacing w:after="0" w:line="75"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As of December 29, 2022, the weighted average remaining maturity was 3.2 years. As of December 29, 2022, approximately 54% of our total borrowings bear interest at fixed rates. The remaining 46% of our borrowings bear interest at variable rates and as such, our net income and earnings per share could fluctuate with market interest rate fluctuations that could increase or decrease the interest paid on our borrowings.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2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Allowance for Doubtful Accounts</w:t>
      </w:r>
    </w:p>
    <w:p>
      <w:pPr>
        <w:spacing w:after="0" w:line="120"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Nature of Estimates Required. </w:t>
      </w:r>
      <w:r>
        <w:rPr>
          <w:rFonts w:ascii="Times New Roman" w:cs="Times New Roman" w:eastAsia="Times New Roman" w:hAnsi="Times New Roman"/>
          <w:sz w:val="17"/>
          <w:szCs w:val="17"/>
          <w:color w:val="auto"/>
        </w:rPr>
        <w:t>The allowance for doubtful accounts represents management’s estimate of probable credit losses inherent in its trade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67" w:lineRule="exact"/>
        <w:rPr>
          <w:sz w:val="20"/>
          <w:szCs w:val="20"/>
          <w:color w:val="auto"/>
        </w:rPr>
      </w:pPr>
    </w:p>
    <w:p>
      <w:pPr>
        <w:jc w:val="both"/>
        <w:ind w:right="7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Sensitivity Analysis. </w:t>
      </w:r>
      <w:r>
        <w:rPr>
          <w:rFonts w:ascii="Times New Roman" w:cs="Times New Roman" w:eastAsia="Times New Roman" w:hAnsi="Times New Roman"/>
          <w:sz w:val="17"/>
          <w:szCs w:val="17"/>
          <w:color w:val="auto"/>
        </w:rPr>
        <w:t>As of December 29, 2022, our allowance for doubtful accounts was $1.7 million, or 1.8% of the gross accounts receivable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A 10% difference in the allowance for doubtful accounts as of December 29, 2022 would have affected net loss attributable to NCM, Inc. by approximately $0.2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Valuation of Intangible Assets</w:t>
      </w:r>
    </w:p>
    <w:p>
      <w:pPr>
        <w:spacing w:after="0" w:line="12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In accordance with ASC 360 –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we evaluate intangible assets and other long-lived assets for impairment whenever a triggering event occurs indicating that they may not be recoverable. Recoverability is assessed by comparing the carrying amount of an asset group to future undiscounted net cash flows expected to be generated. If the carrying amount of an asset group is not recoverable, an impairment loss is recognized equal to the difference between the carrying amount and the fair value of the asset group. We group assets for purposes of such review at the lowest level for which identifiable cash flows of the asset group are largely independent of the cash flows of the other groups of assets and liabilities. In order to develop future undiscounted net cash flows, we utilize estimates and assumptions based on historical data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1" w:name="page62"/>
    <w:bookmarkEnd w:id="61"/>
    <w:p>
      <w:pPr>
        <w:jc w:val="both"/>
        <w:spacing w:after="0" w:line="275" w:lineRule="auto"/>
        <w:rPr>
          <w:sz w:val="20"/>
          <w:szCs w:val="20"/>
          <w:color w:val="auto"/>
        </w:rPr>
      </w:pPr>
      <w:r>
        <w:rPr>
          <w:rFonts w:ascii="Times New Roman" w:cs="Times New Roman" w:eastAsia="Times New Roman" w:hAnsi="Times New Roman"/>
          <w:sz w:val="17"/>
          <w:szCs w:val="17"/>
          <w:color w:val="auto"/>
        </w:rPr>
        <w:t>consideration of future market conditions while incorporating management’s expectations as of the balance sheet date. Unforeseen events, changes in circumstances and market conditions and material differences in estimates of future cash flows could adversely affect the fair value of our assets and could result in impairment charges.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Nature of Estimates Required. </w:t>
      </w:r>
      <w:r>
        <w:rPr>
          <w:rFonts w:ascii="Times New Roman" w:cs="Times New Roman" w:eastAsia="Times New Roman" w:hAnsi="Times New Roman"/>
          <w:sz w:val="17"/>
          <w:szCs w:val="17"/>
          <w:color w:val="auto"/>
        </w:rPr>
        <w:t>NCM, Inc.’s 2020 Omnibus Equity Incentive Plan, 2016 Equity Incentive Plan and its 2007 Equity Incentive Plan,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(the “Equity Incentive Plans”) are treated as equity plans under the provisions of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and the determination of fair value of options, restricted stock and restricted stock units for accounting purposes requires that management make estimates and judgments. Stock options are granted using the Black-Scholes option pricing model to estimate the fair value of stock option grants, which was affected by our stock price and a number of assumptions, including expected term, expected volatility, risk-free interest rate and expected dividends.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7"/>
          <w:szCs w:val="17"/>
          <w:color w:val="auto"/>
        </w:rPr>
        <w:t>The fair value of restricted stock and restricted stock units are based on the closing market price of our common stock on the date of grant. Restricted stock and restricted stock units granted to employees vest upon the achievement of Company two or three-year performance measures and service conditions consisting of individual year performance measures or only service conditions whereby they vest ratably over two or three years. Restricted stock units granted to non-employee directors usually vest after the completion of a service period of thirteen months. Compensation expense equal to the fair value of each restricted stock award or restricted stock unit is recognized ratably over this requisite service period once the performance-based metric has been determined, if applicable.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we estimate a forfeiture rate to reflect the potential separation of employees.</w:t>
      </w:r>
    </w:p>
    <w:p>
      <w:pPr>
        <w:spacing w:after="0" w:line="6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Assumptions and Approach Used. </w:t>
      </w:r>
      <w:r>
        <w:rPr>
          <w:rFonts w:ascii="Times New Roman" w:cs="Times New Roman" w:eastAsia="Times New Roman" w:hAnsi="Times New Roman"/>
          <w:sz w:val="17"/>
          <w:szCs w:val="17"/>
          <w:color w:val="auto"/>
        </w:rPr>
        <w:t>In determining the value of stock options, we estimated an expected term based upon historical actuals and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peer actuals and adjusted it by the cost of equity in order to incorporate the impact of the market condition and the expected dividend yield based upon our expectation of the dividend that would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Nature of Estimates Required. </w:t>
      </w:r>
      <w:r>
        <w:rPr>
          <w:rFonts w:ascii="Times New Roman" w:cs="Times New Roman" w:eastAsia="Times New Roman" w:hAnsi="Times New Roman"/>
          <w:sz w:val="17"/>
          <w:szCs w:val="17"/>
          <w:color w:val="auto"/>
        </w:rPr>
        <w:t>We account for income taxes in accordance with ASC 740 –</w:t>
      </w:r>
      <w:r>
        <w:rPr>
          <w:rFonts w:ascii="Times New Roman" w:cs="Times New Roman" w:eastAsia="Times New Roman" w:hAnsi="Times New Roman"/>
          <w:sz w:val="17"/>
          <w:szCs w:val="17"/>
          <w:i w:val="1"/>
          <w:iCs w:val="1"/>
          <w:color w:val="auto"/>
        </w:rPr>
        <w:t xml:space="preserve"> Income Taxes, </w:t>
      </w:r>
      <w:r>
        <w:rPr>
          <w:rFonts w:ascii="Times New Roman" w:cs="Times New Roman" w:eastAsia="Times New Roman" w:hAnsi="Times New Roman"/>
          <w:sz w:val="17"/>
          <w:szCs w:val="17"/>
          <w:color w:val="auto"/>
        </w:rPr>
        <w:t>which requires an asset and liability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The Company generated a three-year cumulative pre-tax book loss during 2021 driven by the impact of the COVID-19 Pandemic on the Company’s operations in 2020 and 2021. Given the associated weight assigned to this item as negative evidence within the Company’s analysis, the Company determined it is more-likely-than-not that the Company will not be able to realize certain of the Company’s deferred tax assets before they expire. Given the additional pre-tax book losses in 2022, we have a valuation allowance in the amount of $245.5 million against the deferred tax asset as of December 29, 2022. As we do expect to generate pre-tax book income following the complete recovery from the lingering impacts of the COVID-19 Pandemic, we have not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recorded any impact of the Net Business Interest Expense Limitation IRC § 163(j) on our payable to founding members under the TRA.</w:t>
      </w:r>
    </w:p>
    <w:p>
      <w:pPr>
        <w:spacing w:after="0" w:line="118"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In addition, due to the basis differences resulting from our IPO-related transactions (including the TRA with the founding members) and subsequent adjustments pursuant to the common unit adjustment agreement, we are required to make cash payments under the TRA to the founding members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founding members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The requirements of the TRA, as amended, are highly technical and complex and involve management’s judgment, including judgments to determine hypothetical tax outcomes exclusive of the IPO date transaction and agreements. Management performs thorough analysis of the estimate each quarter and upon new information or conditions will refine its estimate. If we were to fail to meet certain of the requirements of the TRA,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73"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7"/>
          <w:szCs w:val="17"/>
          <w:color w:val="auto"/>
        </w:rPr>
        <w:t>For fiscal 2022, our provision for income taxes was $0.0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0" w:lineRule="exact"/>
        <w:rPr>
          <w:sz w:val="20"/>
          <w:szCs w:val="20"/>
          <w:color w:val="auto"/>
        </w:rPr>
      </w:pPr>
    </w:p>
    <w:p>
      <w:pPr>
        <w:ind w:right="460" w:firstLine="509"/>
        <w:spacing w:after="0" w:line="295" w:lineRule="auto"/>
        <w:rPr>
          <w:sz w:val="20"/>
          <w:szCs w:val="20"/>
          <w:color w:val="auto"/>
        </w:rPr>
      </w:pPr>
      <w:r>
        <w:rPr>
          <w:rFonts w:ascii="Times New Roman" w:cs="Times New Roman" w:eastAsia="Times New Roman" w:hAnsi="Times New Roman"/>
          <w:sz w:val="17"/>
          <w:szCs w:val="17"/>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120" w:lineRule="exact"/>
        <w:rPr>
          <w:sz w:val="20"/>
          <w:szCs w:val="20"/>
          <w:color w:val="auto"/>
        </w:rPr>
      </w:pPr>
    </w:p>
    <w:p>
      <w:pPr>
        <w:ind w:right="560" w:firstLine="509"/>
        <w:spacing w:after="0" w:line="295" w:lineRule="auto"/>
        <w:rPr>
          <w:sz w:val="20"/>
          <w:szCs w:val="20"/>
          <w:color w:val="auto"/>
        </w:rPr>
      </w:pPr>
      <w:r>
        <w:rPr>
          <w:rFonts w:ascii="Times New Roman" w:cs="Times New Roman" w:eastAsia="Times New Roman" w:hAnsi="Times New Roman"/>
          <w:sz w:val="17"/>
          <w:szCs w:val="17"/>
          <w:color w:val="auto"/>
        </w:rPr>
        <w:t>For a discussion of the related-party transactions, refer to the information provided under Note 9 to the audited Consolidated Financial Statements included elsewhere in this document.</w:t>
      </w:r>
    </w:p>
    <w:p>
      <w:pPr>
        <w:spacing w:after="0" w:line="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1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7"/>
          <w:szCs w:val="17"/>
          <w:color w:val="auto"/>
        </w:rPr>
        <w:t>The primary market risk to which we are exposed is interest rate risk. The Notes due 2026 and the Notes due 2028 bear interest at fixed rates, and therefore are not subject to market risk. As of December 29, 2022, the interest rate risk that we are exposed to is related to our $225.0 million revolving credit facility, our $258.5 million term loan (first tranche) and our $49.3 million term loan (second tranche). A 100 basis point fluctuation in market interest rates underlying our term loan and revolving credit facility would have the effect of increasing or decreasing our interest expense by approximately $5.2 million for an annual period on the $217.0 million, $258.5 million and $49.3 million outstanding as of December 29, 2022 on our revolving credit facility and term loans,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3" w:name="page64"/>
    <w:bookmarkEnd w:id="63"/>
    <w:p>
      <w:pPr>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7340" w:type="dxa"/>
            <w:vAlign w:val="bottom"/>
            <w:gridSpan w:val="6"/>
          </w:tcPr>
          <w:p>
            <w:pPr>
              <w:ind w:left="102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800" w:type="dxa"/>
            <w:vAlign w:val="bottom"/>
          </w:tcPr>
          <w:p>
            <w:pPr>
              <w:spacing w:after="0"/>
              <w:rPr>
                <w:sz w:val="19"/>
                <w:szCs w:val="19"/>
                <w:color w:val="auto"/>
              </w:rPr>
            </w:pPr>
          </w:p>
        </w:tc>
      </w:tr>
      <w:tr>
        <w:trPr>
          <w:trHeight w:val="535"/>
        </w:trPr>
        <w:tc>
          <w:tcPr>
            <w:tcW w:w="3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15"/>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tc>
        <w:tc>
          <w:tcPr>
            <w:tcW w:w="800" w:type="dxa"/>
            <w:vAlign w:val="bottom"/>
          </w:tcPr>
          <w:p>
            <w:pPr>
              <w:spacing w:after="0"/>
              <w:rPr>
                <w:sz w:val="18"/>
                <w:szCs w:val="18"/>
                <w:color w:val="auto"/>
              </w:rPr>
            </w:pPr>
          </w:p>
        </w:tc>
      </w:tr>
      <w:tr>
        <w:trPr>
          <w:trHeight w:val="340"/>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E32E1"/>
              </w:rPr>
              <w:t>Report of Deloitte &amp; Touche LLP, Independent Registered Public Accounting Firm (PCAOB ID: 34)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59"/>
        </w:trPr>
        <w:tc>
          <w:tcPr>
            <w:tcW w:w="5520" w:type="dxa"/>
            <w:vAlign w:val="bottom"/>
            <w:tcBorders>
              <w:top w:val="single" w:sz="8" w:color="0E32E1"/>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29, 2022 and December 30, 2021</w:t>
            </w:r>
          </w:p>
        </w:tc>
        <w:tc>
          <w:tcPr>
            <w:tcW w:w="1520" w:type="dxa"/>
            <w:vAlign w:val="bottom"/>
            <w:tcBorders>
              <w:top w:val="single" w:sz="8" w:color="0E32E1"/>
            </w:tcBorders>
          </w:tcPr>
          <w:p>
            <w:pPr>
              <w:spacing w:after="0"/>
              <w:rPr>
                <w:sz w:val="24"/>
                <w:szCs w:val="24"/>
                <w:color w:val="auto"/>
              </w:rPr>
            </w:pPr>
          </w:p>
        </w:tc>
        <w:tc>
          <w:tcPr>
            <w:tcW w:w="33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359"/>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29, 2022 and December 30,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3040" w:type="dxa"/>
            <w:vAlign w:val="bottom"/>
            <w:shd w:val="clear" w:color="auto" w:fill="0000FF"/>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59"/>
        </w:trPr>
        <w:tc>
          <w:tcPr>
            <w:tcW w:w="7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Equity/(Deficit) for the years ended December 29, 2022 and December 30, 2021</w:t>
            </w:r>
          </w:p>
        </w:tc>
        <w:tc>
          <w:tcPr>
            <w:tcW w:w="2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359"/>
        </w:trPr>
        <w:tc>
          <w:tcPr>
            <w:tcW w:w="103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29, 2022 and December 30,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359"/>
        </w:trPr>
        <w:tc>
          <w:tcPr>
            <w:tcW w:w="7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1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30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40" w:top="1242" w:right="379" w:bottom="1440" w:gutter="0" w:footer="0" w:header="0"/>
        </w:sectPr>
      </w:pPr>
    </w:p>
    <w:bookmarkStart w:id="64" w:name="page65"/>
    <w:bookmarkEnd w:id="64"/>
    <w:p>
      <w:pPr>
        <w:ind w:left="234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CineMedia,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National CineMedia, Inc. and subsidiary (the "Company") as of December 29, 2022 and December 30, 2021, the related consolidated statements of operations, equity/(deficit), and cash flows, for each of the two years in the period ended December 29, 2022, and the related notes (collectively referred to as the "financial statements"). In our opinion, the financial statements present fairly, in all material respects, the financial position of the Company as of December 29, 2022 and December 30, 2021, and the results of its operations and its cash flows for each of the two years in the period ended December 29, 2022, in conformity with accounting principles generally accepted in the United States of America.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to the financial statements, National CineMedia LLC, the consolidated subsidiary of the Company, filed a petition for reorganization under Chapter 11 of the United States Bankruptcy Code on April 11th, 2023 which made its outstanding debt balances immediately due and payable. The Company does not have sufficient available liquidity to repay its outstanding debt balances which raises substantial doubt about its ability to continue as a going concern. Management's plans in regard to these matters are also described in Note 1—</w:t>
      </w:r>
      <w:r>
        <w:rPr>
          <w:rFonts w:ascii="Times New Roman" w:cs="Times New Roman" w:eastAsia="Times New Roman" w:hAnsi="Times New Roman"/>
          <w:sz w:val="17"/>
          <w:szCs w:val="17"/>
          <w:i w:val="1"/>
          <w:iCs w:val="1"/>
          <w:color w:val="auto"/>
        </w:rPr>
        <w:t>Basis of Presentation</w:t>
      </w:r>
      <w:r>
        <w:rPr>
          <w:rFonts w:ascii="Times New Roman" w:cs="Times New Roman" w:eastAsia="Times New Roman" w:hAnsi="Times New Roman"/>
          <w:sz w:val="17"/>
          <w:szCs w:val="17"/>
          <w:color w:val="auto"/>
        </w:rPr>
        <w:t>. The financial statements do not include any adjustments that might result from the outcome of this uncertainty.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Bankruptcy Proceedings</w:t>
      </w:r>
    </w:p>
    <w:p>
      <w:pPr>
        <w:spacing w:after="0" w:line="11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As discussed in Note 1—</w:t>
      </w:r>
      <w:r>
        <w:rPr>
          <w:rFonts w:ascii="Times New Roman" w:cs="Times New Roman" w:eastAsia="Times New Roman" w:hAnsi="Times New Roman"/>
          <w:sz w:val="17"/>
          <w:szCs w:val="17"/>
          <w:i w:val="1"/>
          <w:iCs w:val="1"/>
          <w:color w:val="auto"/>
        </w:rPr>
        <w:t>Basis of Presentation</w:t>
      </w:r>
      <w:r>
        <w:rPr>
          <w:rFonts w:ascii="Times New Roman" w:cs="Times New Roman" w:eastAsia="Times New Roman" w:hAnsi="Times New Roman"/>
          <w:sz w:val="17"/>
          <w:szCs w:val="17"/>
          <w:color w:val="auto"/>
        </w:rPr>
        <w:t xml:space="preserve"> to the financial statements, National CineMedia LLC, the consolidated subsidiary of the Company, has filed for reorganization under Chapter 11 of the U.S. Bankruptcy Code. The accompanying financial statements do not purport to reflect or provide for the consequences of the bankruptcy proceedings. In particular, such financial statements do not purport to show (1) as to assets, their realizable value on a liquidation basis or their availability to satisfy liabilities; (2) as to prepetition liabilities, the settlement amounts for allowed claims, or the status and priority thereof; (3) as to shareholder accounts, the effect of any changes that may be made in the capitalization of the Company; or (4) as to operations, the effect of any changes that may be made in its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65" w:name="page66"/>
    <w:bookmarkEnd w:id="65"/>
    <w:p>
      <w:pPr>
        <w:ind w:right="3220"/>
        <w:spacing w:after="0" w:line="38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 Tax Receivable Agreements — Refer to Notes 7 and 9 to the Consolidated Financial Statements </w:t>
      </w:r>
      <w:r>
        <w:rPr>
          <w:rFonts w:ascii="Times New Roman" w:cs="Times New Roman" w:eastAsia="Times New Roman" w:hAnsi="Times New Roman"/>
          <w:sz w:val="17"/>
          <w:szCs w:val="17"/>
          <w:i w:val="1"/>
          <w:iCs w:val="1"/>
          <w:color w:val="auto"/>
        </w:rPr>
        <w:t>Critical Audit Matter Description</w:t>
      </w:r>
    </w:p>
    <w:p>
      <w:pPr>
        <w:ind w:right="60"/>
        <w:spacing w:after="0" w:line="260" w:lineRule="auto"/>
        <w:rPr>
          <w:sz w:val="20"/>
          <w:szCs w:val="20"/>
          <w:color w:val="auto"/>
        </w:rPr>
      </w:pPr>
      <w:r>
        <w:rPr>
          <w:rFonts w:ascii="Times New Roman" w:cs="Times New Roman" w:eastAsia="Times New Roman" w:hAnsi="Times New Roman"/>
          <w:sz w:val="17"/>
          <w:szCs w:val="17"/>
          <w:color w:val="auto"/>
        </w:rPr>
        <w:t>The Company and the founding members entered into the Tax Receivable Agreement (“TRA”) at the time of the Company’s initial public offering. Under the terms of this agreement, the Company will make cash payments to the founding members in amounts equal to 90% of the Company’s actual tax benefit realized primarily from the tax amortization of the intangible assets described below, which is recorded as a deferred tax asset. For purposes of the TRA, cash savings in income and franchise tax will be computed by comparing the Company’s actual income and franchise tax liability to the amount of such taxes that the Company would have been required to pay had there been no increase in the Company’s proportionate share of tax basis in National CineMedia, LLC’s tangible and intangible assets had the Company not entered into the TRA. The TRA applies to the Company’s taxable years up to and including the 30th anniversary of the IPO. During the fiscal year ended December 29, 2022, the Company paid the founding members $0.0 million for the 2021 tax year. In addition, changes in the deferred tax rate and in the Company’s realization assessment of its deferred tax assets, and therefore changes to future amounts probable to be paid under the TRA led to a re-measurement of the payable, resulting in an increase of $19.2 million during the fiscal year. At December 29, 2022, the Company’s payable to founding members under the TRA liability (“PFML”) was $35.6 million; of which $0.3 million is presented as a component of current liabilities and $35.3 million is presented as a component of non-current liabilities.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identified the computation of adjustments to the PFML as a critical audit matter because of the complex calculations required to arrive at the correct tax basis upon which to calculate the corresponding PFML and deferred tax asset adjustments. This involved complexity in applying the tax law, and calculations of (a) incremental amortizable step-up in tax basis, (b) the iterative impact of the computation of adjustments to the PFML to owners and (c) the overall PFML. The amount of the PFML, as well as the timing of such payments, is dependent upon a number of complex items including: (i) the tax basis in the units of NCM LLC being issued as part of a common unit adjustment or exchanged for common stock of the Company, (ii) the allocation of the tax basis step up to the applicable assets, (iii) the amount and timing of taxable income the Company generates in future periods until the PFML is settled, (iv) the portion of the Company’s payments under the TRA that constitute imputed interest or give rise to depreciable or amortizable tax basis and (v) the amount and timing of tax attribute utilization on a with and without basis in accordance with the TRA.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2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With the assistance of our income tax specialists, our audit procedures related to the computation of adjustments to the PFML included the following procedures, among others:</w:t>
      </w:r>
    </w:p>
    <w:p>
      <w:pPr>
        <w:spacing w:after="0" w:line="42" w:lineRule="exact"/>
        <w:rPr>
          <w:sz w:val="20"/>
          <w:szCs w:val="20"/>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the computation of adjustments to the PFML and deferred tax asset.</w:t>
      </w:r>
    </w:p>
    <w:p>
      <w:pPr>
        <w:spacing w:after="0" w:line="117"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the individual TRA and Exhibitor Services Agreement to compare the terms in each agreement for consistency with the mathematical model used by management to calculate the adjustments to the PFML and deferred tax asset.</w:t>
      </w:r>
    </w:p>
    <w:p>
      <w:pPr>
        <w:spacing w:after="0" w:line="41"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computation of adjustments to the year-end balance of the PFML amount by recalculating the PFML at the end of the year, taking into account the various unit exchanges occurring during the year as well as the additions in the PFML for each Common Unit Adjustment.</w:t>
      </w:r>
    </w:p>
    <w:p>
      <w:pPr>
        <w:spacing w:after="0" w:line="4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analyzed the impact of any taxable income limitations on the PFML.</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prepared our own model to independently recompute the PFML and compare to the recorded balance.</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reconciled realization of tax payments and deductions to the PFML.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 of allowance of $1.7 and $1.7,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$54.8 and $59.9,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 of accumulated amortization of $270.2 and $245.6,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investments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issuance costs,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due to founding members, net (related party payables of $15.2 and $11.4, respectively)</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 to founding members under the TRA (related party payables of $0.2 and $0.0,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 net of debt issuance costs of $7.9 and $0.0,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 net of debt issuance costs of $0.0 and $10.5, respectively</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 to founding members under the TRA (related party payables of $25.5 and $11.9,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0" w:type="dxa"/>
            <w:vAlign w:val="bottom"/>
          </w:tcPr>
          <w:p>
            <w:pPr>
              <w:spacing w:after="0"/>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EQUITY/(DEFICIT):</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NCM, Inc. Stockholders’ Equity/(Deficit):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 $0.01 par value; 10,000,000 shares authorized, none issued and outstanding, respectively</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78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Common stock, $0.01 par value; 260,000,000 and 175,000,000 shares authorized, 128,402,636 and</w:t>
            </w:r>
          </w:p>
        </w:tc>
        <w:tc>
          <w:tcPr>
            <w:tcW w:w="16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80,626,889 issued and outstanding, respectively</w:t>
            </w: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 in capital (deficit)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Retained earnings (distributions in excess of earnings)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182"/>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NCM, Inc. stockholders’ equity/(deficit)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equity/(deficit)</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EQUITY/DEFICIT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28" w:right="3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(including revenue from related parties of $14.4 and $8.8,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170"/>
        </w:trPr>
        <w:tc>
          <w:tcPr>
            <w:tcW w:w="826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Theater access fees and revenue share to founding members (including fees to related</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parties of $59.4 and $34.3, respectively)</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2"/>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of intangibles recorded for network theater screen leases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5"/>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r>
      <w:tr>
        <w:trPr>
          <w:trHeight w:val="215"/>
        </w:trPr>
        <w:tc>
          <w:tcPr>
            <w:tcW w:w="8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OPERATING INCOME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early retirement of debt,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re-measurement of the payable to founding members under the TRA</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asset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non-operating income,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5"/>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NET LOSS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 ATTRIBUTABLE TO NCM, INC.</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r>
      <w:tr>
        <w:trPr>
          <w:trHeight w:val="24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NCM, INC. COMMON SHARE: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61"/>
        </w:trPr>
        <w:tc>
          <w:tcPr>
            <w:tcW w:w="8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79,867,332</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79,867,332</w:t>
            </w: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EQUITY/ (DEFICIT)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NCM, Inc.</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vMerge w:val="restart"/>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(Distributions</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8"/>
                <w:szCs w:val="8"/>
                <w:color w:val="auto"/>
              </w:rPr>
            </w:pPr>
          </w:p>
        </w:tc>
        <w:tc>
          <w:tcPr>
            <w:tcW w:w="112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in Excess of</w:t>
            </w:r>
          </w:p>
        </w:tc>
        <w:tc>
          <w:tcPr>
            <w:tcW w:w="120" w:type="dxa"/>
            <w:vAlign w:val="bottom"/>
          </w:tcPr>
          <w:p>
            <w:pPr>
              <w:spacing w:after="0"/>
              <w:rPr>
                <w:sz w:val="8"/>
                <w:szCs w:val="8"/>
                <w:color w:val="auto"/>
              </w:rPr>
            </w:pPr>
          </w:p>
        </w:tc>
        <w:tc>
          <w:tcPr>
            <w:tcW w:w="1080" w:type="dxa"/>
            <w:vAlign w:val="bottom"/>
          </w:tcPr>
          <w:p>
            <w:pPr>
              <w:jc w:val="right"/>
              <w:ind w:right="111"/>
              <w:spacing w:after="0" w:line="97"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6"/>
                <w:szCs w:val="16"/>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95"/>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78,040,818</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34"/>
        </w:trPr>
        <w:tc>
          <w:tcPr>
            <w:tcW w:w="410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NCM LLC equity issued for purchase of</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1"/>
                <w:szCs w:val="11"/>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7"/>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ownership changes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to founding members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1,390,567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Inc. investment in NCM LLC</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 net of tax</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1,195,504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$0.20 per share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30, 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80,626,889</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Distributions to founding members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34"/>
        </w:trPr>
        <w:tc>
          <w:tcPr>
            <w:tcW w:w="410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NCM LLC equity issued for purchase of</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1"/>
                <w:szCs w:val="11"/>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7"/>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ownership changes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to founding members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46,638,443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Inc. investment in NCM LLC</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 net of tax</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1,137,304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$0.11 per share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29,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128,402,636</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4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82"/>
        </w:trPr>
        <w:tc>
          <w:tcPr>
            <w:tcW w:w="87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Consolidated net loss</w:t>
            </w: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Adjustments to reconcile consolidated net loss to net cash used in operating activities: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expense</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Bad-debt expense</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loss on early retirement of debt, net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Non-cash loss (gain) on re-measurement of the payable to founding members under the TRA</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sale of asset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31"/>
        </w:trPr>
        <w:tc>
          <w:tcPr>
            <w:tcW w:w="874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Founding member integration and encumbered theater payments (including</w:t>
            </w: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9"/>
        </w:trPr>
        <w:tc>
          <w:tcPr>
            <w:tcW w:w="8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payments from related parties of $0.0 and $0.0, respectively)</w:t>
            </w:r>
          </w:p>
        </w:tc>
        <w:tc>
          <w:tcPr>
            <w:tcW w:w="4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Payment to founding members under the TRA</w:t>
            </w: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membership unit adjustment received</w:t>
            </w:r>
          </w:p>
        </w:tc>
        <w:tc>
          <w:tcPr>
            <w:tcW w:w="4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Other cash flows from operating activities, net</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Receivables, net</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Amounts due to founding members, net</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9"/>
        </w:trPr>
        <w:tc>
          <w:tcPr>
            <w:tcW w:w="8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2"/>
        </w:trPr>
        <w:tc>
          <w:tcPr>
            <w:tcW w:w="8740" w:type="dxa"/>
            <w:vAlign w:val="bottom"/>
            <w:tcBorders>
              <w:bottom w:val="single" w:sz="8" w:color="CFF0FC"/>
            </w:tcBorders>
          </w:tcPr>
          <w:p>
            <w:pPr>
              <w:ind w:left="5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83"/>
        </w:trPr>
        <w:tc>
          <w:tcPr>
            <w:tcW w:w="8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4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sale and maturities of marketable securities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8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4"/>
                <w:szCs w:val="14"/>
                <w:color w:val="auto"/>
              </w:rPr>
              <w:t>Proceeds from sale of asset</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Payment of dividends</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revolving credit facility</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Issuance of term loans</w:t>
            </w: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of term loan facility</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Repayment Notes due 2028</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8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2"/>
        </w:trPr>
        <w:tc>
          <w:tcPr>
            <w:tcW w:w="8740" w:type="dxa"/>
            <w:vAlign w:val="bottom"/>
            <w:tcBorders>
              <w:bottom w:val="single" w:sz="8" w:color="CFF0FC"/>
            </w:tcBorders>
          </w:tcPr>
          <w:p>
            <w:pPr>
              <w:ind w:left="5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6"/>
        </w:trPr>
        <w:tc>
          <w:tcPr>
            <w:tcW w:w="8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89"/>
        </w:trPr>
        <w:tc>
          <w:tcPr>
            <w:tcW w:w="8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21"/>
        </w:trPr>
        <w:tc>
          <w:tcPr>
            <w:tcW w:w="8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6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20"/>
        </w:trPr>
        <w:tc>
          <w:tcPr>
            <w:tcW w:w="87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4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activity:</w:t>
            </w: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an intangible asset with NCM LLC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170"/>
        </w:trPr>
        <w:tc>
          <w:tcPr>
            <w:tcW w:w="826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Accrued distributions to founding members (including accrued payments due to</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related parties of $4.9 and $0.0,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subsidiary equity with NCM, Inc.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purchases of property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 not requiring cash in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payments (refunds)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00" w:hanging="778"/>
        <w:spacing w:after="0"/>
        <w:tabs>
          <w:tab w:leader="none" w:pos="8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98" w:lineRule="exact"/>
        <w:rPr>
          <w:sz w:val="20"/>
          <w:szCs w:val="20"/>
          <w:color w:val="auto"/>
        </w:rPr>
      </w:pPr>
    </w:p>
    <w:p>
      <w:pPr>
        <w:jc w:val="both"/>
        <w:ind w:right="460" w:firstLine="509"/>
        <w:spacing w:after="0" w:line="275" w:lineRule="auto"/>
        <w:rPr>
          <w:sz w:val="20"/>
          <w:szCs w:val="20"/>
          <w:color w:val="auto"/>
        </w:rPr>
      </w:pPr>
      <w:r>
        <w:rPr>
          <w:rFonts w:ascii="Times New Roman" w:cs="Times New Roman" w:eastAsia="Times New Roman" w:hAnsi="Times New Roman"/>
          <w:sz w:val="17"/>
          <w:szCs w:val="17"/>
          <w:color w:val="auto"/>
        </w:rPr>
        <w:t>NCM, Inc. was incorporated in Delaware as a holding company formed with the purpose of becoming a member and sole manager of NCM LLC, a limited liability company owned by NCM, Inc. and Cinemark. The terms “NCM”, “the Company” or “we” shall, unless the context otherwise requires, be deemed to include the consolidated entity.</w:t>
      </w:r>
    </w:p>
    <w:p>
      <w:pPr>
        <w:spacing w:after="0" w:line="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The Company operates the largest cinema advertising network reaching movie audiences in the U.S., allowing NCM LLC to sell advertising under long-term ESAs with the founding members and certain third-party network affiliates, under long-term network affiliate agreements. The impacts from the COVID-19 Pandemic have had and continue to have an effect on the world and our business. All of the theaters within the Company’s network are open and the release of major motion pictures resumed in the third quarter of 2021. The movie slate for 2022 improved from prior years but continued to be limited by post-production delays and major motion picture release schedule changes. Attendance levels increased from the prior year, but have not met historical levels and were not consistent throughout the year due to timing of major motion picture releases. In-theater advertising revenue for the year ended December 30, 2021 and the year ended December 29, 2022 also remained below historical levels due in part to a lag between the recovery of attendees and advertisers, as well as current macroeconomic factors.</w:t>
      </w:r>
    </w:p>
    <w:p>
      <w:pPr>
        <w:spacing w:after="0" w:line="75"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7"/>
          <w:szCs w:val="17"/>
          <w:color w:val="auto"/>
        </w:rPr>
        <w:t>On September 17, 2019, NCM LLC entered into the 2019 ESA Amendments. The 2019 ESA Amendments extended the contract life of the ESAs with Cinemark and Regal by four years resulting in a weighted average remaining term of the ESAs with the founding members of approximately 16.8 years as of December 29, 2022. The network affiliate agreements expire at various dates between May 29, 2023 and December 31, 2037. The weighted average remaining term (based on pre-COVID-19 attendance levels) of the ESAs and the network affiliate agreements together is 14.0 years as of December 29, 2022.</w:t>
      </w:r>
    </w:p>
    <w:p>
      <w:pPr>
        <w:spacing w:after="0" w:line="63" w:lineRule="exact"/>
        <w:rPr>
          <w:sz w:val="20"/>
          <w:szCs w:val="20"/>
          <w:color w:val="auto"/>
        </w:rPr>
      </w:pPr>
    </w:p>
    <w:p>
      <w:pPr>
        <w:ind w:right="180" w:firstLine="509"/>
        <w:spacing w:after="0" w:line="269" w:lineRule="auto"/>
        <w:rPr>
          <w:sz w:val="20"/>
          <w:szCs w:val="20"/>
          <w:color w:val="auto"/>
        </w:rPr>
      </w:pPr>
      <w:r>
        <w:rPr>
          <w:rFonts w:ascii="Times New Roman" w:cs="Times New Roman" w:eastAsia="Times New Roman" w:hAnsi="Times New Roman"/>
          <w:sz w:val="17"/>
          <w:szCs w:val="17"/>
          <w:color w:val="auto"/>
        </w:rPr>
        <w:t>In December 2022, AMC and Regal each redeemed all of their outstanding membership units, 5,954,646 and 40,683,797, respectively, in exchange for shares of NCM, Inc. common stock, reducing AMC’s and Regal’s ownership to 0.0% as of December 29, 2022.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63" w:lineRule="exact"/>
        <w:rPr>
          <w:sz w:val="20"/>
          <w:szCs w:val="20"/>
          <w:color w:val="auto"/>
        </w:rPr>
      </w:pPr>
    </w:p>
    <w:p>
      <w:pPr>
        <w:ind w:right="260" w:firstLine="509"/>
        <w:spacing w:after="0" w:line="275" w:lineRule="auto"/>
        <w:rPr>
          <w:sz w:val="20"/>
          <w:szCs w:val="20"/>
          <w:color w:val="auto"/>
        </w:rPr>
      </w:pPr>
      <w:r>
        <w:rPr>
          <w:rFonts w:ascii="Times New Roman" w:cs="Times New Roman" w:eastAsia="Times New Roman" w:hAnsi="Times New Roman"/>
          <w:sz w:val="17"/>
          <w:szCs w:val="17"/>
          <w:color w:val="auto"/>
        </w:rPr>
        <w:t>As of December 29, 2022, NCM LLC had 172,093,433 common membership units outstanding, of which 128,402,636 (74.6%) were owned by NCM, Inc., 43,690,797 (25.4%) were owned by Cinemark, 0 (0.0%) were owned by Regal and 0 (0.0%) were owned by AMC. The membership units held by the founding members are exchangeable into NCM, Inc. common stock on a one-for-one basis, at the discretion of the holder.</w:t>
      </w:r>
    </w:p>
    <w:p>
      <w:pPr>
        <w:spacing w:after="0" w:line="55" w:lineRule="exact"/>
        <w:rPr>
          <w:sz w:val="20"/>
          <w:szCs w:val="20"/>
          <w:color w:val="auto"/>
        </w:rPr>
      </w:pPr>
    </w:p>
    <w:p>
      <w:pPr>
        <w:ind w:right="18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Going Concern</w:t>
      </w:r>
      <w:r>
        <w:rPr>
          <w:rFonts w:ascii="Times New Roman" w:cs="Times New Roman" w:eastAsia="Times New Roman" w:hAnsi="Times New Roman"/>
          <w:sz w:val="17"/>
          <w:szCs w:val="17"/>
          <w:color w:val="auto"/>
        </w:rPr>
        <w:t>—The accompanying audited Consolidated Financial Statements are prepared in accordance with GAAP applicable to a going concern,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contemplates the realization of assets and the satisfaction of liabilities in the normal course of business.</w:t>
      </w:r>
    </w:p>
    <w:p>
      <w:pPr>
        <w:spacing w:after="0" w:line="3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NCM LLC filed a petition for reorganization under Chapter 11 of the United States Bankruptcy Code in the Southern District of Texas on April 11, 2023. NCM, Inc. expects to continue to manage NCM LLC, the “debtor in possession”, under the 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As a result of the bankruptcy petition, the realization of NCM LLC’s assets and the satisfaction of liabilities are subject to significant uncertainty. These conditions and events raise substantial doubt about the Company’s ability to continue as a going concern. Given the Chapter 11 Case, NCM LLC’s outstanding debt became immediately due and payable and was reclassified as current within the Company’s audited Consolidated Balance Sheet as of December 29, 2022. Further, a Chapter 11 plan of reorganization for NCM LLC is likely to materially change the amounts and classifications of assets and other liabilities reported in the Company’s audited Consolidated Balance Sheet as of December 29, 2022. As the progress of these plans and transactions is subject to approval of the Bankruptcy Court and therefore not within our control, NCM LLC’s successful reorganization and emergence from bankruptcy cannot be considered probable. As a result, the proceedings do not alleviate the substantial doubt about the Company’s ability to continue as a going concern.</w:t>
      </w:r>
    </w:p>
    <w:p>
      <w:pPr>
        <w:spacing w:after="0" w:line="72" w:lineRule="exact"/>
        <w:rPr>
          <w:sz w:val="20"/>
          <w:szCs w:val="20"/>
          <w:color w:val="auto"/>
        </w:rPr>
      </w:pPr>
    </w:p>
    <w:p>
      <w:pPr>
        <w:ind w:right="100" w:firstLine="509"/>
        <w:spacing w:after="0" w:line="295" w:lineRule="auto"/>
        <w:rPr>
          <w:sz w:val="20"/>
          <w:szCs w:val="20"/>
          <w:color w:val="auto"/>
        </w:rPr>
      </w:pPr>
      <w:r>
        <w:rPr>
          <w:rFonts w:ascii="Times New Roman" w:cs="Times New Roman" w:eastAsia="Times New Roman" w:hAnsi="Times New Roman"/>
          <w:sz w:val="17"/>
          <w:szCs w:val="17"/>
          <w:color w:val="auto"/>
        </w:rPr>
        <w:t>The audited Consolidated Financial Statements do not include any adjustments relating to the recoverability and classification of recorded asset amounts or the amounts and classification of liabilities that might result from the outcome of the going concern uncertainty.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2" w:lineRule="exact"/>
        <w:rPr>
          <w:sz w:val="20"/>
          <w:szCs w:val="20"/>
          <w:color w:val="auto"/>
        </w:rPr>
      </w:pPr>
    </w:p>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Company’s business is seasonal and for this and other reasons operating results for interim periods may not be indicative of the Company’s full year results or future performance. As a result of the various related-party agreements discussed in Note 9—</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the operating results as presented are not necessarily indicative of the results that might have occurred if all agreements were with non-related third parties.</w:t>
      </w:r>
    </w:p>
    <w:p>
      <w:pPr>
        <w:spacing w:after="0" w:line="65" w:lineRule="exact"/>
        <w:rPr>
          <w:sz w:val="20"/>
          <w:szCs w:val="20"/>
          <w:color w:val="auto"/>
        </w:rPr>
      </w:pPr>
    </w:p>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Advertising is the principal business activity of the Company and is the Company’s only operating and reportable segment under the requirements of ASC 280—</w:t>
      </w:r>
      <w:r>
        <w:rPr>
          <w:rFonts w:ascii="Times New Roman" w:cs="Times New Roman" w:eastAsia="Times New Roman" w:hAnsi="Times New Roman"/>
          <w:sz w:val="17"/>
          <w:szCs w:val="17"/>
          <w:i w:val="1"/>
          <w:iCs w:val="1"/>
          <w:color w:val="auto"/>
        </w:rPr>
        <w:t>Segment Reporting.</w:t>
      </w:r>
    </w:p>
    <w:p>
      <w:pPr>
        <w:spacing w:after="0" w:line="38"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Estimates</w:t>
      </w:r>
      <w:r>
        <w:rPr>
          <w:rFonts w:ascii="Times New Roman" w:cs="Times New Roman" w:eastAsia="Times New Roman" w:hAnsi="Times New Roman"/>
          <w:sz w:val="17"/>
          <w:szCs w:val="17"/>
          <w:color w:val="auto"/>
        </w:rPr>
        <w:t>—The preparation of the financial statements in conformity with GAAP requires management to make estimates and assumptions that affect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and forecasts utilized to evaluate the Company’s ability to continue as a going concern. Actual results could differ from those estimates.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18"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Accounting Period</w:t>
      </w:r>
      <w:r>
        <w:rPr>
          <w:rFonts w:ascii="Times New Roman" w:cs="Times New Roman" w:eastAsia="Times New Roman" w:hAnsi="Times New Roman"/>
          <w:sz w:val="17"/>
          <w:szCs w:val="17"/>
          <w:color w:val="auto"/>
        </w:rPr>
        <w:t>—The Company has a 52-week or 53-week fiscal year ending on the first Thursday after December 25. Fiscal year 2021 contained 52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and 2022 contained 52 weeks. Throughout this document, the fiscal years are referred to as set forth below:</w:t>
      </w:r>
    </w:p>
    <w:tbl>
      <w:tblPr>
        <w:tblLayout w:type="fixed"/>
        <w:tblInd w:w="0" w:type="dxa"/>
        <w:tblCellMar>
          <w:top w:w="0" w:type="dxa"/>
          <w:left w:w="0" w:type="dxa"/>
          <w:bottom w:w="0" w:type="dxa"/>
          <w:right w:w="0" w:type="dxa"/>
        </w:tblCellMar>
      </w:tblPr>
      <w:tr>
        <w:trPr>
          <w:trHeight w:val="170"/>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in</w:t>
            </w:r>
          </w:p>
        </w:tc>
      </w:tr>
      <w:tr>
        <w:trPr>
          <w:trHeight w:val="197"/>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this Document</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29, 2022</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2022</w:t>
            </w:r>
          </w:p>
        </w:tc>
      </w:tr>
      <w:tr>
        <w:trPr>
          <w:trHeight w:val="227"/>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30, 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2021</w:t>
            </w:r>
          </w:p>
        </w:tc>
      </w:tr>
    </w:tbl>
    <w:p>
      <w:pPr>
        <w:spacing w:after="0" w:line="168"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Revenue Recognition</w:t>
      </w:r>
      <w:r>
        <w:rPr>
          <w:rFonts w:ascii="Times New Roman" w:cs="Times New Roman" w:eastAsia="Times New Roman" w:hAnsi="Times New Roman"/>
          <w:sz w:val="17"/>
          <w:szCs w:val="17"/>
          <w:color w:val="auto"/>
        </w:rPr>
        <w:t>—The Company derives revenue principally from the sale of advertising to national, regional and local businesses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cinema advertising and entertainment 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through NCM's digital gaming products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Shuffle, which can be played on the mobile apps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founding members’ beverage suppliers. The Company considers the terms of each arrangement to determine the appropriate accounting treatment as more fully discussed in Note 2—</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w:t>
      </w:r>
      <w:r>
        <w:rPr>
          <w:rFonts w:ascii="Times New Roman" w:cs="Times New Roman" w:eastAsia="Times New Roman" w:hAnsi="Times New Roman"/>
          <w:sz w:val="17"/>
          <w:szCs w:val="17"/>
          <w:color w:val="auto"/>
        </w:rPr>
        <w:t>—The Company classifies its core operating expenses within the following categories on the audited Consolidated Statements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w:t>
      </w:r>
    </w:p>
    <w:p>
      <w:pPr>
        <w:spacing w:after="0" w:line="98" w:lineRule="exact"/>
        <w:rPr>
          <w:sz w:val="20"/>
          <w:szCs w:val="20"/>
          <w:color w:val="auto"/>
        </w:rPr>
      </w:pPr>
    </w:p>
    <w:p>
      <w:pPr>
        <w:jc w:val="both"/>
        <w:ind w:right="38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Advertising operating costs</w:t>
      </w:r>
      <w:r>
        <w:rPr>
          <w:rFonts w:ascii="Times New Roman" w:cs="Times New Roman" w:eastAsia="Times New Roman" w:hAnsi="Times New Roman"/>
          <w:sz w:val="17"/>
          <w:szCs w:val="17"/>
          <w:color w:val="auto"/>
        </w:rPr>
        <w:t>—This balance relates to advertising fulfillment-related operating costs primarily consisting of personnel and other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share and per patron based fees due to network affiliates and other sales partners, and to a lesser extent, production costs of non-digital advertising.</w:t>
      </w:r>
    </w:p>
    <w:p>
      <w:pPr>
        <w:spacing w:after="0" w:line="38" w:lineRule="exact"/>
        <w:rPr>
          <w:sz w:val="20"/>
          <w:szCs w:val="20"/>
          <w:color w:val="auto"/>
        </w:rPr>
      </w:pPr>
    </w:p>
    <w:p>
      <w:pPr>
        <w:ind w:right="18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Network costs</w:t>
      </w:r>
      <w:r>
        <w:rPr>
          <w:rFonts w:ascii="Times New Roman" w:cs="Times New Roman" w:eastAsia="Times New Roman" w:hAnsi="Times New Roman"/>
          <w:sz w:val="17"/>
          <w:szCs w:val="17"/>
          <w:color w:val="auto"/>
        </w:rPr>
        <w:t>—This balance consists of personnel, satellite bandwidth, repairs and other costs of maintaining and operating the digital network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preparing advertising and other content for transmission across the digital network.</w:t>
      </w:r>
    </w:p>
    <w:p>
      <w:pPr>
        <w:spacing w:after="0" w:line="38"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Theater access fees and revenue share to founding members</w:t>
      </w:r>
      <w:r>
        <w:rPr>
          <w:rFonts w:ascii="Times New Roman" w:cs="Times New Roman" w:eastAsia="Times New Roman" w:hAnsi="Times New Roman"/>
          <w:sz w:val="17"/>
          <w:szCs w:val="17"/>
          <w:color w:val="auto"/>
        </w:rPr>
        <w:t>—This balance consists of payments to the founding members in return for the rights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advertise in their theaters comprised of a payment per theater attendee, a payment for post-showtime advertising, a payment per digital screen and a payment per digital cinema projector equipped in the theaters, all of which escalate over time, and revenue share for the Platinum Spot, when sold.</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Selling and marketing costs</w:t>
      </w:r>
      <w:r>
        <w:rPr>
          <w:rFonts w:ascii="Times New Roman" w:cs="Times New Roman" w:eastAsia="Times New Roman" w:hAnsi="Times New Roman"/>
          <w:sz w:val="17"/>
          <w:szCs w:val="17"/>
          <w:color w:val="auto"/>
        </w:rPr>
        <w:t>—This balance consists primarily of sales personnel costs including sales commissions and selling related expenses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travel, barter and bad debt expense, marketing expenses including research subscriptions and studies and production costs for internal segments shown within the </w:t>
      </w:r>
      <w:r>
        <w:rPr>
          <w:rFonts w:ascii="Times New Roman" w:cs="Times New Roman" w:eastAsia="Times New Roman" w:hAnsi="Times New Roman"/>
          <w:sz w:val="17"/>
          <w:szCs w:val="17"/>
          <w:i w:val="1"/>
          <w:iCs w:val="1"/>
          <w:color w:val="auto"/>
        </w:rPr>
        <w:t xml:space="preserve">Noovie® </w:t>
      </w:r>
      <w:r>
        <w:rPr>
          <w:rFonts w:ascii="Times New Roman" w:cs="Times New Roman" w:eastAsia="Times New Roman" w:hAnsi="Times New Roman"/>
          <w:sz w:val="17"/>
          <w:szCs w:val="17"/>
          <w:color w:val="auto"/>
        </w:rPr>
        <w:t>show, lease expense for the Company’s sales offices and costs associated with digital inventory, including revenue shares paid to DOOH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 This balance also includes advertising-related costs incurred promoting the Company's digital products. The Company recognized advertising costs of $0.0 million and $0.1 million for the years ended December 29, 2022 and December 30, 2021, respectively. These costs are expensed when incurred.</w:t>
      </w:r>
    </w:p>
    <w:p>
      <w:pPr>
        <w:spacing w:after="0" w:line="65" w:lineRule="exact"/>
        <w:rPr>
          <w:sz w:val="20"/>
          <w:szCs w:val="20"/>
          <w:color w:val="auto"/>
        </w:rPr>
      </w:pPr>
    </w:p>
    <w:p>
      <w:pPr>
        <w:ind w:right="38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Administrative and other costs</w:t>
      </w:r>
      <w:r>
        <w:rPr>
          <w:rFonts w:ascii="Times New Roman" w:cs="Times New Roman" w:eastAsia="Times New Roman" w:hAnsi="Times New Roman"/>
          <w:sz w:val="17"/>
          <w:szCs w:val="17"/>
          <w:color w:val="auto"/>
        </w:rPr>
        <w:t>—This balance consists of personnel costs for the Company’s executives as well as administrative functions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information technology and accounting, lease expense for the Company’s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headquarters, legal and professional fees, cloud computing costs for the Company’s cinema advertising management system and repairs and maintenance costs.</w:t>
      </w:r>
    </w:p>
    <w:p>
      <w:pPr>
        <w:spacing w:after="0" w:line="114"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Cash and Cash Equivalents</w:t>
      </w:r>
      <w:r>
        <w:rPr>
          <w:rFonts w:ascii="Times New Roman" w:cs="Times New Roman" w:eastAsia="Times New Roman" w:hAnsi="Times New Roman"/>
          <w:sz w:val="17"/>
          <w:szCs w:val="17"/>
          <w:color w:val="auto"/>
        </w:rPr>
        <w:t>—All highly liquid debt instruments and investments purchased with an original maturity of three months or less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classified as cash equivalents and are considered available-for-sale securities. There are cash balances in a bank in excess of the federally insured limits or in the form of a money market demand account with a major financial institution. The Company has elected the fair value option for valuing its cash equivalents. The cash equivalents are valued at fair value at each balance sheet date and the change in value from the prior period is recognized within “Other non-operating income, net” on the audited Consolidated Statements of Operations.</w:t>
      </w:r>
    </w:p>
    <w:p>
      <w:pPr>
        <w:spacing w:after="0" w:line="61" w:lineRule="exact"/>
        <w:rPr>
          <w:sz w:val="20"/>
          <w:szCs w:val="20"/>
          <w:color w:val="auto"/>
        </w:rPr>
      </w:pPr>
    </w:p>
    <w:p>
      <w:pPr>
        <w:ind w:right="2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Restricted Cash</w:t>
      </w:r>
      <w:r>
        <w:rPr>
          <w:rFonts w:ascii="Times New Roman" w:cs="Times New Roman" w:eastAsia="Times New Roman" w:hAnsi="Times New Roman"/>
          <w:sz w:val="17"/>
          <w:szCs w:val="17"/>
          <w:color w:val="auto"/>
        </w:rPr>
        <w:t>— The Company’s restricted cash balance was $2.1 million and $0.0 million for the years ended December 29, 2022 and December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2021, respectively. The balance as of December 29, 2022 related to fees due to Regal in accordance with the ESA which were held in escrow in conjunction with the Cineworld Proceeding.</w:t>
      </w:r>
    </w:p>
    <w:p>
      <w:pPr>
        <w:spacing w:after="0" w:line="52"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Marketable Securities</w:t>
      </w:r>
      <w:r>
        <w:rPr>
          <w:rFonts w:ascii="Times New Roman" w:cs="Times New Roman" w:eastAsia="Times New Roman" w:hAnsi="Times New Roman"/>
          <w:sz w:val="17"/>
          <w:szCs w:val="17"/>
          <w:color w:val="auto"/>
        </w:rPr>
        <w:t>—The Company’s marketable securities are classified as available-for-sale and are reported at fair value. The fair value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 The change in value from the prior period is recognized within “Other non-operating income, net” on the audited Consolidated Statements of Operations.</w:t>
      </w:r>
    </w:p>
    <w:p>
      <w:pPr>
        <w:spacing w:after="0" w:line="6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Significant Customers</w:t>
      </w:r>
      <w:r>
        <w:rPr>
          <w:rFonts w:ascii="Times New Roman" w:cs="Times New Roman" w:eastAsia="Times New Roman" w:hAnsi="Times New Roman"/>
          <w:sz w:val="17"/>
          <w:szCs w:val="17"/>
          <w:color w:val="auto"/>
        </w:rPr>
        <w:t>—The risk of credit loss related to the Company's trade receivables and unbilled receivables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decreased the expected rate of default related to local and regional customers within the calculation of the allowance for doubtful accounts as of December 29, 2022, as compared to December 30, 2021, given the recovery of the previously identified at-risk small businesses (e.g. restaurants, travel, etc.) from the adverse impact of the COVID-19 Pandemic. The Company also reserves for specific receivable balances that it expects to write off based on known concerns regarding the financial health of the customer. Receivables are written off when management determines amounts are uncollectible. As of December 29, 2022 and December 30, 2021 there was one advertising agency group through which the Company sources national advertising revenue that accounted for 13.0% and 15.7%, respectively, of the Company’s outstanding gross receivable balance. During the years ended December 29, 2022 and December 30, 2021, the Company had one customer that accounted for 12.9% and 11.8%, respectively, of the Company's revenue.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Receivables consisted of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Long-lived Assets</w:t>
      </w:r>
      <w:r>
        <w:rPr>
          <w:rFonts w:ascii="Times New Roman" w:cs="Times New Roman" w:eastAsia="Times New Roman" w:hAnsi="Times New Roman"/>
          <w:sz w:val="17"/>
          <w:szCs w:val="17"/>
          <w:color w:val="auto"/>
        </w:rPr>
        <w:t>—Property and equipment is stated at cost, net of accumulated depreciation or amortization. Generally, the equipment associated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4-10 years</w:t>
            </w:r>
          </w:p>
        </w:tc>
        <w:tc>
          <w:tcPr>
            <w:tcW w:w="40" w:type="dxa"/>
            <w:vAlign w:val="bottom"/>
          </w:tcPr>
          <w:p>
            <w:pPr>
              <w:spacing w:after="0"/>
              <w:rPr>
                <w:sz w:val="19"/>
                <w:szCs w:val="19"/>
                <w:color w:val="auto"/>
              </w:rPr>
            </w:pP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726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3-5 years</w:t>
            </w:r>
          </w:p>
        </w:tc>
        <w:tc>
          <w:tcPr>
            <w:tcW w:w="40" w:type="dxa"/>
            <w:vAlign w:val="bottom"/>
          </w:tcPr>
          <w:p>
            <w:pPr>
              <w:spacing w:after="0"/>
              <w:rPr>
                <w:sz w:val="19"/>
                <w:szCs w:val="19"/>
                <w:color w:val="auto"/>
              </w:rPr>
            </w:pPr>
          </w:p>
        </w:tc>
      </w:tr>
      <w:tr>
        <w:trPr>
          <w:trHeight w:val="22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Lesser of lease term or asset life</w:t>
            </w:r>
          </w:p>
        </w:tc>
        <w:tc>
          <w:tcPr>
            <w:tcW w:w="40" w:type="dxa"/>
            <w:vAlign w:val="bottom"/>
          </w:tcPr>
          <w:p>
            <w:pPr>
              <w:spacing w:after="0"/>
              <w:rPr>
                <w:sz w:val="19"/>
                <w:szCs w:val="19"/>
                <w:color w:val="auto"/>
              </w:rPr>
            </w:pPr>
          </w:p>
        </w:tc>
      </w:tr>
      <w:tr>
        <w:trPr>
          <w:trHeight w:val="927"/>
        </w:trPr>
        <w:tc>
          <w:tcPr>
            <w:tcW w:w="3940" w:type="dxa"/>
            <w:vAlign w:val="bottom"/>
          </w:tcPr>
          <w:p>
            <w:pPr>
              <w:spacing w:after="0"/>
              <w:rPr>
                <w:sz w:val="24"/>
                <w:szCs w:val="24"/>
                <w:color w:val="auto"/>
              </w:rPr>
            </w:pPr>
          </w:p>
        </w:tc>
        <w:tc>
          <w:tcPr>
            <w:tcW w:w="7260" w:type="dxa"/>
            <w:vAlign w:val="bottom"/>
          </w:tcPr>
          <w:p>
            <w:pPr>
              <w:jc w:val="right"/>
              <w:ind w:right="5393"/>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tcPr>
          <w:p>
            <w:pPr>
              <w:spacing w:after="0"/>
              <w:rPr>
                <w:sz w:val="24"/>
                <w:szCs w:val="24"/>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7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Software and website development costs developed or obtained for internal use are accounted for in accordance with ASC 350—</w:t>
      </w:r>
      <w:r>
        <w:rPr>
          <w:rFonts w:ascii="Times New Roman" w:cs="Times New Roman" w:eastAsia="Times New Roman" w:hAnsi="Times New Roman"/>
          <w:sz w:val="17"/>
          <w:szCs w:val="17"/>
          <w:i w:val="1"/>
          <w:iCs w:val="1"/>
          <w:color w:val="auto"/>
        </w:rPr>
        <w:t>Internal Use Software</w:t>
      </w:r>
      <w:r>
        <w:rPr>
          <w:rFonts w:ascii="Times New Roman" w:cs="Times New Roman" w:eastAsia="Times New Roman" w:hAnsi="Times New Roman"/>
          <w:sz w:val="17"/>
          <w:szCs w:val="17"/>
          <w:color w:val="auto"/>
        </w:rPr>
        <w:t xml:space="preserve"> and ASC 350– </w:t>
      </w:r>
      <w:r>
        <w:rPr>
          <w:rFonts w:ascii="Times New Roman" w:cs="Times New Roman" w:eastAsia="Times New Roman" w:hAnsi="Times New Roman"/>
          <w:sz w:val="17"/>
          <w:szCs w:val="17"/>
          <w:i w:val="1"/>
          <w:iCs w:val="1"/>
          <w:color w:val="auto"/>
        </w:rPr>
        <w:t>Website Development Costs</w:t>
      </w:r>
      <w:r>
        <w:rPr>
          <w:rFonts w:ascii="Times New Roman" w:cs="Times New Roman" w:eastAsia="Times New Roman" w:hAnsi="Times New Roman"/>
          <w:sz w:val="17"/>
          <w:szCs w:val="17"/>
          <w:color w:val="auto"/>
        </w:rPr>
        <w:t xml:space="preserve">. The subtopics require the capitalization of certain costs incurred in developing or obtaining software for internal use. Software costs related primarily to the Company’s cinema advertising management system, digital products, digital network distribution system (DCS), enterprise resource planning system and website development costs, which are included in equipment, and are depreciated over three to ten years. As of December 29, 2022 and December 30, 2021, the Company had a net book value of $7.4 million and $13.7 million, respectively, of capitalized software and website development costs. Depreciation expense related to software and website development was approximately $3.8 million and $6.8 million for the years ended December 29, 2022 and December 30, 2021, respectively. The subtopics also require the capitalization of certain implementation costs related to qualifying Cloud Computing Arrangements (“CCAs”) upon adoption of ASU 2018-15— </w:t>
      </w:r>
      <w:r>
        <w:rPr>
          <w:rFonts w:ascii="Times New Roman" w:cs="Times New Roman" w:eastAsia="Times New Roman" w:hAnsi="Times New Roman"/>
          <w:sz w:val="17"/>
          <w:szCs w:val="17"/>
          <w:i w:val="1"/>
          <w:iCs w:val="1"/>
          <w:color w:val="auto"/>
        </w:rPr>
        <w:t>Intangibles - Goodwill and Other - 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Implementation Costs Incurred in a Cloud Computing Arrangement That Is a Service Contract </w:t>
      </w:r>
      <w:r>
        <w:rPr>
          <w:rFonts w:ascii="Times New Roman" w:cs="Times New Roman" w:eastAsia="Times New Roman" w:hAnsi="Times New Roman"/>
          <w:sz w:val="17"/>
          <w:szCs w:val="17"/>
          <w:color w:val="auto"/>
        </w:rPr>
        <w:t>as of September 28, 2018. As of December 29, 2022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30, 2021 the Company had a net book value of $3.7 million and $4.0 million of capitalized implementation costs for CCAs, respectively. These costs primarily relate to the Company's hosted cinema advertising management system which was implemented in January 2021. Depreciation expense related to capitalized implementation costs for CCAs was approximately $0.4 million and $0.4 million for the years ended December 29, 2022 and December 30, 2021, respectively. These costs are amortized to “Administrative and other costs” within the audited Consolidated Statements of Operations over the life of the hosting arrangement beginning at implementation. For the years ended December 29, 2022 and December 30, 2021, the Company recorded $4.6 million and $1.7 million in research and development expense, respectively.</w:t>
      </w:r>
    </w:p>
    <w:p>
      <w:pPr>
        <w:spacing w:after="0" w:line="284"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7"/>
          <w:szCs w:val="17"/>
          <w:color w:val="auto"/>
        </w:rPr>
        <w:t xml:space="preserve">The Company assesses impairment of long-lived assets pursuant with ASC 360 –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This includes determining if certain triggering events have occurred that could affect the value of an asset. The Company recorded losses of $5.8 million and $0.0 million related to the write-off of certain internally developed software during the years ended December 29, 2022 and December 30, 2021, respectively, which has been included within “Impairment of long-lived assets” within the respective audited Consolidated Statements of Operations. The Company also recorded losses of $0.0 million and $0.2 million related to the write-off of equipment during the years ended December 29, 2022 and December 30, 2021, respectively, which has been included within “Depreciation expense” within the respective audited Consolidated Statements of Operations given the immaterial nature of the balances.</w:t>
      </w:r>
    </w:p>
    <w:p>
      <w:pPr>
        <w:spacing w:after="0" w:line="65"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Intangible Assets</w:t>
      </w:r>
      <w:r>
        <w:rPr>
          <w:rFonts w:ascii="Times New Roman" w:cs="Times New Roman" w:eastAsia="Times New Roman" w:hAnsi="Times New Roman"/>
          <w:sz w:val="17"/>
          <w:szCs w:val="17"/>
          <w:color w:val="auto"/>
        </w:rPr>
        <w:t>—Intangible assets consist of contractual rights to provide its services within the theaters of the founding members and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after determining that gross cash flows are insufficient to recover the asset, the estimated fair value is less than the carrying value, the intangible asset is written down to its estimated fair value. Significant judgment is involved in estimating long-term cash flow forecasts. Refer to Note 5—</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xml:space="preserve"> to the audited Consolidated Financial Statements for discussion of the Company's consideration of the impact of the Cineworld Proceeding within the impairment testing performed over the Company's intangible assets during the year ended December 29, 2022. The Company recorded $0.0 million and $0.0 million, respectively, in impairment charges related to intangible assets during the years ended December 29, 2022 and December 30, 2021. The Company has elected to capitalize extension costs on its intangible assets and thus capitalized the legal and professional costs incurred in conjunction with the 2019 ESA Amendments.</w:t>
      </w:r>
    </w:p>
    <w:p>
      <w:pPr>
        <w:spacing w:after="0" w:line="72"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Amounts Due to/from Founding Members</w:t>
      </w:r>
      <w:r>
        <w:rPr>
          <w:rFonts w:ascii="Times New Roman" w:cs="Times New Roman" w:eastAsia="Times New Roman" w:hAnsi="Times New Roman"/>
          <w:sz w:val="17"/>
          <w:szCs w:val="17"/>
          <w:color w:val="auto"/>
        </w:rPr>
        <w:t>—Amounts due to/from founding members include amounts due for the theater access fees and revenue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offset by a 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 contingent upon the Company's compliance with the covenants outlined within the Credit Agreement Second and Third Amendments and in accordance with the NCM LLC Operating Agreement.</w:t>
      </w:r>
    </w:p>
    <w:p>
      <w:pPr>
        <w:spacing w:after="0" w:line="61"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Income Taxes</w:t>
      </w:r>
      <w:r>
        <w:rPr>
          <w:rFonts w:ascii="Times New Roman" w:cs="Times New Roman" w:eastAsia="Times New Roman" w:hAnsi="Times New Roman"/>
          <w:sz w:val="17"/>
          <w:szCs w:val="17"/>
          <w:color w:val="auto"/>
        </w:rPr>
        <w:t>—Income taxes are accounted for under the asset and liability method, which requires recognition of deferred tax assets and liabilities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effect of a change in tax rates on deferred tax assets and liabilities is recognized in income in the period that includes the enactment date.</w:t>
      </w:r>
    </w:p>
    <w:p>
      <w:pPr>
        <w:spacing w:after="0" w:line="65" w:lineRule="exact"/>
        <w:rPr>
          <w:sz w:val="20"/>
          <w:szCs w:val="20"/>
          <w:color w:val="auto"/>
        </w:rPr>
      </w:pPr>
    </w:p>
    <w:p>
      <w:pPr>
        <w:jc w:val="both"/>
        <w:ind w:right="40" w:firstLine="509"/>
        <w:spacing w:after="0" w:line="275" w:lineRule="auto"/>
        <w:rPr>
          <w:sz w:val="20"/>
          <w:szCs w:val="20"/>
          <w:color w:val="auto"/>
        </w:rPr>
      </w:pPr>
      <w:r>
        <w:rPr>
          <w:rFonts w:ascii="Times New Roman" w:cs="Times New Roman" w:eastAsia="Times New Roman" w:hAnsi="Times New Roman"/>
          <w:sz w:val="17"/>
          <w:szCs w:val="17"/>
          <w:color w:val="auto"/>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are considered within the calculation of the payable to the founding members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7"/>
          <w:szCs w:val="17"/>
          <w:color w:val="auto"/>
        </w:rPr>
        <w:t>under the TRA which is equal to 90% of the Company’s actual tax benefit realized from the tax amortization of the basis difference for qualifying deferred income tax assets. Refer to Note 7—</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 the audited Consolidated Financial Statements for discussion of changes within the Company's valuation allowance on its deferred tax assets during the years ended December 29, 2022 and December 30, 2021.</w:t>
      </w:r>
    </w:p>
    <w:p>
      <w:pPr>
        <w:spacing w:after="0" w:line="5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73"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5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Debt Issuance Costs</w:t>
      </w:r>
      <w:r>
        <w:rPr>
          <w:rFonts w:ascii="Times New Roman" w:cs="Times New Roman" w:eastAsia="Times New Roman" w:hAnsi="Times New Roman"/>
          <w:sz w:val="17"/>
          <w:szCs w:val="17"/>
          <w:color w:val="auto"/>
        </w:rPr>
        <w:t>—In relation to the issuance of outstanding debt discussed in Note 10—</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there is a balance of $11.2 million and $15.0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in deferred financing costs as of December 29, 2022 and December 30, 2021,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changes in debt issuance costs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issuance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Share-Based Compensation</w:t>
      </w:r>
      <w:r>
        <w:rPr>
          <w:rFonts w:ascii="Times New Roman" w:cs="Times New Roman" w:eastAsia="Times New Roman" w:hAnsi="Times New Roman"/>
          <w:sz w:val="17"/>
          <w:szCs w:val="17"/>
          <w:color w:val="auto"/>
        </w:rPr>
        <w:t>—During 2022 and 2021, the Company issued stock options and restricted stock units. Restricted stock units vest upon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achievement of Company two or three-year cumulative performance measures and service conditions or only service conditions. The Company recognizes share-based compensation net of an estimated forfeiture rate.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units that are expected to vest and are only paid with respect to shares that actually vest.</w:t>
      </w:r>
    </w:p>
    <w:p>
      <w:pPr>
        <w:spacing w:after="0" w:line="71"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Compensation cost of stock options is based on the estimated grant date fair value using the Black-Scholes option pricing model, which requires that the Company make estimates of various factors. Under the fair value recognition provisions of ASC 718 Compensation – Stock Compensation, the Company recognizes share-based compensation net of an estimated forfeiture rate, and therefore only recognizes compensation cost for those shares expected to vest over the requisite service period of the award. Refer to Note 11—</w:t>
      </w:r>
      <w:r>
        <w:rPr>
          <w:rFonts w:ascii="Times New Roman" w:cs="Times New Roman" w:eastAsia="Times New Roman" w:hAnsi="Times New Roman"/>
          <w:sz w:val="17"/>
          <w:szCs w:val="17"/>
          <w:i w:val="1"/>
          <w:iCs w:val="1"/>
          <w:color w:val="auto"/>
        </w:rPr>
        <w:t>Share-Based Compensation</w:t>
      </w:r>
      <w:r>
        <w:rPr>
          <w:rFonts w:ascii="Times New Roman" w:cs="Times New Roman" w:eastAsia="Times New Roman" w:hAnsi="Times New Roman"/>
          <w:sz w:val="17"/>
          <w:szCs w:val="17"/>
          <w:color w:val="auto"/>
        </w:rPr>
        <w:t xml:space="preserve"> for more information.</w:t>
      </w:r>
    </w:p>
    <w:p>
      <w:pPr>
        <w:spacing w:after="0" w:line="59"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Fair Value Measurements</w:t>
      </w:r>
      <w:r>
        <w:rPr>
          <w:rFonts w:ascii="Times New Roman" w:cs="Times New Roman" w:eastAsia="Times New Roman" w:hAnsi="Times New Roman"/>
          <w:sz w:val="17"/>
          <w:szCs w:val="17"/>
          <w:color w:val="auto"/>
        </w:rPr>
        <w:t>—Fair value is the price that would be received from selling an asset or paid to transfer a liability in an orderly transaction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Quoted prices in active markets for identical assets or liabilities.</w:t>
      </w:r>
    </w:p>
    <w:p>
      <w:pPr>
        <w:spacing w:after="0" w:line="118" w:lineRule="exact"/>
        <w:rPr>
          <w:sz w:val="20"/>
          <w:szCs w:val="20"/>
          <w:color w:val="auto"/>
        </w:rPr>
      </w:pPr>
    </w:p>
    <w:p>
      <w:pPr>
        <w:jc w:val="both"/>
        <w:ind w:left="9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Observable inputs other than quoted prices in active markets for identical assets and liabilities, quoted prices for identical or similar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liabilities in inactive markets,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ind w:left="940" w:right="14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Inputs that are generally unobservable and typically reflect management’s estimate of assumptions that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w:t>
      </w:r>
    </w:p>
    <w:p>
      <w:pPr>
        <w:spacing w:after="0" w:line="3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Consolidation</w:t>
      </w:r>
      <w:r>
        <w:rPr>
          <w:rFonts w:ascii="Times New Roman" w:cs="Times New Roman" w:eastAsia="Times New Roman" w:hAnsi="Times New Roman"/>
          <w:sz w:val="17"/>
          <w:szCs w:val="17"/>
          <w:color w:val="auto"/>
        </w:rPr>
        <w:t>—NCM, Inc. consolidates the accounts of NCM LLC under the provisions of ASC 810,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810”). Under Accounting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74.6% ownership in NCM LLC. Prior to the prospective adoption of ASU 2015-2 in the first quarter of 2016, the Company reached the same conclusion under previous guidance in ASC 810 to consolidate NCM LLC.</w:t>
      </w:r>
    </w:p>
    <w:p>
      <w:pPr>
        <w:spacing w:after="0" w:line="71" w:lineRule="exact"/>
        <w:rPr>
          <w:sz w:val="20"/>
          <w:szCs w:val="20"/>
          <w:color w:val="auto"/>
        </w:rPr>
      </w:pPr>
    </w:p>
    <w:p>
      <w:pPr>
        <w:ind w:right="980" w:firstLine="50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changes in NCM, Inc.’s equity resulting from net income attributable to NCM, Inc. and transfers to or from noncontrolling interests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c>
          <w:tcPr>
            <w:tcW w:w="0" w:type="dxa"/>
            <w:vAlign w:val="bottom"/>
          </w:tcPr>
          <w:p>
            <w:pPr>
              <w:spacing w:after="0"/>
              <w:rPr>
                <w:sz w:val="1"/>
                <w:szCs w:val="1"/>
                <w:color w:val="auto"/>
              </w:rPr>
            </w:pP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NCM,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NCM LLC equity issued for purchase of intangible asset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and other impacts of NCM LLC ownership changes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NCM, Inc. investment in NCM LLC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shares to founding members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150"/>
        </w:trPr>
        <w:tc>
          <w:tcPr>
            <w:tcW w:w="82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Change from net loss attributable to NCM, Inc. and transfers from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14"/>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did not adopt any new accounting pronouncements during the year ended December 29,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2024. The Company concluded the LIBOR transition did not have a material impact on the Company’s Consolidated Financial Statements.</w:t>
      </w:r>
    </w:p>
    <w:p>
      <w:pPr>
        <w:spacing w:after="0" w:line="65"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The Company has considered all other recently issued accounting pronouncements and does not believe the adoption of such pronouncements will have a material impact on its Consolidated Financial Statements or notes thereto.</w:t>
      </w:r>
    </w:p>
    <w:p>
      <w:pPr>
        <w:spacing w:after="0" w:line="157" w:lineRule="exact"/>
        <w:rPr>
          <w:sz w:val="20"/>
          <w:szCs w:val="20"/>
          <w:color w:val="auto"/>
        </w:rPr>
      </w:pPr>
    </w:p>
    <w:p>
      <w:pPr>
        <w:ind w:right="6200" w:firstLine="61"/>
        <w:spacing w:after="0" w:line="376" w:lineRule="auto"/>
        <w:tabs>
          <w:tab w:leader="none" w:pos="788"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FROM CONTRACTS WITH CUSTOMERS </w:t>
      </w:r>
      <w:r>
        <w:rPr>
          <w:rFonts w:ascii="Times New Roman" w:cs="Times New Roman" w:eastAsia="Times New Roman" w:hAnsi="Times New Roman"/>
          <w:sz w:val="17"/>
          <w:szCs w:val="17"/>
          <w:b w:val="1"/>
          <w:bCs w:val="1"/>
          <w:i w:val="1"/>
          <w:iCs w:val="1"/>
          <w:color w:val="auto"/>
        </w:rPr>
        <w:t>Revenue Recognition</w:t>
      </w:r>
    </w:p>
    <w:p>
      <w:pPr>
        <w:spacing w:after="0" w:line="1"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7"/>
          <w:szCs w:val="17"/>
          <w:color w:val="auto"/>
        </w:rPr>
        <w:t xml:space="preserve">The Company derives revenue principally from the sale of advertising to national, regional and local businesses in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our cinema advertising and entertainment 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 through NCM's digital gaming products including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Trivia, </w:t>
      </w:r>
      <w:r>
        <w:rPr>
          <w:rFonts w:ascii="Times New Roman" w:cs="Times New Roman" w:eastAsia="Times New Roman" w:hAnsi="Times New Roman"/>
          <w:sz w:val="17"/>
          <w:szCs w:val="17"/>
          <w:i w:val="1"/>
          <w:iCs w:val="1"/>
          <w:color w:val="auto"/>
        </w:rPr>
        <w:t>Name That Movie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Shuffle, which can be played on the mobile app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founding members’ beverage suppliers.</w:t>
      </w:r>
    </w:p>
    <w:p>
      <w:pPr>
        <w:spacing w:after="0" w:line="69" w:lineRule="exact"/>
        <w:rPr>
          <w:sz w:val="20"/>
          <w:szCs w:val="20"/>
          <w:color w:val="auto"/>
        </w:rPr>
      </w:pPr>
    </w:p>
    <w:p>
      <w:pPr>
        <w:jc w:val="both"/>
        <w:ind w:right="160" w:firstLine="509"/>
        <w:spacing w:after="0" w:line="275" w:lineRule="auto"/>
        <w:rPr>
          <w:sz w:val="20"/>
          <w:szCs w:val="20"/>
          <w:color w:val="auto"/>
        </w:rPr>
      </w:pPr>
      <w:r>
        <w:rPr>
          <w:rFonts w:ascii="Times New Roman" w:cs="Times New Roman" w:eastAsia="Times New Roman" w:hAnsi="Times New Roman"/>
          <w:sz w:val="17"/>
          <w:szCs w:val="17"/>
          <w:color w:val="auto"/>
        </w:rPr>
        <w:t>National and regional advertising, including advertising under the beverage concessionaire and courtesy PSA agreements, are sold on a CPM basis. The Company recognizes national and regional advertising over time as impressions (or theater attendees) are delivered. National advertising is also sold to content partners. The content partners provide the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 xml:space="preserve">with original entertainment content segments, typically 90 seconds in length, that are entertaining, informative, or educational in nature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6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is recognized when advertising is provided, and products and services received are charged to expense when used. Revenue from barter transactions for the years ended December 29, 2022 and December 30, 2021 was $0.0 million and $0.4 million, respectively. Expense recorded from barter transactions for the years ended December 29, 2022 and December 30, 2021 was $0.0 million and $0.7 million, respectively. This expense is included within “Selling and marketing costs” on the audited Consolidated Statements of Operations.</w:t>
      </w:r>
    </w:p>
    <w:p>
      <w:pPr>
        <w:spacing w:after="0" w:line="6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279"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7"/>
          <w:szCs w:val="17"/>
          <w:color w:val="auto"/>
        </w:rPr>
        <w:t>The Company does not have any contracts with terms in excess of one year that are noncancellable as of December 29, 2022. Agreements with a duration less than one year are not included within this disclosure as the Company elected to use the practical expedient in ASC 606-10-50-14 for those contracts. In addition, the Company’s contracts longer than one year that are cancellable are not included within this disclosure.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2"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 The Company has changed the presentation of revenues in the table below, retrospectively, to have Regional advertising revenue now be included with Local advertising revenue rather than with National advertising revenue as of December 29, 2022. This presentation change did not affect total consolidated revenue.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revenue from contracts with customers for the years ended December 29, 2022 and December 30, 2021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40" w:type="dxa"/>
            <w:vAlign w:val="bottom"/>
          </w:tcPr>
          <w:p>
            <w:pPr>
              <w:spacing w:after="0"/>
              <w:rPr>
                <w:sz w:val="15"/>
                <w:szCs w:val="15"/>
                <w:color w:val="auto"/>
              </w:rPr>
            </w:pPr>
          </w:p>
        </w:tc>
      </w:tr>
      <w:tr>
        <w:trPr>
          <w:trHeight w:val="2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320" w:type="dxa"/>
            <w:vAlign w:val="bottom"/>
          </w:tcPr>
          <w:p>
            <w:pPr>
              <w:spacing w:after="0"/>
              <w:rPr>
                <w:sz w:val="15"/>
                <w:szCs w:val="15"/>
                <w:color w:val="auto"/>
              </w:rPr>
            </w:pPr>
          </w:p>
        </w:tc>
        <w:tc>
          <w:tcPr>
            <w:tcW w:w="14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7"/>
              </w:rPr>
              <w:t>December 30, 2021</w:t>
            </w:r>
          </w:p>
        </w:tc>
      </w:tr>
      <w:tr>
        <w:trPr>
          <w:trHeight w:val="221"/>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National advertising revenue</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Local and Regional advertising revenue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Founding member advertising revenue from beverage concessionaire agreements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 and Unbilled Accounts Receivable</w:t>
      </w:r>
    </w:p>
    <w:p>
      <w:pPr>
        <w:spacing w:after="0" w:line="122"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The Company has changed the classification of the make good provision, retrospectively, to now be included within “Deferred Revenue” on the audited Consolidated Balance Sheet rather than “Accrued Expenses” as of December 29, 2022. Revenue recognized in the year ended December 29, 2022 that was included within the Deferred Revenue balance as of December 30, 2021 was $12.3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ind w:right="320" w:firstLine="509"/>
        <w:spacing w:after="0" w:line="275" w:lineRule="auto"/>
        <w:rPr>
          <w:sz w:val="20"/>
          <w:szCs w:val="20"/>
          <w:color w:val="auto"/>
        </w:rPr>
      </w:pPr>
      <w:r>
        <w:rPr>
          <w:rFonts w:ascii="Times New Roman" w:cs="Times New Roman" w:eastAsia="Times New Roman" w:hAnsi="Times New Roman"/>
          <w:sz w:val="17"/>
          <w:szCs w:val="17"/>
          <w:color w:val="auto"/>
        </w:rPr>
        <w:t>Unbilled accounts receivable is classified as a current asset as it is expected to be billed within the next twelve months. As of December 29, 2022 and December 30, 2021, the Company had $5.0 million and $4.4 million, respectively, in unbilled accounts receivable, included within the accounts receivable balance.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Practical Expedients and Exemptions</w:t>
      </w:r>
    </w:p>
    <w:p>
      <w:pPr>
        <w:spacing w:after="0" w:line="122" w:lineRule="exact"/>
        <w:rPr>
          <w:sz w:val="20"/>
          <w:szCs w:val="20"/>
          <w:color w:val="auto"/>
        </w:rPr>
      </w:pPr>
    </w:p>
    <w:p>
      <w:pPr>
        <w:ind w:right="180" w:firstLine="509"/>
        <w:spacing w:after="0" w:line="295" w:lineRule="auto"/>
        <w:rPr>
          <w:sz w:val="20"/>
          <w:szCs w:val="20"/>
          <w:color w:val="auto"/>
        </w:rPr>
      </w:pPr>
      <w:r>
        <w:rPr>
          <w:rFonts w:ascii="Times New Roman" w:cs="Times New Roman" w:eastAsia="Times New Roman" w:hAnsi="Times New Roman"/>
          <w:sz w:val="17"/>
          <w:szCs w:val="17"/>
          <w:color w:val="auto"/>
        </w:rPr>
        <w:t>The Company expenses sales commissions when incurred as the amortization period would have been one year or less. These costs are recorded within “Selling and marketing costs” in the audited Consolidated Statements of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Doubtful Accounts</w:t>
      </w:r>
    </w:p>
    <w:p>
      <w:pPr>
        <w:spacing w:after="0" w:line="122" w:lineRule="exact"/>
        <w:rPr>
          <w:sz w:val="20"/>
          <w:szCs w:val="20"/>
          <w:color w:val="auto"/>
        </w:rPr>
      </w:pPr>
    </w:p>
    <w:p>
      <w:pPr>
        <w:ind w:right="240" w:firstLine="509"/>
        <w:spacing w:after="0" w:line="275" w:lineRule="auto"/>
        <w:rPr>
          <w:sz w:val="20"/>
          <w:szCs w:val="20"/>
          <w:color w:val="auto"/>
        </w:rPr>
      </w:pPr>
      <w:r>
        <w:rPr>
          <w:rFonts w:ascii="Times New Roman" w:cs="Times New Roman" w:eastAsia="Times New Roman" w:hAnsi="Times New Roman"/>
          <w:sz w:val="17"/>
          <w:szCs w:val="17"/>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years ended December 29, 2022 and December 30, 2021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60" w:type="dxa"/>
            <w:vAlign w:val="bottom"/>
          </w:tcPr>
          <w:p>
            <w:pPr>
              <w:spacing w:after="0"/>
              <w:rPr>
                <w:sz w:val="15"/>
                <w:szCs w:val="15"/>
                <w:color w:val="auto"/>
              </w:rPr>
            </w:pPr>
          </w:p>
        </w:tc>
        <w:tc>
          <w:tcPr>
            <w:tcW w:w="358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 for National</w:t>
            </w: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9"/>
              </w:rPr>
              <w:t>Allowance for Local/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 for National</w:t>
            </w: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Allowance for Local/</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Regional Customer</w:t>
            </w: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Regional Customer</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Customer Receivables</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c>
          <w:tcPr>
            <w:tcW w:w="16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Customer Receivables</w:t>
            </w:r>
          </w:p>
        </w:tc>
        <w:tc>
          <w:tcPr>
            <w:tcW w:w="200" w:type="dxa"/>
            <w:vAlign w:val="bottom"/>
          </w:tcPr>
          <w:p>
            <w:pPr>
              <w:spacing w:after="0"/>
              <w:rPr>
                <w:sz w:val="16"/>
                <w:szCs w:val="16"/>
                <w:color w:val="auto"/>
              </w:rPr>
            </w:pP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0" w:type="dxa"/>
            <w:vAlign w:val="bottom"/>
          </w:tcPr>
          <w:p>
            <w:pPr>
              <w:spacing w:after="0"/>
              <w:rPr>
                <w:sz w:val="1"/>
                <w:szCs w:val="1"/>
                <w:color w:val="auto"/>
              </w:rPr>
            </w:pPr>
          </w:p>
        </w:tc>
      </w:tr>
      <w:tr>
        <w:trPr>
          <w:trHeight w:val="22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center"/>
              <w:ind w:left="12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bad debt</w:t>
            </w:r>
          </w:p>
        </w:tc>
        <w:tc>
          <w:tcPr>
            <w:tcW w:w="160" w:type="dxa"/>
            <w:vAlign w:val="bottom"/>
          </w:tcPr>
          <w:p>
            <w:pPr>
              <w:spacing w:after="0"/>
              <w:rPr>
                <w:sz w:val="19"/>
                <w:szCs w:val="19"/>
                <w:color w:val="auto"/>
              </w:rPr>
            </w:pPr>
          </w:p>
        </w:tc>
        <w:tc>
          <w:tcPr>
            <w:tcW w:w="1660" w:type="dxa"/>
            <w:vAlign w:val="bottom"/>
          </w:tcPr>
          <w:p>
            <w:pPr>
              <w:jc w:val="center"/>
              <w:ind w:left="124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left="1202"/>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net of recoveries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20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center"/>
              <w:ind w:left="12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center"/>
              <w:ind w:left="1202"/>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00" w:hanging="778"/>
        <w:spacing w:after="0"/>
        <w:tabs>
          <w:tab w:leader="none" w:pos="8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211"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7"/>
          <w:szCs w:val="17"/>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loss per NCM, Inc. share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4"/>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60" w:type="dxa"/>
            <w:vAlign w:val="bottom"/>
          </w:tcPr>
          <w:p>
            <w:pPr>
              <w:spacing w:after="0"/>
              <w:rPr>
                <w:sz w:val="15"/>
                <w:szCs w:val="15"/>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220"/>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NCM, Inc. (in millions)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79,867,332</w:t>
            </w:r>
          </w:p>
        </w:tc>
        <w:tc>
          <w:tcPr>
            <w:tcW w:w="0" w:type="dxa"/>
            <w:vAlign w:val="bottom"/>
          </w:tcPr>
          <w:p>
            <w:pPr>
              <w:spacing w:after="0"/>
              <w:rPr>
                <w:sz w:val="1"/>
                <w:szCs w:val="1"/>
                <w:color w:val="auto"/>
              </w:rPr>
            </w:pPr>
          </w:p>
        </w:tc>
      </w:tr>
      <w:tr>
        <w:trPr>
          <w:trHeight w:val="170"/>
        </w:trPr>
        <w:tc>
          <w:tcPr>
            <w:tcW w:w="788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Add: Dilutive effect of stock options, restricted</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340"/>
              <w:spacing w:after="0" w:line="177" w:lineRule="exact"/>
              <w:rPr>
                <w:sz w:val="20"/>
                <w:szCs w:val="20"/>
                <w:color w:val="auto"/>
              </w:rPr>
            </w:pPr>
            <w:r>
              <w:rPr>
                <w:rFonts w:ascii="Times New Roman" w:cs="Times New Roman" w:eastAsia="Times New Roman" w:hAnsi="Times New Roman"/>
                <w:sz w:val="17"/>
                <w:szCs w:val="17"/>
                <w:color w:val="auto"/>
              </w:rPr>
              <w:t>stock, and exchangeable NCM LLC common</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membership units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79,867,332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Loss per NCM, Inc.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0" w:type="dxa"/>
            <w:vAlign w:val="bottom"/>
          </w:tcPr>
          <w:p>
            <w:pPr>
              <w:spacing w:after="0"/>
              <w:rPr>
                <w:sz w:val="1"/>
                <w:szCs w:val="1"/>
                <w:color w:val="auto"/>
              </w:rPr>
            </w:pPr>
          </w:p>
        </w:tc>
      </w:tr>
      <w:tr>
        <w:trPr>
          <w:trHeight w:val="227"/>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7"/>
          <w:szCs w:val="17"/>
          <w:color w:val="auto"/>
        </w:rPr>
        <w:t>The effect of the 88,801,009 and 85,748,080 weighted average exchangeable NCM LLC common membership units held by the founding members for the years ended December 29, 2022 and December 30, 2021, respectively, was excluded from the calculation of diluted weighted average shares and earnings per NCM, Inc. share as it was antidilutive in these periods. In addition, there were 7,273,378 and 4,646,960, stock options and non-vested (restricted) shares for the years ended December 29, 2022 and December 30, 2021, respectively, excluded from the calculation as they were antidilutive. The Company’s non-vested (restricted) shares do not meet the definition of a participating security as the dividends will not be paid if the shares do not vest.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800" w:hanging="778"/>
        <w:spacing w:after="0"/>
        <w:tabs>
          <w:tab w:leader="none" w:pos="8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property and equipment, at cost less accumulated depreciation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computer hardware and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15"/>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5"/>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0" w:hanging="778"/>
        <w:spacing w:after="0"/>
        <w:tabs>
          <w:tab w:leader="none" w:pos="80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1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the Company’s intangible assets have a finite useful life and the Company amortizes the assets over the remaining useful life corresponding with the ESAs or the term of the contract with the network affiliate. The Company extended the useful life of the intangible asset for Cinemark and Regal in 2019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7"/>
          <w:szCs w:val="17"/>
          <w:color w:val="auto"/>
        </w:rPr>
        <w:t>During the third quarter of 2022, Cineworld Group plc, the parent company of Regal, and certain of its subsidiaries, including Regal, Regal Cinemas, Inc., a party to the ESA, and Regal CineMedia Holdings, LLC, a party to other agreements with NCM LLC and NCM, Inc., filed petitions of reorganization under Chapter 11 of the United States Bankruptcy Code in the Southern District of Texas.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The Company determined that this announced restructuring and subsequent developments constituted a triggering event for the Company’s intangible asset group, including the amount related to Regal, under ASC No. 360, Impairment and Disposal of Long-Lived Assets during the third and fourth quarter of 2022. Management considered possible scenarios in a probability-weighted estimated future undiscounted cash flow analysis, including the potential of further permanent closure of the theaters within the Company's network, renegotiation of the ESA terms and other potential adverse impacts to the Company’s intangible asset group resulting from the Cineworld Proceeding. The estimated future cash flows calculated within the probability-weighted analysis were in excess of the net book value of the Company’s intangible assets and no impairment charge was recorded in the year ended December 29, 2022. Such analysis required management to make estimates and assumptions based on historical data and consideration of future market conditions. While the Company believes that the rights will survive any attempted rejection in the bankruptcy court by Regal, given the uncertainty inherent in any projection, heightened by the possibility of unforeseen additional effects of the Cineworld Proceeding, actual results may differ from the estimates and assumptions used, or conditions may change, which could result in impairment charges in the future.</w:t>
      </w:r>
    </w:p>
    <w:p>
      <w:pPr>
        <w:spacing w:after="0" w:line="28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Common Unit Adjustments—</w:t>
      </w:r>
      <w:r>
        <w:rPr>
          <w:rFonts w:ascii="Times New Roman" w:cs="Times New Roman" w:eastAsia="Times New Roman" w:hAnsi="Times New Roman"/>
          <w:sz w:val="17"/>
          <w:szCs w:val="17"/>
          <w:color w:val="auto"/>
        </w:rPr>
        <w:t>In accordance with NCM LLC’s Common Unit Adjustment Agreement with its founding members, on an annual basis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1" w:lineRule="exact"/>
        <w:rPr>
          <w:sz w:val="20"/>
          <w:szCs w:val="20"/>
          <w:color w:val="auto"/>
        </w:rPr>
      </w:pPr>
    </w:p>
    <w:p>
      <w:pPr>
        <w:ind w:right="40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Integration Payments and Other Encumbered Theater Payments—</w:t>
      </w:r>
      <w:r>
        <w:rPr>
          <w:rFonts w:ascii="Times New Roman" w:cs="Times New Roman" w:eastAsia="Times New Roman" w:hAnsi="Times New Roman"/>
          <w:sz w:val="17"/>
          <w:szCs w:val="17"/>
          <w:color w:val="auto"/>
        </w:rPr>
        <w:t>If an existing on-screen advertising agreement with an alternative provider is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place with respect to any acquired theaters, the founding members may elect to receive common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the Company’s intangible asset’s activity (in millions) during December 29, 2022 and December 30,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Integration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2"/>
                <w:szCs w:val="12"/>
                <w:color w:val="auto"/>
              </w:rPr>
            </w:pPr>
          </w:p>
        </w:tc>
        <w:tc>
          <w:tcPr>
            <w:tcW w:w="136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encumbered theater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December 29,</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4"/>
                <w:szCs w:val="14"/>
                <w:b w:val="1"/>
                <w:bCs w:val="1"/>
                <w:i w:val="1"/>
                <w:iCs w:val="1"/>
                <w:color w:val="auto"/>
              </w:rPr>
              <w:t>(2)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carrying amount</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856.9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left="522"/>
              <w:spacing w:after="0"/>
              <w:rPr>
                <w:sz w:val="20"/>
                <w:szCs w:val="20"/>
                <w:color w:val="auto"/>
              </w:rPr>
            </w:pPr>
            <w:r>
              <w:rPr>
                <w:rFonts w:ascii="Times New Roman" w:cs="Times New Roman" w:eastAsia="Times New Roman" w:hAnsi="Times New Roman"/>
                <w:sz w:val="17"/>
                <w:szCs w:val="17"/>
                <w:color w:val="auto"/>
              </w:rPr>
              <w:t>(245.6)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7"/>
                <w:szCs w:val="17"/>
                <w:color w:val="auto"/>
              </w:rPr>
              <w:t>606.3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586.7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1"/>
                <w:szCs w:val="11"/>
                <w:color w:val="auto"/>
              </w:rPr>
            </w:pPr>
          </w:p>
        </w:tc>
        <w:tc>
          <w:tcPr>
            <w:tcW w:w="1360" w:type="dxa"/>
            <w:vAlign w:val="bottom"/>
            <w:gridSpan w:val="4"/>
          </w:tcPr>
          <w:p>
            <w:pPr>
              <w:jc w:val="center"/>
              <w:ind w:right="40"/>
              <w:spacing w:after="0" w:line="132" w:lineRule="exact"/>
              <w:rPr>
                <w:sz w:val="20"/>
                <w:szCs w:val="20"/>
                <w:color w:val="auto"/>
              </w:rPr>
            </w:pPr>
            <w:r>
              <w:rPr>
                <w:rFonts w:ascii="Times New Roman" w:cs="Times New Roman" w:eastAsia="Times New Roman" w:hAnsi="Times New Roman"/>
                <w:sz w:val="14"/>
                <w:szCs w:val="14"/>
                <w:b w:val="1"/>
                <w:bCs w:val="1"/>
                <w:color w:val="auto"/>
                <w:w w:val="99"/>
              </w:rPr>
              <w:t>encumbered theater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 xml:space="preserve">payments </w:t>
            </w:r>
            <w:r>
              <w:rPr>
                <w:rFonts w:ascii="Times New Roman" w:cs="Times New Roman" w:eastAsia="Times New Roman" w:hAnsi="Times New Roman"/>
                <w:sz w:val="14"/>
                <w:szCs w:val="14"/>
                <w:b w:val="1"/>
                <w:bCs w:val="1"/>
                <w:i w:val="1"/>
                <w:iCs w:val="1"/>
                <w:color w:val="auto"/>
                <w:w w:val="98"/>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carrying amount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7"/>
                <w:szCs w:val="17"/>
                <w:color w:val="auto"/>
              </w:rPr>
              <w:t>850.8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(245.6)</w:t>
            </w:r>
          </w:p>
        </w:tc>
        <w:tc>
          <w:tcPr>
            <w:tcW w:w="0" w:type="dxa"/>
            <w:vAlign w:val="bottom"/>
          </w:tcPr>
          <w:p>
            <w:pPr>
              <w:spacing w:after="0"/>
              <w:rPr>
                <w:sz w:val="1"/>
                <w:szCs w:val="1"/>
                <w:color w:val="auto"/>
              </w:rPr>
            </w:pPr>
          </w:p>
        </w:tc>
      </w:tr>
      <w:tr>
        <w:trPr>
          <w:trHeight w:val="240"/>
        </w:trPr>
        <w:tc>
          <w:tcPr>
            <w:tcW w:w="2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7"/>
                <w:szCs w:val="17"/>
                <w:color w:val="auto"/>
              </w:rPr>
              <w:t>627.8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940" w:right="80" w:hanging="309"/>
        <w:spacing w:after="0" w:line="269" w:lineRule="auto"/>
        <w:tabs>
          <w:tab w:leader="none" w:pos="934"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During the first quarter of 2022, NCM LLC issued 4,140,896 common membership units, net of 2,342,997 returned common membership units, to its founding members for the rights to exclusive access to the theater screens and attendees added, net of dispositions by the founding members to NCM LLC’s network during the 2021 fiscal year and NCM LLC recorded a net intangible asset of $10.4 million during the first quarter of 2022 as a result of the Common Unit Adjustment. Additionally, there were $0.4 million of additions related to upfront affiliate payments in 2022.</w:t>
      </w:r>
    </w:p>
    <w:p>
      <w:pPr>
        <w:spacing w:after="0" w:line="63" w:lineRule="exact"/>
        <w:rPr>
          <w:rFonts w:ascii="Times New Roman" w:cs="Times New Roman" w:eastAsia="Times New Roman" w:hAnsi="Times New Roman"/>
          <w:sz w:val="17"/>
          <w:szCs w:val="17"/>
          <w:i w:val="1"/>
          <w:iCs w:val="1"/>
          <w:color w:val="auto"/>
        </w:rPr>
      </w:pPr>
    </w:p>
    <w:p>
      <w:pPr>
        <w:ind w:left="940" w:right="20" w:hanging="309"/>
        <w:spacing w:after="0" w:line="266" w:lineRule="auto"/>
        <w:tabs>
          <w:tab w:leader="none" w:pos="934"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Carmike theaters had pre-existing advertising agreements for some of the theaters it owned prior to their acquisitions by AMC. As a result, AMC will make integration and other encumbered theater payments over the remaining term of those agreements. During the years ended December 29, 2022 and December 30, 2021, NCM LLC recorded a reduction to net intangible assets of $5.4 million and $1.6 million, respectively, related to integration and other encumbered theater payments due from AMC. During the year ended December 29, 2022 and December 30, 2021, AMC paid a total of $2.8 million and $0.5 million, respectively, related to integration and other encumbered theater payments.</w:t>
      </w:r>
    </w:p>
    <w:p>
      <w:pPr>
        <w:spacing w:after="0" w:line="65" w:lineRule="exact"/>
        <w:rPr>
          <w:rFonts w:ascii="Times New Roman" w:cs="Times New Roman" w:eastAsia="Times New Roman" w:hAnsi="Times New Roman"/>
          <w:sz w:val="17"/>
          <w:szCs w:val="17"/>
          <w:i w:val="1"/>
          <w:iCs w:val="1"/>
          <w:color w:val="auto"/>
        </w:rPr>
      </w:pPr>
    </w:p>
    <w:p>
      <w:pPr>
        <w:ind w:left="940" w:right="180" w:hanging="309"/>
        <w:spacing w:after="0" w:line="275" w:lineRule="auto"/>
        <w:tabs>
          <w:tab w:leader="none" w:pos="934"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During the first quarter of 2021, the Company issued 3,047,582 common membership units to its founding members for the rights to exclusive access to the theater screens and attendees added, net of dispositions by the founding members to the Company’s network during the 2020 fiscal year and the Company recorded a net intangible asset of $4.8 million during the first quarter of 2021 as a result of the Common Unit Adjustment.</w:t>
      </w:r>
    </w:p>
    <w:p>
      <w:pPr>
        <w:spacing w:after="0" w:line="59" w:lineRule="exact"/>
        <w:rPr>
          <w:sz w:val="20"/>
          <w:szCs w:val="20"/>
          <w:color w:val="auto"/>
        </w:rPr>
      </w:pPr>
    </w:p>
    <w:p>
      <w:pPr>
        <w:ind w:right="220" w:firstLine="509"/>
        <w:spacing w:after="0" w:line="295" w:lineRule="auto"/>
        <w:rPr>
          <w:sz w:val="20"/>
          <w:szCs w:val="20"/>
          <w:color w:val="auto"/>
        </w:rPr>
      </w:pPr>
      <w:r>
        <w:rPr>
          <w:rFonts w:ascii="Times New Roman" w:cs="Times New Roman" w:eastAsia="Times New Roman" w:hAnsi="Times New Roman"/>
          <w:sz w:val="17"/>
          <w:szCs w:val="17"/>
          <w:color w:val="auto"/>
        </w:rPr>
        <w:t>As of December 29, 2022 and December 30, 2021, the Company’s intangible assets related to the founding members, net of accumulated amortization, was $572.4 million and $589.6 million, respectively, with weighted average remaining lives of 16.3 years and 17.4 years,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firstLine="509"/>
        <w:spacing w:after="0" w:line="295" w:lineRule="auto"/>
        <w:rPr>
          <w:sz w:val="20"/>
          <w:szCs w:val="20"/>
          <w:color w:val="auto"/>
        </w:rPr>
      </w:pPr>
      <w:r>
        <w:rPr>
          <w:rFonts w:ascii="Times New Roman" w:cs="Times New Roman" w:eastAsia="Times New Roman" w:hAnsi="Times New Roman"/>
          <w:sz w:val="17"/>
          <w:szCs w:val="17"/>
          <w:color w:val="auto"/>
        </w:rPr>
        <w:t>As of December 29, 2022 and December 30, 2021, the Company’s intangible assets related to the network affiliates, net of accumulated amortization, was $14.3 million and $16.7 million, respectively, with weighted average remaining lives of 6.1 years and 8.5 years, respectively.</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estimated aggregate amortization expense for each of the five succeeding years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
        </w:trPr>
        <w:tc>
          <w:tcPr>
            <w:tcW w:w="44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5"/>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7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22"/>
        </w:trPr>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2"/>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2"/>
        </w:trPr>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2"/>
        </w:trPr>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626"/>
        </w:trPr>
        <w:tc>
          <w:tcPr>
            <w:tcW w:w="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6.</w:t>
            </w:r>
          </w:p>
        </w:tc>
        <w:tc>
          <w:tcPr>
            <w:tcW w:w="73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ACCRUED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7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following is a summary of the Company’s accrued expenses (in millions):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9"/>
        </w:trPr>
        <w:tc>
          <w:tcPr>
            <w:tcW w:w="4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24"/>
                <w:szCs w:val="24"/>
                <w:color w:val="auto"/>
              </w:rPr>
            </w:pPr>
          </w:p>
        </w:tc>
      </w:tr>
      <w:tr>
        <w:trPr>
          <w:trHeight w:val="23"/>
        </w:trPr>
        <w:tc>
          <w:tcPr>
            <w:tcW w:w="4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44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7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2"/>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0"/>
        </w:trPr>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800" w:hanging="778"/>
        <w:spacing w:after="0"/>
        <w:tabs>
          <w:tab w:leader="none" w:pos="80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98" w:lineRule="exact"/>
        <w:rPr>
          <w:sz w:val="20"/>
          <w:szCs w:val="20"/>
          <w:color w:val="auto"/>
        </w:rPr>
      </w:pPr>
    </w:p>
    <w:p>
      <w:pPr>
        <w:ind w:right="220" w:firstLine="509"/>
        <w:spacing w:after="0" w:line="275" w:lineRule="auto"/>
        <w:rPr>
          <w:sz w:val="20"/>
          <w:szCs w:val="20"/>
          <w:color w:val="auto"/>
        </w:rPr>
      </w:pPr>
      <w:r>
        <w:rPr>
          <w:rFonts w:ascii="Times New Roman" w:cs="Times New Roman" w:eastAsia="Times New Roman" w:hAnsi="Times New Roman"/>
          <w:sz w:val="17"/>
          <w:szCs w:val="17"/>
          <w:color w:val="auto"/>
        </w:rPr>
        <w:t>The Company is subject to taxation in the U.S. and various states. The Company’s tax returns for the calendar years 2019 through 2021 remain open to examination by the IRS in their entirety. With respect to state taxing jurisdictions, the Company’s tax returns for calendar years ended 2018 through 2021 are eligible for examination by various state revenue services.</w:t>
      </w:r>
    </w:p>
    <w:p>
      <w:pPr>
        <w:spacing w:after="0" w:line="55"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Tax Receivable Agreement</w:t>
      </w:r>
      <w:r>
        <w:rPr>
          <w:rFonts w:ascii="Times New Roman" w:cs="Times New Roman" w:eastAsia="Times New Roman" w:hAnsi="Times New Roman"/>
          <w:sz w:val="17"/>
          <w:szCs w:val="17"/>
          <w:color w:val="auto"/>
        </w:rPr>
        <w:t>—On the IPO date, NCM, Inc. and the founding members entered into a TRA. Under the terms of this agreement, NCM, Inc.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make cash payments to the founding members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Times New Roman" w:cs="Times New Roman" w:eastAsia="Times New Roman" w:hAnsi="Times New Roman"/>
          <w:sz w:val="15"/>
          <w:szCs w:val="15"/>
          <w:color w:val="auto"/>
        </w:rPr>
        <w:t>h</w:t>
      </w:r>
      <w:r>
        <w:rPr>
          <w:rFonts w:ascii="Times New Roman" w:cs="Times New Roman" w:eastAsia="Times New Roman" w:hAnsi="Times New Roman"/>
          <w:sz w:val="17"/>
          <w:szCs w:val="17"/>
          <w:color w:val="auto"/>
        </w:rPr>
        <w:t xml:space="preserve"> anniversary date of the offering. For the 2021 tax year, the Company paid the founding members $0.0 million in the year ended December 29, 2022. The Company paid the founding members $0.9 million in the year ended December 30, 2021 for the 2019 tax year.</w:t>
      </w:r>
    </w:p>
    <w:p>
      <w:pPr>
        <w:spacing w:after="0" w:line="71"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NCM, Inc. recorded a long-term payable to the founding members related to the TRA. The Company recorded an increase of $19.2 million and reduction of $16.1 million to the “Payable to founding members under the tax receivable agreement” during the years ended December 29, 2022 and December 30, 2021, respectively. The increase in the year ended December 29, 2022 was primarily due to the increase in NCM, Inc.’s ownership percentage of NCM LLC during the year. The reduction in the year ended December 30, 2021 was primarily related to the Company’s utilization of the Non-TRA net operating losses as of December 30, 2021. The ownership related changes to the “Payable to founding members under the tax receivable agreement” were recorded within “Additional paid in capital, deficit” on the Consolidated Balance Sheet and the non-ownership related changes were recorded within “Non-operating income”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18" w:lineRule="exact"/>
        <w:rPr>
          <w:sz w:val="20"/>
          <w:szCs w:val="20"/>
          <w:color w:val="auto"/>
        </w:rPr>
      </w:pPr>
    </w:p>
    <w:p>
      <w:pPr>
        <w:ind w:right="32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r>
        <w:rPr>
          <w:rFonts w:ascii="Times New Roman" w:cs="Times New Roman" w:eastAsia="Times New Roman" w:hAnsi="Times New Roman"/>
          <w:sz w:val="17"/>
          <w:szCs w:val="17"/>
          <w:color w:val="auto"/>
        </w:rPr>
        <w:t>—A reconciliation of the provision for income taxes as reported and the amount computed by multiplying income before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taxes, less noncontrolling interest, by the U.S. federal statutory rate of 21.0% as of December 29, 2022 and December 30, 2021 was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3"/>
        </w:trPr>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calculated at federal statutory income tax rate: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5"/>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attributable to NCM, Inc.</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year change to enacted federal and state rate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and local income taxes, net of federal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the valuation allowance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NCM LLC membership unit issuance to NCM, Inc.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2"/>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Executive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effective ownership</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2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income tax provision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Deferred Tax Assets</w:t>
      </w:r>
      <w:r>
        <w:rPr>
          <w:rFonts w:ascii="Times New Roman" w:cs="Times New Roman" w:eastAsia="Times New Roman" w:hAnsi="Times New Roman"/>
          <w:sz w:val="17"/>
          <w:szCs w:val="17"/>
          <w:color w:val="auto"/>
        </w:rPr>
        <w:t>—Significant components of the Company’s deferred tax assets consisted of the following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0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Investment in consolidated subsidiary NCM LLC </w:t>
            </w:r>
            <w:r>
              <w:rPr>
                <w:rFonts w:ascii="Times New Roman" w:cs="Times New Roman" w:eastAsia="Times New Roman" w:hAnsi="Times New Roman"/>
                <w:sz w:val="17"/>
                <w:szCs w:val="17"/>
                <w:i w:val="1"/>
                <w:i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bonus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Business interest expense limitation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5"/>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22"/>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Valuation allowance </w:t>
            </w:r>
            <w:r>
              <w:rPr>
                <w:rFonts w:ascii="Times New Roman" w:cs="Times New Roman" w:eastAsia="Times New Roman" w:hAnsi="Times New Roman"/>
                <w:sz w:val="17"/>
                <w:szCs w:val="17"/>
                <w:i w:val="1"/>
                <w:iCs w:val="1"/>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15"/>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1384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40" w:lineRule="exact"/>
        <w:rPr>
          <w:sz w:val="20"/>
          <w:szCs w:val="20"/>
          <w:color w:val="auto"/>
        </w:rPr>
      </w:pPr>
    </w:p>
    <w:p>
      <w:pPr>
        <w:ind w:left="940" w:right="20" w:hanging="309"/>
        <w:spacing w:after="0" w:line="258" w:lineRule="auto"/>
        <w:tabs>
          <w:tab w:leader="none" w:pos="928" w:val="left"/>
        </w:tabs>
        <w:numPr>
          <w:ilvl w:val="0"/>
          <w:numId w:val="4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7"/>
          <w:szCs w:val="17"/>
          <w:color w:val="auto"/>
        </w:rPr>
        <w:t>The Company recognized a deferred tax asset in the amount of $149.7 million and $138.5 million as of December 29, 2022 and December 30, 2021, respectively, associated with the basis difference in our investment in NCM LLC. The Company evaluated its deferred tax assets as of December 29, 2022 and December 30, 2021 and considered both positive and negative evidence in determining whether it is more likely than not that all or some portion of its deferred tax assets will be realized. The Company generated a three-year cumulative pre-tax book loss during 2021 driven by the impact of the COVID-19 Pandemic on the Company’s operations in 2021 and 2020, the effect of which continued into 2022. Given the associated weight assigned to this item as negative evidence within the Company’s analysis, the Company determined it is more-likely-than-not that the Company will not be able to realize certain of the Company’s deferred tax assets and the Company increased the valuation allowance against certain deferred tax assets.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Once the valuation allowance is reversed, the payable to founding members under the tax receivable agreement would be increased to reflect expected future payments to the founding members at that time.</w:t>
      </w:r>
    </w:p>
    <w:p>
      <w:pPr>
        <w:spacing w:after="0" w:line="283" w:lineRule="exact"/>
        <w:rPr>
          <w:sz w:val="20"/>
          <w:szCs w:val="20"/>
          <w:color w:val="auto"/>
        </w:rPr>
      </w:pPr>
    </w:p>
    <w:p>
      <w:pPr>
        <w:ind w:right="160" w:firstLine="50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Carryforwards</w:t>
      </w:r>
      <w:r>
        <w:rPr>
          <w:rFonts w:ascii="Times New Roman" w:cs="Times New Roman" w:eastAsia="Times New Roman" w:hAnsi="Times New Roman"/>
          <w:sz w:val="17"/>
          <w:szCs w:val="17"/>
          <w:color w:val="auto"/>
        </w:rPr>
        <w:t>—As of December 29, 2022, the Company had gross federal net operating loss carryforwards of approximately $308.0 million, of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$47.0 million will expire between 2034 through 2037 and $260.8 million will be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carried forward indefinitely. As of December 29, 2022, the Company had gross state net operating loss carryforwards of approximately $244.7 million, of which $167.7 million will expire between 2023 and 2042 and $76.9 million will be carried forward indefinitely. As of December 29, 2022, the Company had gross capital loss carryforwards of approximately $0.0 million. As of December 29, 2022, the Company had gross federal and state research and experimentation tax credit carryforwards of approximately $1.6 million, which expire at various dates between 2030 and 2038.</w:t>
      </w:r>
    </w:p>
    <w:p>
      <w:pPr>
        <w:spacing w:after="0" w:line="101" w:lineRule="exact"/>
        <w:rPr>
          <w:sz w:val="20"/>
          <w:szCs w:val="20"/>
          <w:color w:val="auto"/>
        </w:rPr>
      </w:pPr>
    </w:p>
    <w:p>
      <w:pPr>
        <w:ind w:left="800" w:hanging="778"/>
        <w:spacing w:after="0"/>
        <w:tabs>
          <w:tab w:leader="none" w:pos="8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211" w:lineRule="exact"/>
        <w:rPr>
          <w:sz w:val="20"/>
          <w:szCs w:val="20"/>
          <w:color w:val="auto"/>
        </w:rPr>
      </w:pPr>
    </w:p>
    <w:p>
      <w:pPr>
        <w:ind w:right="720" w:firstLine="509"/>
        <w:spacing w:after="0" w:line="275" w:lineRule="auto"/>
        <w:rPr>
          <w:sz w:val="20"/>
          <w:szCs w:val="20"/>
          <w:color w:val="auto"/>
        </w:rPr>
      </w:pPr>
      <w:r>
        <w:rPr>
          <w:rFonts w:ascii="Times New Roman" w:cs="Times New Roman" w:eastAsia="Times New Roman" w:hAnsi="Times New Roman"/>
          <w:sz w:val="17"/>
          <w:szCs w:val="17"/>
          <w:color w:val="auto"/>
        </w:rPr>
        <w:t>As of December 29, 2022, the Company has authorized capital stock of 260,000,000 shares of common stock, par value of $0.01 per share, and 10,000,000 shares of preferred stock, par value of $0.01 per share. There were no shares of preferred stock issued or outstanding as of December 29, 2022. There were 128,402,636 shares of common stock issued and outstanding as of December 29, 2022.</w:t>
      </w:r>
    </w:p>
    <w:p>
      <w:pPr>
        <w:spacing w:after="0" w:line="59" w:lineRule="exact"/>
        <w:rPr>
          <w:sz w:val="20"/>
          <w:szCs w:val="20"/>
          <w:color w:val="auto"/>
        </w:rPr>
      </w:pPr>
    </w:p>
    <w:p>
      <w:pPr>
        <w:ind w:right="80" w:firstLine="509"/>
        <w:spacing w:after="0" w:line="295" w:lineRule="auto"/>
        <w:rPr>
          <w:sz w:val="20"/>
          <w:szCs w:val="20"/>
          <w:color w:val="auto"/>
        </w:rPr>
      </w:pPr>
      <w:r>
        <w:rPr>
          <w:rFonts w:ascii="Times New Roman" w:cs="Times New Roman" w:eastAsia="Times New Roman" w:hAnsi="Times New Roman"/>
          <w:sz w:val="17"/>
          <w:szCs w:val="17"/>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4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founding members’ right to convert their NCM LLC membership units into Company common stock.</w:t>
      </w:r>
    </w:p>
    <w:p>
      <w:pPr>
        <w:spacing w:after="0" w:line="2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190" w:lineRule="exact"/>
        <w:rPr>
          <w:sz w:val="20"/>
          <w:szCs w:val="20"/>
          <w:color w:val="auto"/>
        </w:rPr>
      </w:pPr>
    </w:p>
    <w:p>
      <w:pPr>
        <w:ind w:left="800" w:hanging="778"/>
        <w:spacing w:after="0"/>
        <w:tabs>
          <w:tab w:leader="none" w:pos="80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0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Founding Member Transactions</w:t>
      </w:r>
      <w:r>
        <w:rPr>
          <w:rFonts w:ascii="Times New Roman" w:cs="Times New Roman" w:eastAsia="Times New Roman" w:hAnsi="Times New Roman"/>
          <w:sz w:val="17"/>
          <w:szCs w:val="17"/>
          <w:color w:val="auto"/>
        </w:rPr>
        <w:t>—In connection with NCM, Inc.’s IPO, the Company entered into several agreements to define and regulate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relationships among NCM, Inc., NCM LLC and the founding members which are outlined below. As AMC owns less than 5% of NCM LLC, on an as converted basis, as of December 29, 2022, AMC is not a related party. AMC was also not a related party as of December 30, 2021. AMC remains a party to the ESA, Common Unit Adjustment Agreement, TRA and certain other original agreements, and AMC will continue to participate in the annual Common Unit Adjustment, receive TRA payments, receive theater access fee payments, and make payments under the beverage concessionaire agreements, among other things. Further, AMC’s ownership percentage does not impact future integration payments and other encumbered theater payments owed to NCM LLC by AMC.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agreements with the founding members are as follows:</w:t>
      </w:r>
    </w:p>
    <w:p>
      <w:pPr>
        <w:spacing w:after="0" w:line="114" w:lineRule="exact"/>
        <w:rPr>
          <w:sz w:val="20"/>
          <w:szCs w:val="20"/>
          <w:color w:val="auto"/>
        </w:rPr>
      </w:pPr>
    </w:p>
    <w:p>
      <w:pPr>
        <w:ind w:left="940" w:right="40" w:hanging="309"/>
        <w:spacing w:after="0" w:line="260" w:lineRule="auto"/>
        <w:tabs>
          <w:tab w:leader="none" w:pos="9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ESAs. </w:t>
      </w:r>
      <w:r>
        <w:rPr>
          <w:rFonts w:ascii="Times New Roman" w:cs="Times New Roman" w:eastAsia="Times New Roman" w:hAnsi="Times New Roman"/>
          <w:sz w:val="17"/>
          <w:szCs w:val="17"/>
          <w:color w:val="auto"/>
        </w:rPr>
        <w:t>Under the ESAs, NCM LLC is the exclusive provider within the United States of advertising services in the founding members’ theaters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use of the LEN and rights to sell and display certain lobby promotions. Further, 30 to 60 seconds of advertising included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72" w:lineRule="exact"/>
        <w:rPr>
          <w:rFonts w:ascii="Times New Roman" w:cs="Times New Roman" w:eastAsia="Times New Roman" w:hAnsi="Times New Roman"/>
          <w:sz w:val="17"/>
          <w:szCs w:val="17"/>
          <w:color w:val="auto"/>
        </w:rPr>
      </w:pPr>
    </w:p>
    <w:p>
      <w:pPr>
        <w:ind w:left="940" w:right="840" w:hanging="309"/>
        <w:spacing w:after="0" w:line="300" w:lineRule="auto"/>
        <w:tabs>
          <w:tab w:leader="none" w:pos="9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Common Unit Adjustment Agreement. </w:t>
      </w:r>
      <w:r>
        <w:rPr>
          <w:rFonts w:ascii="Times New Roman" w:cs="Times New Roman" w:eastAsia="Times New Roman" w:hAnsi="Times New Roman"/>
          <w:sz w:val="17"/>
          <w:szCs w:val="17"/>
          <w:color w:val="auto"/>
        </w:rPr>
        <w:t>The common unit adjustment agreement provides a mechanism for increasing or decreasing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membership units held by the founding members based on the acquisition or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construction of new theaters or sale of theaters that are operated by each founding member and included in NCM LLC’s network.</w:t>
      </w:r>
    </w:p>
    <w:p>
      <w:pPr>
        <w:spacing w:after="0" w:line="114" w:lineRule="exact"/>
        <w:rPr>
          <w:sz w:val="20"/>
          <w:szCs w:val="20"/>
          <w:color w:val="auto"/>
        </w:rPr>
      </w:pPr>
    </w:p>
    <w:p>
      <w:pPr>
        <w:jc w:val="both"/>
        <w:ind w:left="940" w:right="300" w:hanging="309"/>
        <w:spacing w:after="0" w:line="278"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Tax Receivable Agreement. </w:t>
      </w:r>
      <w:r>
        <w:rPr>
          <w:rFonts w:ascii="Times New Roman" w:cs="Times New Roman" w:eastAsia="Times New Roman" w:hAnsi="Times New Roman"/>
          <w:sz w:val="17"/>
          <w:szCs w:val="17"/>
          <w:color w:val="auto"/>
        </w:rPr>
        <w:t>The TRA provides for the effective payment by NCM, Inc. to the founding members of 90% of the amount of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51" w:lineRule="exact"/>
        <w:rPr>
          <w:rFonts w:ascii="Times New Roman" w:cs="Times New Roman" w:eastAsia="Times New Roman" w:hAnsi="Times New Roman"/>
          <w:sz w:val="17"/>
          <w:szCs w:val="17"/>
          <w:color w:val="auto"/>
        </w:rPr>
      </w:pPr>
    </w:p>
    <w:p>
      <w:pPr>
        <w:ind w:left="940" w:right="260" w:hanging="309"/>
        <w:spacing w:after="0" w:line="270"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Software License Agreement. </w:t>
      </w:r>
      <w:r>
        <w:rPr>
          <w:rFonts w:ascii="Times New Roman" w:cs="Times New Roman" w:eastAsia="Times New Roman" w:hAnsi="Times New Roman"/>
          <w:sz w:val="17"/>
          <w:szCs w:val="17"/>
          <w:color w:val="auto"/>
        </w:rPr>
        <w:t>At the date of the Company’s IPO, NCM LLC was granted a perpetual, royalty-free license from the founding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Following is a summary of the related party transactions between the Company and the founding members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8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Included in the Consolidated Statements of Operations:</w:t>
            </w: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0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December 30, 2021</w:t>
            </w:r>
          </w:p>
        </w:tc>
        <w:tc>
          <w:tcPr>
            <w:tcW w:w="0" w:type="dxa"/>
            <w:vAlign w:val="bottom"/>
          </w:tcPr>
          <w:p>
            <w:pPr>
              <w:spacing w:after="0"/>
              <w:rPr>
                <w:sz w:val="1"/>
                <w:szCs w:val="1"/>
                <w:color w:val="auto"/>
              </w:rPr>
            </w:pPr>
          </w:p>
        </w:tc>
      </w:tr>
      <w:tr>
        <w:trPr>
          <w:trHeight w:val="188"/>
        </w:trPr>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w w:val="99"/>
              </w:rPr>
              <w:t>Revenue:</w:t>
            </w:r>
          </w:p>
        </w:tc>
        <w:tc>
          <w:tcPr>
            <w:tcW w:w="76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8260" w:type="dxa"/>
            <w:vAlign w:val="bottom"/>
            <w:gridSpan w:val="3"/>
          </w:tcPr>
          <w:p>
            <w:pPr>
              <w:ind w:left="280"/>
              <w:spacing w:after="0" w:line="170" w:lineRule="exact"/>
              <w:rPr>
                <w:sz w:val="20"/>
                <w:szCs w:val="20"/>
                <w:color w:val="auto"/>
              </w:rPr>
            </w:pPr>
            <w:r>
              <w:rPr>
                <w:rFonts w:ascii="Times New Roman" w:cs="Times New Roman" w:eastAsia="Times New Roman" w:hAnsi="Times New Roman"/>
                <w:sz w:val="17"/>
                <w:szCs w:val="17"/>
                <w:color w:val="auto"/>
              </w:rPr>
              <w:t>Beverage concessionaire revenue (included in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20" w:type="dxa"/>
            <w:vAlign w:val="bottom"/>
          </w:tcPr>
          <w:p>
            <w:pPr>
              <w:spacing w:after="0"/>
              <w:rPr>
                <w:sz w:val="20"/>
                <w:szCs w:val="20"/>
                <w:color w:val="auto"/>
              </w:rPr>
            </w:pPr>
          </w:p>
        </w:tc>
        <w:tc>
          <w:tcPr>
            <w:tcW w:w="8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xml:space="preserve">advertising revenue) </w:t>
            </w:r>
            <w:r>
              <w:rPr>
                <w:rFonts w:ascii="Times New Roman" w:cs="Times New Roman" w:eastAsia="Times New Roman" w:hAnsi="Times New Roman"/>
                <w:sz w:val="17"/>
                <w:szCs w:val="17"/>
                <w:i w:val="1"/>
                <w:iCs w:val="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2"/>
        </w:trPr>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Operating expenses:</w:t>
            </w:r>
          </w:p>
        </w:tc>
        <w:tc>
          <w:tcPr>
            <w:tcW w:w="6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82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 xml:space="preserve">Theater access fee and revenue share to founding members </w:t>
            </w:r>
            <w:r>
              <w:rPr>
                <w:rFonts w:ascii="Times New Roman" w:cs="Times New Roman" w:eastAsia="Times New Roman" w:hAnsi="Times New Roman"/>
                <w:sz w:val="17"/>
                <w:szCs w:val="17"/>
                <w:i w:val="1"/>
                <w:iCs w:val="1"/>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22"/>
        </w:trPr>
        <w:tc>
          <w:tcPr>
            <w:tcW w:w="2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xml:space="preserve">Selling and marketing costs </w:t>
            </w:r>
            <w:r>
              <w:rPr>
                <w:rFonts w:ascii="Times New Roman" w:cs="Times New Roman" w:eastAsia="Times New Roman" w:hAnsi="Times New Roman"/>
                <w:sz w:val="17"/>
                <w:szCs w:val="17"/>
                <w:i w:val="1"/>
                <w:iCs w:val="1"/>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 xml:space="preserve">Advertising operating costs </w:t>
            </w:r>
            <w:r>
              <w:rPr>
                <w:rFonts w:ascii="Times New Roman" w:cs="Times New Roman" w:eastAsia="Times New Roman" w:hAnsi="Times New Roman"/>
                <w:sz w:val="17"/>
                <w:szCs w:val="17"/>
                <w:i w:val="1"/>
                <w:iCs w:val="1"/>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1384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20" w:lineRule="exact"/>
        <w:rPr>
          <w:sz w:val="20"/>
          <w:szCs w:val="20"/>
          <w:color w:val="auto"/>
        </w:rPr>
      </w:pPr>
    </w:p>
    <w:p>
      <w:pPr>
        <w:ind w:left="940" w:right="100" w:hanging="309"/>
        <w:spacing w:after="0" w:line="275" w:lineRule="auto"/>
        <w:tabs>
          <w:tab w:leader="none" w:pos="934"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For the full years ended December 29, 2022 and December 30, 2021, Regal and Cinemark purchased 60 seconds of on-screen advertising time (all three founding members having a right to purchase up to 90 seconds) from NCM LLC to satisfy their obligations under their beverage concessionaire agreements at a 30 second equivalent CPM rate specified by the ESA.</w:t>
      </w:r>
    </w:p>
    <w:p>
      <w:pPr>
        <w:spacing w:after="0" w:line="59" w:lineRule="exact"/>
        <w:rPr>
          <w:rFonts w:ascii="Times New Roman" w:cs="Times New Roman" w:eastAsia="Times New Roman" w:hAnsi="Times New Roman"/>
          <w:sz w:val="17"/>
          <w:szCs w:val="17"/>
          <w:i w:val="1"/>
          <w:iCs w:val="1"/>
          <w:color w:val="auto"/>
        </w:rPr>
      </w:pPr>
    </w:p>
    <w:p>
      <w:pPr>
        <w:ind w:left="940" w:right="140" w:hanging="309"/>
        <w:spacing w:after="0" w:line="275" w:lineRule="auto"/>
        <w:tabs>
          <w:tab w:leader="none" w:pos="934"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Comprised of payments per theater attendee, payments per digital screen with respect to the founding member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spacing w:after="0" w:line="59" w:lineRule="exact"/>
        <w:rPr>
          <w:rFonts w:ascii="Times New Roman" w:cs="Times New Roman" w:eastAsia="Times New Roman" w:hAnsi="Times New Roman"/>
          <w:sz w:val="17"/>
          <w:szCs w:val="17"/>
          <w:i w:val="1"/>
          <w:iCs w:val="1"/>
          <w:color w:val="auto"/>
        </w:rPr>
      </w:pPr>
    </w:p>
    <w:p>
      <w:pPr>
        <w:ind w:left="940" w:right="380" w:hanging="309"/>
        <w:spacing w:after="0" w:line="295" w:lineRule="auto"/>
        <w:tabs>
          <w:tab w:leader="none" w:pos="934"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Included in the Consolidated Balance Sheets:</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2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c>
          <w:tcPr>
            <w:tcW w:w="0" w:type="dxa"/>
            <w:vAlign w:val="bottom"/>
          </w:tcPr>
          <w:p>
            <w:pPr>
              <w:spacing w:after="0"/>
              <w:rPr>
                <w:sz w:val="1"/>
                <w:szCs w:val="1"/>
                <w:color w:val="auto"/>
              </w:rPr>
            </w:pPr>
          </w:p>
        </w:tc>
      </w:tr>
      <w:tr>
        <w:trPr>
          <w:trHeight w:val="161"/>
        </w:trPr>
        <w:tc>
          <w:tcPr>
            <w:tcW w:w="8260" w:type="dxa"/>
            <w:vAlign w:val="bottom"/>
            <w:tcBorders>
              <w:top w:val="single" w:sz="8" w:color="CCEEFF"/>
            </w:tcBorders>
            <w:shd w:val="clear" w:color="auto" w:fill="CCEEFF"/>
          </w:tcPr>
          <w:p>
            <w:pPr>
              <w:ind w:left="260"/>
              <w:spacing w:after="0" w:line="162" w:lineRule="exact"/>
              <w:rPr>
                <w:sz w:val="20"/>
                <w:szCs w:val="20"/>
                <w:color w:val="auto"/>
              </w:rPr>
            </w:pPr>
            <w:r>
              <w:rPr>
                <w:rFonts w:ascii="Times New Roman" w:cs="Times New Roman" w:eastAsia="Times New Roman" w:hAnsi="Times New Roman"/>
                <w:sz w:val="17"/>
                <w:szCs w:val="17"/>
                <w:color w:val="auto"/>
              </w:rPr>
              <w:t>Common unit adjustments, net of amortization and integration payments (included in</w:t>
            </w: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xml:space="preserve">intangible assets) </w:t>
            </w:r>
            <w:r>
              <w:rPr>
                <w:rFonts w:ascii="Times New Roman" w:cs="Times New Roman" w:eastAsia="Times New Roman" w:hAnsi="Times New Roman"/>
                <w:sz w:val="17"/>
                <w:szCs w:val="17"/>
                <w:i w:val="1"/>
                <w:iCs w:val="1"/>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w:t>
            </w:r>
          </w:p>
        </w:tc>
        <w:tc>
          <w:tcPr>
            <w:tcW w:w="0" w:type="dxa"/>
            <w:vAlign w:val="bottom"/>
          </w:tcPr>
          <w:p>
            <w:pPr>
              <w:spacing w:after="0"/>
              <w:rPr>
                <w:sz w:val="1"/>
                <w:szCs w:val="1"/>
                <w:color w:val="auto"/>
              </w:rPr>
            </w:pPr>
          </w:p>
        </w:tc>
      </w:tr>
      <w:tr>
        <w:trPr>
          <w:trHeight w:val="222"/>
        </w:trPr>
        <w:tc>
          <w:tcPr>
            <w:tcW w:w="8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xml:space="preserve">Current payable to founding members under the TRA </w:t>
            </w:r>
            <w:r>
              <w:rPr>
                <w:rFonts w:ascii="Times New Roman" w:cs="Times New Roman" w:eastAsia="Times New Roman" w:hAnsi="Times New Roman"/>
                <w:sz w:val="17"/>
                <w:szCs w:val="17"/>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Long-term payable to founding members under the TRA </w:t>
            </w:r>
            <w:r>
              <w:rPr>
                <w:rFonts w:ascii="Times New Roman" w:cs="Times New Roman" w:eastAsia="Times New Roman" w:hAnsi="Times New Roman"/>
                <w:sz w:val="17"/>
                <w:szCs w:val="17"/>
                <w:i w:val="1"/>
                <w:iCs w:val="1"/>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13843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234" w:lineRule="exact"/>
        <w:rPr>
          <w:sz w:val="20"/>
          <w:szCs w:val="20"/>
          <w:color w:val="auto"/>
        </w:rPr>
      </w:pPr>
    </w:p>
    <w:p>
      <w:pPr>
        <w:ind w:left="940" w:right="120" w:hanging="309"/>
        <w:spacing w:after="0" w:line="297" w:lineRule="auto"/>
        <w:tabs>
          <w:tab w:leader="none" w:pos="934" w:val="left"/>
        </w:tabs>
        <w:numPr>
          <w:ilvl w:val="0"/>
          <w:numId w:val="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Refer to Note 5—</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xml:space="preserve"> for further information on common unit adjustments and integration payments. This balance includes common unit adjustments issued to Cinemark and Regal.</w:t>
      </w:r>
    </w:p>
    <w:p>
      <w:pPr>
        <w:spacing w:after="0" w:line="40" w:lineRule="exact"/>
        <w:rPr>
          <w:rFonts w:ascii="Times New Roman" w:cs="Times New Roman" w:eastAsia="Times New Roman" w:hAnsi="Times New Roman"/>
          <w:sz w:val="17"/>
          <w:szCs w:val="17"/>
          <w:i w:val="1"/>
          <w:iCs w:val="1"/>
          <w:color w:val="auto"/>
        </w:rPr>
      </w:pPr>
    </w:p>
    <w:p>
      <w:pPr>
        <w:ind w:left="940" w:right="180" w:hanging="309"/>
        <w:spacing w:after="0" w:line="295" w:lineRule="auto"/>
        <w:tabs>
          <w:tab w:leader="none" w:pos="934" w:val="left"/>
        </w:tabs>
        <w:numPr>
          <w:ilvl w:val="0"/>
          <w:numId w:val="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Company paid Cinemark and Regal $0.2 million and $0.4 million, respectively, in payments pursuant to the TRA during 2021 which was for the 2019 tax year.</w:t>
      </w:r>
    </w:p>
    <w:p>
      <w:pPr>
        <w:spacing w:after="0" w:line="42"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3" w:lineRule="exact"/>
        <w:rPr>
          <w:sz w:val="20"/>
          <w:szCs w:val="20"/>
          <w:color w:val="auto"/>
        </w:rPr>
      </w:pPr>
    </w:p>
    <w:p>
      <w:pPr>
        <w:jc w:val="both"/>
        <w:ind w:right="580" w:firstLine="509"/>
        <w:spacing w:after="0" w:line="275" w:lineRule="auto"/>
        <w:rPr>
          <w:sz w:val="20"/>
          <w:szCs w:val="20"/>
          <w:color w:val="auto"/>
        </w:rPr>
      </w:pPr>
      <w:r>
        <w:rPr>
          <w:rFonts w:ascii="Times New Roman" w:cs="Times New Roman" w:eastAsia="Times New Roman" w:hAnsi="Times New Roman"/>
          <w:sz w:val="17"/>
          <w:szCs w:val="17"/>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contingent upon the Company's compliance with the covenants outlined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within the Credit Agreement Amendment, as amended, defined within Note 10—Borrowings. The portion of positive available cash due to founding members is accrued within the “Amounts due to founding members, net” on the audited Consolidated Balance Sheet. The positive available cash from NCM LLC for the years ended December 29, 2022 and December 30, 2021 were as follows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Cinemark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NCM, Inc.</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Due to the adverse impacts of the COVID-19 Pandemic on the Company’s operations, the Company generated negative available cash by NCM LLC to its related party founding members and NCM, Inc. for the nine months ended September 29, 2022 of $39.4 million (including negative $10.5 million for Cinemark, negative $9.3 million for Regal and negative $19.6 million for NCM, Inc.) and $93.7 million (including negative $24.3 million for Cinemark, negative $24.2 million for Regal and negative $45.2 million for NCM, Inc.) for the year ended December 30, 2021. Under the terms of the NCM LLC Operating Agreement, these negative amounts and the positive amounts above will be netted against each other and future positive available cash distributions after the Extended Covenant Waiver Holiday, contingent upon the Company's compliance with the Credit Agreement Second Amendment and the Credit Agreement Third Amendment defined within Note 10—Borrowings.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Amounts due to founding members, net as of December 29, 2022 were comprised of the following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320" w:type="dxa"/>
            <w:vAlign w:val="bottom"/>
          </w:tcPr>
          <w:p>
            <w:pPr>
              <w:spacing w:after="0"/>
              <w:rPr>
                <w:sz w:val="15"/>
                <w:szCs w:val="15"/>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0"/>
        </w:trPr>
        <w:tc>
          <w:tcPr>
            <w:tcW w:w="70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Theater access fees and revenue share, net of beverage revenues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3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other encumbered theater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5"/>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amounts due to founding members, net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Amounts due to founding members, net as of December 30, 2021 were comprised of the following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320" w:type="dxa"/>
            <w:vAlign w:val="bottom"/>
          </w:tcPr>
          <w:p>
            <w:pPr>
              <w:spacing w:after="0"/>
              <w:rPr>
                <w:sz w:val="15"/>
                <w:szCs w:val="15"/>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7"/>
        </w:trPr>
        <w:tc>
          <w:tcPr>
            <w:tcW w:w="70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Theater access fees, net of beverage revenues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7"/>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other encumbered theater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5"/>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amounts due to founding members, net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firstLine="553"/>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Common Unit Membership Redemption</w:t>
      </w:r>
      <w:r>
        <w:rPr>
          <w:rFonts w:ascii="Times New Roman" w:cs="Times New Roman" w:eastAsia="Times New Roman" w:hAnsi="Times New Roman"/>
          <w:sz w:val="17"/>
          <w:szCs w:val="17"/>
          <w:color w:val="auto"/>
        </w:rPr>
        <w:t>— The NCM LLC Operating Agreement provides a redemption right of the founding members to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membership units of NCM LLC for shares of the Company’s common stock on a one-for-one basis, or at the Company’s option, a cash payment based on the three-day variable weighted average closing price of NCM, Inc.’s common stock prior to the redemption date.</w:t>
      </w:r>
    </w:p>
    <w:p>
      <w:pPr>
        <w:spacing w:after="0" w:line="5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AC JV, LLC Transactions</w:t>
      </w:r>
      <w:r>
        <w:rPr>
          <w:rFonts w:ascii="Times New Roman" w:cs="Times New Roman" w:eastAsia="Times New Roman" w:hAnsi="Times New Roman"/>
          <w:sz w:val="17"/>
          <w:szCs w:val="17"/>
          <w:color w:val="auto"/>
        </w:rPr>
        <w:t>—In December 2013, NCM LLC sold its Fathom Events business to a newly formed limited liability company, AC JV, LLC,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owned 32% by each of the founding members and 4% by NCM LLC. The Company accounts for its investment in AC JV, LLC under the equity method of accounting in accordance with ASC 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LLC was $0.8 million and $0.7 million as of December 29, 2022 and December 30, 2021, respectively. NCM LLC received cash distributions from AC JV, LLC of $0.4 million and $0.0 million, during the years ended December 29, 2022 and December 30, 2021, respectively. NCM LLC recorded equity in earnings for AC JV, LLC of $0.4 million and $0.0 million during the years ended December 29, 2022 and December 30, 2021, respectively, which are included in “Other non-operating income, net” in the audited Consolidated Statements of Operations.</w:t>
      </w:r>
    </w:p>
    <w:p>
      <w:pPr>
        <w:spacing w:after="0" w:line="325" w:lineRule="exact"/>
        <w:rPr>
          <w:sz w:val="20"/>
          <w:szCs w:val="20"/>
          <w:color w:val="auto"/>
        </w:rPr>
      </w:pPr>
    </w:p>
    <w:p>
      <w:pPr>
        <w:ind w:left="800" w:hanging="778"/>
        <w:spacing w:after="0"/>
        <w:tabs>
          <w:tab w:leader="none" w:pos="8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w:t>
      </w:r>
    </w:p>
    <w:p>
      <w:pPr>
        <w:spacing w:after="0" w:line="211"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7"/>
          <w:szCs w:val="17"/>
          <w:color w:val="auto"/>
        </w:rPr>
        <w:t>The commencement of the Chapter 11 Case constituted an event of default and caused the automatic and immediate acceleration of all debt outstanding under or in respect of, NCM LLC’s Credit Agreements and senior notes. However, any efforts to enforce payment obligations under the debt agreements are automatically stayed as a result of the filing of the Chapter 11 Case, and the creditors’ rights of enforcement in respect of the debt agreements are subject to the applicable provisions of</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the Bankruptcy Code. Given the Chapter 11 Case, NCM LLC’s outstanding debt became immediately due and payable and was reclassified as current within the Company’s audited Consolidated Balance Sheet as of December 29, 2022.</w:t>
      </w:r>
    </w:p>
    <w:p>
      <w:pPr>
        <w:spacing w:after="0" w:line="42" w:lineRule="exact"/>
        <w:rPr>
          <w:sz w:val="20"/>
          <w:szCs w:val="20"/>
          <w:color w:val="auto"/>
        </w:rPr>
      </w:pPr>
    </w:p>
    <w:p>
      <w:pPr>
        <w:ind w:right="34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summarizes NCM LLC’s total outstanding debt as of December 29, 2022 and December 30, 2021 and the significant terms of its borrowing arrangements: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 in millions)</w:t>
            </w:r>
          </w:p>
        </w:tc>
        <w:tc>
          <w:tcPr>
            <w:tcW w:w="14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4960" w:type="dxa"/>
            <w:vAlign w:val="bottom"/>
            <w:gridSpan w:val="3"/>
            <w:vMerge w:val="continue"/>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3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12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2018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 2023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Revolving credit facility 2022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June 20,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loans - first tranche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June 20, 2025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Term loans - second tranche</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Pr>
          <w:p>
            <w:pPr>
              <w:spacing w:after="0"/>
              <w:rPr>
                <w:sz w:val="19"/>
                <w:szCs w:val="19"/>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20, 2024</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(1)</w:t>
            </w:r>
          </w:p>
        </w:tc>
        <w:tc>
          <w:tcPr>
            <w:tcW w:w="0" w:type="dxa"/>
            <w:vAlign w:val="bottom"/>
          </w:tcPr>
          <w:p>
            <w:pPr>
              <w:spacing w:after="0"/>
              <w:rPr>
                <w:sz w:val="1"/>
                <w:szCs w:val="1"/>
                <w:color w:val="auto"/>
              </w:rPr>
            </w:pPr>
          </w:p>
        </w:tc>
      </w:tr>
      <w:tr>
        <w:trPr>
          <w:trHeight w:val="222"/>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secured notes due 2028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April 15, 2028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5.875%</w:t>
            </w:r>
          </w:p>
        </w:tc>
        <w:tc>
          <w:tcPr>
            <w:tcW w:w="0" w:type="dxa"/>
            <w:vAlign w:val="bottom"/>
          </w:tcPr>
          <w:p>
            <w:pPr>
              <w:spacing w:after="0"/>
              <w:rPr>
                <w:sz w:val="1"/>
                <w:szCs w:val="1"/>
                <w:color w:val="auto"/>
              </w:rPr>
            </w:pPr>
          </w:p>
        </w:tc>
      </w:tr>
      <w:tr>
        <w:trPr>
          <w:trHeight w:val="222"/>
        </w:trPr>
        <w:tc>
          <w:tcPr>
            <w:tcW w:w="4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Senior unsecured notes due 2026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August 15, 2026</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15"/>
        </w:trPr>
        <w:tc>
          <w:tcPr>
            <w:tcW w:w="49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borrowings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1,108.0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6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7"/>
                <w:szCs w:val="17"/>
                <w:color w:val="auto"/>
              </w:rPr>
              <w:t>Less: Debt issuance costs and discounts related to term</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7"/>
                <w:szCs w:val="17"/>
                <w:color w:val="auto"/>
              </w:rPr>
              <w:t>loans and senior notes</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borrowings, net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1,097.5</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Less: current portion of debt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Carrying value of long-term debt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1,094.3</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940" w:hanging="309"/>
        <w:spacing w:after="0"/>
        <w:tabs>
          <w:tab w:leader="none" w:pos="94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interest rates on the revolving credit facility and term loan are described below.</w:t>
      </w:r>
    </w:p>
    <w:p>
      <w:pPr>
        <w:spacing w:after="0" w:line="114"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Senior Secured Credit Facility</w:t>
      </w:r>
      <w:r>
        <w:rPr>
          <w:rFonts w:ascii="Times New Roman" w:cs="Times New Roman" w:eastAsia="Times New Roman" w:hAnsi="Times New Roman"/>
          <w:sz w:val="17"/>
          <w:szCs w:val="17"/>
          <w:color w:val="auto"/>
        </w:rPr>
        <w:t>—NCM LLC’s credit agreement, as amended, (the “Credit Agreement”) consists of a term loan facility and a revolving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facility. As of December 29, 2022, NCM LLC’s senior secured credit facility consisted of a $175.0 million revolving credit facility, a $258.5 million term loan (first tranche) and a $49.3 million term loan (second tranche). The obligations under the senior secured credit facility are secured by a lien on substantially all of the assets of NCM LLC.</w:t>
      </w:r>
    </w:p>
    <w:p>
      <w:pPr>
        <w:spacing w:after="0" w:line="6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7"/>
          <w:szCs w:val="17"/>
          <w:color w:val="auto"/>
        </w:rPr>
        <w:t>On March 8, 2021, NCM LLC entered into a second amendment to its Credit Agreement (“Credit Agreement Second Amendment”). Among other things, the Credit Agreement Second Amendment provides for certain modifications to the 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“Loss on modification and retirement of debt, net”. Given the uncertainty of the resolution of the Chapter 11 Case, conditions may change, which could result in impairment of any discounts or debt issuance costs in future periods.</w:t>
      </w:r>
    </w:p>
    <w:p>
      <w:pPr>
        <w:spacing w:after="0" w:line="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On January 5, 2022, NCM LLC entered into the Credit Agreement Third Amendment to its Credit Agreement, dated as of June 20, 2018, among NCM LLC, the several banks and other financial institutions or entities from time to time parties thereto, and JPMorgan Chase Bank, N.A., as administrative agent, as previously amended.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283"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7"/>
          <w:szCs w:val="17"/>
          <w:color w:val="auto"/>
        </w:rPr>
        <w:t>The senior secured credit facility contains a number of covenants and financial ratio requirements, including (i) a consolidated net total leverage ratio covenant of 6.25 times for each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each of which has been modified by the Credit Agreement Third Amendment. Pursuant to the terms of the Credit Agreement Third Amendment,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NCM LLC is restricted from making available cash distributions until after NCM LLC delivers a compliance certificate for the 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 (iii) the aggregate principal amount of all outstanding revolving loans under the Credit Agreement is $39.0 million or less. As of December 29, 2022, NCM LLC was in compliance with the financial requirements of the Credit Agreement Third Amendment described above.</w:t>
      </w:r>
    </w:p>
    <w:p>
      <w:pPr>
        <w:spacing w:after="0" w:line="6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i w:val="1"/>
          <w:iCs w:val="1"/>
          <w:color w:val="auto"/>
        </w:rPr>
        <w:t>Term Loans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Tranche</w:t>
      </w:r>
      <w:r>
        <w:rPr>
          <w:rFonts w:ascii="Times New Roman" w:cs="Times New Roman" w:eastAsia="Times New Roman" w:hAnsi="Times New Roman"/>
          <w:sz w:val="17"/>
          <w:szCs w:val="17"/>
          <w:color w:val="auto"/>
        </w:rPr>
        <w:t>—The interest rate on the initial tranche of term loans was originally a rate chosen at NCM LLC’s option of either the LIBOR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index plus 4.00% or the base rate plus 3.00%. The rate increased from LIBOR index plus 2.75% or the base rate plus 1.75%. The interest rate on the term loans as of December 29, 2022 was 8.44%. The term loans amortize at a rate equal to 1.00% annually, to be paid in equal quarterly installments. As of December 29, 2022, NCM LLC has paid principal of $11.5 million, reducing the outstanding balance to $258.5 million.</w:t>
      </w:r>
    </w:p>
    <w:p>
      <w:pPr>
        <w:spacing w:after="0" w:line="60" w:lineRule="exact"/>
        <w:rPr>
          <w:sz w:val="20"/>
          <w:szCs w:val="20"/>
          <w:color w:val="auto"/>
        </w:rPr>
      </w:pPr>
    </w:p>
    <w:p>
      <w:pPr>
        <w:jc w:val="both"/>
        <w:ind w:right="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Term Loans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Tranche</w:t>
      </w:r>
      <w:r>
        <w:rPr>
          <w:rFonts w:ascii="Times New Roman" w:cs="Times New Roman" w:eastAsia="Times New Roman" w:hAnsi="Times New Roman"/>
          <w:sz w:val="17"/>
          <w:szCs w:val="17"/>
          <w:color w:val="auto"/>
        </w:rPr>
        <w:t>—The interest rate on the second tranche of term loans is the LIBOR index plus 8.00%. The interest rate on the term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of December 29, 2022 was 12.44%. The term loans amortize at a rate equal to 1.00% annually, to be paid in equal quarterly installments. As of December 29, 2022, NCM LLC has paid principal of $0.7 million, reducing the outstanding balance to $49.3 million.</w:t>
      </w:r>
    </w:p>
    <w:p>
      <w:pPr>
        <w:spacing w:after="0" w:line="5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Revolving Credit Facility 2018</w:t>
      </w:r>
      <w:r>
        <w:rPr>
          <w:rFonts w:ascii="Times New Roman" w:cs="Times New Roman" w:eastAsia="Times New Roman" w:hAnsi="Times New Roman"/>
          <w:sz w:val="17"/>
          <w:szCs w:val="17"/>
          <w:color w:val="auto"/>
        </w:rPr>
        <w:t>—The revolving credit facility portion of NCM LLC’s total borrowings is available, subject to certain conditions,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corporate purposes of NCM LLC in the ordinary course of business and for other transactions permitted under the senior secured credit facility, and a portion is available for letters of credit. As of December 29, 2022, NCM LLC’s total availability under the $175.0 million revolving credit facility was $7.2 million, net of $167.0 million outstanding and $0.8 million letters of credit. The unused line fee is 0.50% per annum which is consistent with the previous facility. Borrowings under the revolving credit facility bear interest at NCM LLC’s option of either the LIBOR index plus an applicable margin ranging from</w:t>
      </w:r>
    </w:p>
    <w:p>
      <w:pPr>
        <w:spacing w:after="0" w:line="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3.00% to 3.50% or the base rate plus an applicable margin ranging from 2.00% to 2.50%.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share-based compensation costs for NCM LLC plus integration payments received). The revolving credit facility will mature on June 20, 2023. The weighted-average interest rate on the outstanding balance on the revolving credit facility as of December 29, 2022 was 8.03%.</w:t>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Revolving Credit Facility 2022</w:t>
      </w:r>
      <w:r>
        <w:rPr>
          <w:rFonts w:ascii="Times New Roman" w:cs="Times New Roman" w:eastAsia="Times New Roman" w:hAnsi="Times New Roman"/>
          <w:sz w:val="17"/>
          <w:szCs w:val="17"/>
          <w:color w:val="auto"/>
        </w:rPr>
        <w:t>—On January 5, 2022, NCM LLC also entered into the Revolving Credit Agreement 2022 among NCM LLC, the lenders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December 29, 2022, NCM LLC’s total availability under the $50.0 million revolving credit facility was $0.0 million. The weighted-average interest rate on the revolving credit facility as of December 29, 2022 was 12.43% As of December 29, 2022, NCM LLC was in compliance with the financial requirements of the Credit Agreement Third Amendment described above.</w:t>
      </w:r>
    </w:p>
    <w:p>
      <w:pPr>
        <w:spacing w:after="0" w:line="7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Senior Unsecured Notes due 2026</w:t>
      </w:r>
      <w:r>
        <w:rPr>
          <w:rFonts w:ascii="Times New Roman" w:cs="Times New Roman" w:eastAsia="Times New Roman" w:hAnsi="Times New Roman"/>
          <w:sz w:val="17"/>
          <w:szCs w:val="17"/>
          <w:color w:val="auto"/>
        </w:rPr>
        <w:t>—On August 19, 2016, NCM LLC completed a private placement of $250.0 million in aggregate principal amount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2028, its senior secured credit facility and any future asset backed loan facility. The Notes due 2026 will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w:t>
      </w:r>
    </w:p>
    <w:p>
      <w:pPr>
        <w:spacing w:after="0" w:line="71"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101.000% of the aggregate principal amount of the Notes due 2026 repurchased, plus accrued and unpaid interest, if any, to the date of repurchase.</w:t>
      </w:r>
    </w:p>
    <w:p>
      <w:pPr>
        <w:spacing w:after="0" w:line="27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 financial requirements of the Notes due 2026 as of December 29, 2022.</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Senior Secured Notes due 2028</w:t>
      </w:r>
      <w:r>
        <w:rPr>
          <w:rFonts w:ascii="Times New Roman" w:cs="Times New Roman" w:eastAsia="Times New Roman" w:hAnsi="Times New Roman"/>
          <w:sz w:val="17"/>
          <w:szCs w:val="17"/>
          <w:color w:val="auto"/>
        </w:rPr>
        <w:t>—On October 8, 2019, NCM LLC completed a private offering of $400.0 million aggregate principal amount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5.875% Senior Secured Notes due 2028 (the “Notes due 2028”) to eligible purchasers. The Notes due 2028 will mature on April 15, 2028. Interest on the Notes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2028 accrues at a rate of 5.875% per annum and is payable semi-annually in arrears on April 15 and October 15 of each year, commencing on April 15,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2020. In the year ended December 29, 2022, NCM, Inc. purchased $25.8 million of the Notes due 2028 on the open market, reducing the principal amount owed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NCM LLC to third parties to $374.2 million as of December 29, 2022 and resulting in a $6.0 million gain on extinguishment of debt in the year ended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29, 2022.</w:t>
      </w:r>
    </w:p>
    <w:p>
      <w:pPr>
        <w:spacing w:after="0" w:line="100"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7"/>
          <w:szCs w:val="17"/>
          <w:color w:val="auto"/>
        </w:rPr>
        <w:t>NCM LLC may redeem all or any portion of the Notes due 2028 prior to April 15, 2023, at a redemption price equal to 100% of the principal amount plus the applicable premium, plus accrued and unpaid interest, if any, to the redemption date. NCM LLC may redeem all or any portion of the Notes due 2028, on or after April 15, 2023, at specified redemption prices, plus accrued and unpaid interest, if any, to the redemption date. In addition, at any time prior to April 15, 2023, NCM LLC may on any one or more occasions redeem up to 35% of the original aggregate principal amount of the Notes due 2028 from the net proceeds of certain equity offerings at a redemption price equal to 105.875% of the principal amount of the Notes due 2028 redeemed, plus accrued and unpaid interest, if any, to the redemption date, provided that at least 65% of the original aggregate principal amount of the Notes due 2028 remains outstanding after each such redemption and the redemption occurs within 90 days after the closing of such applicable equity offering.</w:t>
      </w:r>
    </w:p>
    <w:p>
      <w:pPr>
        <w:spacing w:after="0" w:line="7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 particular, NCM LLC may distribute all of its quarterly available cash as a restricted payment or as an investment, provided that NCM LLC satisfies a minimum net senior secured leverage ratio. As of December 29, 2022, NCM LLC was in compliance with the financial requirements of the Notes due 2028, as described above.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Future Maturities of Borrowings </w:t>
      </w:r>
      <w:r>
        <w:rPr>
          <w:rFonts w:ascii="Times New Roman" w:cs="Times New Roman" w:eastAsia="Times New Roman" w:hAnsi="Times New Roman"/>
          <w:sz w:val="17"/>
          <w:szCs w:val="17"/>
          <w:color w:val="auto"/>
        </w:rPr>
        <w:t>– The scheduled annual maturities on the Senior Secured Credit Facility, Notes due 2026 and Notes due 2028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29, 2022 are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20" w:type="dxa"/>
            <w:vAlign w:val="bottom"/>
          </w:tcPr>
          <w:p>
            <w:pPr>
              <w:spacing w:after="0"/>
              <w:rPr>
                <w:sz w:val="15"/>
                <w:szCs w:val="15"/>
                <w:color w:val="auto"/>
              </w:rPr>
            </w:pPr>
          </w:p>
        </w:tc>
        <w:tc>
          <w:tcPr>
            <w:tcW w:w="15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1,129.0</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1,129.0</w:t>
            </w: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0" w:hanging="778"/>
        <w:spacing w:after="0"/>
        <w:tabs>
          <w:tab w:leader="none" w:pos="80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98"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The NCM, Inc. 2020 Omnibus Equity Incentive Plan (the “2020 Plan”) was approved by NCM, Inc.'s stockholders on April 28, 2020 and approved 7,500,000 shares of common stock available for issuance or delivery under the 2020 Plan and an additional 7,500,000 shares of common stock available for issuance or delivery approved on May 4, 2022. The Company began issuing shares under the 2020 Plan in the second quarter of 2020. The 2020 Plan replaced NCM, Inc.’s 2016 Equity Incentive Plan (the “2016 Plan”), which replaced the 2007 Equity Incentive Plan (the “2007 Plan”). The 2020 Plan also includes 2,388,302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original award. As of December 29, 2022, 8,868,249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w:t>
      </w:r>
    </w:p>
    <w:p>
      <w:pPr>
        <w:spacing w:after="0" w:line="61" w:lineRule="exact"/>
        <w:rPr>
          <w:sz w:val="20"/>
          <w:szCs w:val="20"/>
          <w:color w:val="auto"/>
        </w:rPr>
      </w:pPr>
    </w:p>
    <w:p>
      <w:pPr>
        <w:jc w:val="both"/>
        <w:ind w:right="74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Compensation Cost</w:t>
      </w:r>
      <w:r>
        <w:rPr>
          <w:rFonts w:ascii="Times New Roman" w:cs="Times New Roman" w:eastAsia="Times New Roman" w:hAnsi="Times New Roman"/>
          <w:sz w:val="17"/>
          <w:szCs w:val="17"/>
          <w:color w:val="auto"/>
        </w:rPr>
        <w:t>—The Company recognized $7.1 million and $8.1 million for the years ended December 29, 2022 and December 30,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 of share-based compensation expense within “Network costs”, “Selling and marketing costs” and “Administrative and other costs” in the Consolidated Statements of Operations as shown in the table below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3"/>
        </w:trPr>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network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 included in administrative and other costs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5"/>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share-based compensation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During the years ended December 29, 2022 and December 30, 2021, $0.2 million and $0.3 million was capitalized, respectively, in a corresponding manner to the capitalization of employee’s salaries for capitalized labor. The income tax benefit recognized in the statements of operations for share-based compensation was approximately $0.0 million and $0.0 million for the years ended December 29, 2022 and December 30, 2021, respectively. As of December 29, 2022, there was $0.8 million unrecognized compensation cost related to unvested options, which will be recognized over a remaining period of 2.2 years. As of December 29, 2022, unrecognized compensation cost related to restricted stock and restricted stock units was approximately $5.7 million, which will be recognized over a weighted average remaining period of 1.2 years.</w:t>
      </w:r>
    </w:p>
    <w:p>
      <w:pPr>
        <w:spacing w:after="0" w:line="6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Stock Options</w:t>
      </w:r>
      <w:r>
        <w:rPr>
          <w:rFonts w:ascii="Times New Roman" w:cs="Times New Roman" w:eastAsia="Times New Roman" w:hAnsi="Times New Roman"/>
          <w:sz w:val="17"/>
          <w:szCs w:val="17"/>
          <w:color w:val="auto"/>
        </w:rPr>
        <w:t>—The Company granted stock options during 2021 and 2022. Stock options granted in 2021 and a portion of the stock options awarded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were granted with an exercise price equal to the closing market price of NCM, Inc. common stock on the date the Company’s Board of Directors approved the grant. The remaining portion of stock options awarded in 2022 contained a market condition as the options were 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during 2022 were adjusted to include the Company's cost of equity in order to incorporate the impact of the option's market condition and simulate a lattice model. The risk-free rate for periods within the contractual life of the option is based on the U.S. Treasury yield curve in effect at the time of grant. The following assumptions were used in the valuation of the options for the year ended December 29, 2022 and December 30, 2021:</w:t>
      </w:r>
    </w:p>
    <w:p>
      <w:pPr>
        <w:spacing w:after="0" w:line="106"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3520" w:type="dxa"/>
            <w:vAlign w:val="bottom"/>
            <w:gridSpan w:val="3"/>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23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2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62.9 %</w:t>
            </w:r>
          </w:p>
        </w:tc>
      </w:tr>
      <w:tr>
        <w:trPr>
          <w:trHeight w:val="22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r>
    </w:tbl>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option award activity as of December 29, 2022, and changes during the year then ended are presented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3"/>
                <w:szCs w:val="13"/>
                <w:color w:val="auto"/>
              </w:rPr>
            </w:pPr>
          </w:p>
        </w:tc>
        <w:tc>
          <w:tcPr>
            <w:tcW w:w="10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80" w:type="dxa"/>
            <w:vAlign w:val="bottom"/>
          </w:tcPr>
          <w:p>
            <w:pPr>
              <w:spacing w:after="0"/>
              <w:rPr>
                <w:sz w:val="11"/>
                <w:szCs w:val="11"/>
                <w:color w:val="auto"/>
              </w:rPr>
            </w:pPr>
          </w:p>
        </w:tc>
        <w:tc>
          <w:tcPr>
            <w:tcW w:w="106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2"/>
                <w:szCs w:val="12"/>
                <w:color w:val="auto"/>
              </w:rPr>
            </w:pPr>
          </w:p>
        </w:tc>
        <w:tc>
          <w:tcPr>
            <w:tcW w:w="1060" w:type="dxa"/>
            <w:vAlign w:val="bottom"/>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 (in years)</w:t>
            </w:r>
          </w:p>
        </w:tc>
        <w:tc>
          <w:tcPr>
            <w:tcW w:w="180" w:type="dxa"/>
            <w:vAlign w:val="bottom"/>
          </w:tcPr>
          <w:p>
            <w:pPr>
              <w:spacing w:after="0"/>
              <w:rPr>
                <w:sz w:val="16"/>
                <w:szCs w:val="16"/>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0" w:type="dxa"/>
            <w:vAlign w:val="bottom"/>
          </w:tcPr>
          <w:p>
            <w:pPr>
              <w:spacing w:after="0"/>
              <w:rPr>
                <w:sz w:val="1"/>
                <w:szCs w:val="1"/>
                <w:color w:val="auto"/>
              </w:rPr>
            </w:pPr>
          </w:p>
        </w:tc>
      </w:tr>
      <w:tr>
        <w:trPr>
          <w:trHeight w:val="22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30,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1,645,855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620,930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(167,564)</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29,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as of December 29, 2022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40" w:type="dxa"/>
            <w:vAlign w:val="bottom"/>
            <w:vMerge w:val="continue"/>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1,092,629</w:t>
            </w:r>
          </w:p>
        </w:tc>
        <w:tc>
          <w:tcPr>
            <w:tcW w:w="100" w:type="dxa"/>
            <w:vAlign w:val="bottom"/>
          </w:tcPr>
          <w:p>
            <w:pPr>
              <w:spacing w:after="0"/>
              <w:rPr>
                <w:sz w:val="16"/>
                <w:szCs w:val="16"/>
                <w:color w:val="auto"/>
              </w:rPr>
            </w:pPr>
          </w:p>
        </w:tc>
        <w:tc>
          <w:tcPr>
            <w:tcW w:w="220" w:type="dxa"/>
            <w:vAlign w:val="bottom"/>
          </w:tcPr>
          <w:p>
            <w:pPr>
              <w:jc w:val="right"/>
              <w:ind w:right="3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16"/>
                <w:szCs w:val="16"/>
                <w:color w:val="auto"/>
              </w:rPr>
            </w:pPr>
          </w:p>
        </w:tc>
        <w:tc>
          <w:tcPr>
            <w:tcW w:w="1240" w:type="dxa"/>
            <w:vAlign w:val="bottom"/>
          </w:tcPr>
          <w:p>
            <w:pPr>
              <w:ind w:left="1000"/>
              <w:spacing w:after="0" w:line="194" w:lineRule="exact"/>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6"/>
                <w:szCs w:val="16"/>
                <w:color w:val="auto"/>
              </w:rPr>
            </w:pPr>
          </w:p>
        </w:tc>
        <w:tc>
          <w:tcPr>
            <w:tcW w:w="18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8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expected to vest as of December 29,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Restricted Stock and Restricted Stock Units</w:t>
      </w:r>
      <w:r>
        <w:rPr>
          <w:rFonts w:ascii="Times New Roman" w:cs="Times New Roman" w:eastAsia="Times New Roman" w:hAnsi="Times New Roman"/>
          <w:sz w:val="17"/>
          <w:szCs w:val="17"/>
          <w:color w:val="auto"/>
        </w:rPr>
        <w:t>—Under the non-vested stock program, common stock of the Company may be granted at no cost to officers,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independent directors and employees, subject to requisite service and/or financial 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29, 2022 and December 30, 2021, accrued dividend equivalents totaled $0.8 million and $0.7 million, respectively and during the years ended December 29, 2022 and December 30, 2021, the Company paid $0.5 million and $1.0 million, respectively, for dividend equivalents upon vesting of the restricted stock and restricted stock units. The Company has issued time-based restricted stock and restricted stock units to its employees which generally vest over a two or three-year period with one-half or one-third, respectively, vesting on each anniversary of the date of grant and performance-based restricted stock and restricted stock units which vest following a two or three-year measurement period to the extent that the Company achieves specified non-GAAP targets at the end of the measurement period. Certain other vesting periods have also been used.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2-6% was estimated to reflect the potential separation of employees. The weighted average grant date fair value of non-vested stock was $2.12 and $3.82 for the years ended December 29, 2022 and December 30, 2021, respectively. The total fair value of awards that vested during the years ended December 29, 2022 and December 30, 2021 was $5.9 million and $7.1 million, respectively.</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restricted stock award and restricted stock unit activity as of December 29, 2022, and changes during the year then ended are presented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26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and</w:t>
            </w:r>
          </w:p>
        </w:tc>
        <w:tc>
          <w:tcPr>
            <w:tcW w:w="260" w:type="dxa"/>
            <w:vAlign w:val="bottom"/>
          </w:tcPr>
          <w:p>
            <w:pPr>
              <w:spacing w:after="0"/>
              <w:rPr>
                <w:sz w:val="12"/>
                <w:szCs w:val="12"/>
                <w:color w:val="auto"/>
              </w:rPr>
            </w:pPr>
          </w:p>
        </w:tc>
        <w:tc>
          <w:tcPr>
            <w:tcW w:w="1260" w:type="dxa"/>
            <w:vAlign w:val="bottom"/>
          </w:tcPr>
          <w:p>
            <w:pPr>
              <w:jc w:val="center"/>
              <w:ind w:right="181"/>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2"/>
                <w:szCs w:val="12"/>
                <w:color w:val="auto"/>
              </w:rPr>
            </w:pPr>
          </w:p>
        </w:tc>
        <w:tc>
          <w:tcPr>
            <w:tcW w:w="1260" w:type="dxa"/>
            <w:vAlign w:val="bottom"/>
          </w:tcPr>
          <w:p>
            <w:pPr>
              <w:jc w:val="center"/>
              <w:ind w:right="181"/>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xml:space="preserve">Stock Units </w:t>
            </w:r>
            <w:r>
              <w:rPr>
                <w:rFonts w:ascii="Times New Roman" w:cs="Times New Roman" w:eastAsia="Times New Roman" w:hAnsi="Times New Roman"/>
                <w:sz w:val="14"/>
                <w:szCs w:val="14"/>
                <w:b w:val="1"/>
                <w:bCs w:val="1"/>
                <w:i w:val="1"/>
                <w:iCs w:val="1"/>
                <w:color w:val="auto"/>
                <w:w w:val="99"/>
              </w:rPr>
              <w:t>(1)</w:t>
            </w:r>
          </w:p>
        </w:tc>
        <w:tc>
          <w:tcPr>
            <w:tcW w:w="260" w:type="dxa"/>
            <w:vAlign w:val="bottom"/>
          </w:tcPr>
          <w:p>
            <w:pPr>
              <w:spacing w:after="0"/>
              <w:rPr>
                <w:sz w:val="16"/>
                <w:szCs w:val="16"/>
                <w:color w:val="auto"/>
              </w:rPr>
            </w:pPr>
          </w:p>
        </w:tc>
        <w:tc>
          <w:tcPr>
            <w:tcW w:w="12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1"/>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as of December 30, 2021</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3,001,105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22"/>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3,659,156</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22"/>
        </w:trPr>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i w:val="1"/>
                <w:iCs w:val="1"/>
                <w:color w:val="auto"/>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(266,352)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0" w:type="dxa"/>
            <w:vAlign w:val="bottom"/>
          </w:tcPr>
          <w:p>
            <w:pPr>
              <w:spacing w:after="0"/>
              <w:rPr>
                <w:sz w:val="1"/>
                <w:szCs w:val="1"/>
                <w:color w:val="auto"/>
              </w:rPr>
            </w:pPr>
          </w:p>
        </w:tc>
      </w:tr>
      <w:tr>
        <w:trPr>
          <w:trHeight w:val="24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as of December 29, 2022</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5,175,560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940" w:right="540" w:hanging="309"/>
        <w:spacing w:after="0" w:line="295" w:lineRule="auto"/>
        <w:tabs>
          <w:tab w:leader="none" w:pos="93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729,817 shares of performance-based restricted stock and restricted stock units as of December 29, 2022, including 427,231 shares granted during the year and 11,750 shares forfeited during the year.</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96,241 vested shares that were withheld to cover tax obligations and were subsequently canceled.</w:t>
      </w:r>
    </w:p>
    <w:p>
      <w:pPr>
        <w:spacing w:after="0" w:line="118"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The above table reflects performance-based restricted stock granted at 100% achievement of performance conditions and as such does not reflect the maximum or minimum number of shares of performance-based restricted stock contingently issuable. As of December 29, 2022, the total number of restricted stock and restricted stock units that are ultimately expected to vest, after consideration of expected forfeitures and current projections of estimated vesting of performance-based restricted stock is 328,418 shares.</w:t>
      </w:r>
    </w:p>
    <w:p>
      <w:pPr>
        <w:spacing w:after="0" w:line="101" w:lineRule="exact"/>
        <w:rPr>
          <w:sz w:val="20"/>
          <w:szCs w:val="20"/>
          <w:color w:val="auto"/>
        </w:rPr>
      </w:pPr>
    </w:p>
    <w:p>
      <w:pPr>
        <w:ind w:left="800" w:hanging="778"/>
        <w:spacing w:after="0"/>
        <w:tabs>
          <w:tab w:leader="none" w:pos="8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In response to the COVID-19 Pandemic, the Company temporarily suspended its match of a portion of employees 401(k) contributions effective April 2020 through December 29, 2022.</w:t>
      </w:r>
    </w:p>
    <w:p>
      <w:pPr>
        <w:spacing w:after="0" w:line="316" w:lineRule="exact"/>
        <w:rPr>
          <w:sz w:val="20"/>
          <w:szCs w:val="20"/>
          <w:color w:val="auto"/>
        </w:rPr>
      </w:pPr>
    </w:p>
    <w:p>
      <w:pPr>
        <w:ind w:left="800" w:hanging="778"/>
        <w:spacing w:after="0"/>
        <w:tabs>
          <w:tab w:leader="none" w:pos="80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07" w:lineRule="exact"/>
        <w:rPr>
          <w:sz w:val="20"/>
          <w:szCs w:val="20"/>
          <w:color w:val="auto"/>
        </w:rPr>
      </w:pPr>
    </w:p>
    <w:p>
      <w:pPr>
        <w:jc w:val="both"/>
        <w:ind w:right="32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Legal Actions</w:t>
      </w:r>
      <w:r>
        <w:rPr>
          <w:rFonts w:ascii="Times New Roman" w:cs="Times New Roman" w:eastAsia="Times New Roman" w:hAnsi="Times New Roman"/>
          <w:sz w:val="17"/>
          <w:szCs w:val="17"/>
          <w:color w:val="auto"/>
        </w:rPr>
        <w:t>—As discussed more fully in Note 16—Subsequent Events, on April 11, 2023, NCM, LLC filed a voluntary petition for reorganization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with a prearranged Chapter 11 plan under Chapter 11 of the Bankruptcy Code in the Bankruptcy Court. The Chapter 11 Case is being administered under the caption </w:t>
      </w:r>
      <w:r>
        <w:rPr>
          <w:rFonts w:ascii="Times New Roman" w:cs="Times New Roman" w:eastAsia="Times New Roman" w:hAnsi="Times New Roman"/>
          <w:sz w:val="17"/>
          <w:szCs w:val="17"/>
          <w:i w:val="1"/>
          <w:iCs w:val="1"/>
          <w:color w:val="auto"/>
        </w:rPr>
        <w:t>In re: National CineMedia, LLC</w:t>
      </w:r>
      <w:r>
        <w:rPr>
          <w:rFonts w:ascii="Times New Roman" w:cs="Times New Roman" w:eastAsia="Times New Roman" w:hAnsi="Times New Roman"/>
          <w:sz w:val="17"/>
          <w:szCs w:val="17"/>
          <w:color w:val="auto"/>
        </w:rPr>
        <w:t>, Case No. 23-90291.</w:t>
      </w:r>
    </w:p>
    <w:p>
      <w:pPr>
        <w:spacing w:after="0" w:line="56"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The Company will continue to act as the manager of NCM LLC, the “debtor in possession” under the 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NCM LLC will continue to pursue approval of a proposed plan of reorganization, which will incorporate the terms of the Restructuring Support Agreement.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NCM LLC’s normal operating cash flows are providing liquidity for the Company to operate as usual and fulfill ongoing commitments to stakeholders.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unable to predict when NCM LLC will emerge from this Chapter 11 process.</w:t>
      </w:r>
    </w:p>
    <w:p>
      <w:pPr>
        <w:spacing w:after="0" w:line="100"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The Company is subject to claims and legal actions in the ordinary course of business. The Company believes such claims will not have a material effect, individually and in aggregate, on its financial position, results of operations or cash flows.</w:t>
      </w:r>
    </w:p>
    <w:p>
      <w:pPr>
        <w:spacing w:after="0" w:line="3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Operating Commitments-Facilities</w:t>
      </w:r>
      <w:r>
        <w:rPr>
          <w:rFonts w:ascii="Times New Roman" w:cs="Times New Roman" w:eastAsia="Times New Roman" w:hAnsi="Times New Roman"/>
          <w:sz w:val="17"/>
          <w:szCs w:val="17"/>
          <w:color w:val="auto"/>
        </w:rPr>
        <w:t>—The Company has entered into operating lease agreements for its corporate headquarters and other regional offices.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right-of-use (“ROU”) assets of $16.9 million and short-term and long-term lease liabilities of $2.2 million and $18.0 million, respectively, on the balance sheet as of December 29, 2022 for all material leases with terms longer than twelve months. As of December 30, 2021 the Company had ROU assets of $18.8 million and short-term and long-term lease liabilities of $2.1 million and $20.4 million, respectively, for all material leases with terms longer than twelve months. These balances are included within “Other assets”, “Other current liabilities” and “Other liabilities”, respectively, on the audited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29, 2022, the Company had a weighted average remaining lease term of 6.7 years on these leases. Given the uncertainty of the resolution of the Chapter 11 Case, conditions may change, which could result in impairment of the Company’s ROU assets in future periods.</w:t>
      </w:r>
    </w:p>
    <w:p>
      <w:pPr>
        <w:spacing w:after="0" w:line="71" w:lineRule="exact"/>
        <w:rPr>
          <w:sz w:val="20"/>
          <w:szCs w:val="20"/>
          <w:color w:val="auto"/>
        </w:rPr>
      </w:pPr>
    </w:p>
    <w:p>
      <w:pPr>
        <w:ind w:right="100" w:firstLine="509"/>
        <w:spacing w:after="0" w:line="295" w:lineRule="auto"/>
        <w:rPr>
          <w:sz w:val="20"/>
          <w:szCs w:val="20"/>
          <w:color w:val="auto"/>
        </w:rPr>
      </w:pPr>
      <w:r>
        <w:rPr>
          <w:rFonts w:ascii="Times New Roman" w:cs="Times New Roman" w:eastAsia="Times New Roman" w:hAnsi="Times New Roman"/>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42"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During the twelve months ended December 29, 2022 and December 30, 2021, the Company recognized the following components of total lease cost (in millions). These costs are presented within “Selling and marketing costs” and “Administrative and other costs” within the audited Consolidated Statements of Operations depending upon the nature of the use of the facility.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8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33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4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013"/>
              <w:spacing w:after="0"/>
              <w:rPr>
                <w:sz w:val="20"/>
                <w:szCs w:val="20"/>
                <w:color w:val="auto"/>
              </w:rPr>
            </w:pPr>
            <w:r>
              <w:rPr>
                <w:rFonts w:ascii="Times New Roman" w:cs="Times New Roman" w:eastAsia="Times New Roman" w:hAnsi="Times New Roman"/>
                <w:sz w:val="17"/>
                <w:szCs w:val="17"/>
                <w:color w:val="auto"/>
              </w:rPr>
              <w:t>92</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4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The Company made lease payments for the year ended December 29, 2022 and December 30, 2021 of $3.8 million and $3.7 million, respectively. These payments are included within cash flows from operating activities within the audited Consolidated Statement of Cash Flows. The minimum lease payments under noncancellable operating leases as of December 29, 2022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5"/>
                <w:szCs w:val="15"/>
                <w:color w:val="auto"/>
              </w:rPr>
            </w:pPr>
          </w:p>
        </w:tc>
        <w:tc>
          <w:tcPr>
            <w:tcW w:w="1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Minimum Lease Payments</w:t>
            </w:r>
          </w:p>
        </w:tc>
      </w:tr>
      <w:tr>
        <w:trPr>
          <w:trHeight w:val="2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5"/>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2"/>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Imputed interest on future lease payments</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4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liability as of December 29, 2022 per the Consolidated Balance Sheet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29, 2022, the Company’s weighted average annual discount rate used to establish the ROU assets and lease liabilities was 7.4%</w:t>
      </w:r>
      <w:r>
        <w:rPr>
          <w:rFonts w:ascii="Times New Roman" w:cs="Times New Roman" w:eastAsia="Times New Roman" w:hAnsi="Times New Roman"/>
          <w:sz w:val="17"/>
          <w:szCs w:val="17"/>
          <w:color w:val="EE2724"/>
        </w:rPr>
        <w:t>.</w:t>
      </w:r>
    </w:p>
    <w:p>
      <w:pPr>
        <w:spacing w:after="0" w:line="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Operating Commitments - ESAs and Affiliate Agreements</w:t>
      </w:r>
      <w:r>
        <w:rPr>
          <w:rFonts w:ascii="Times New Roman" w:cs="Times New Roman" w:eastAsia="Times New Roman" w:hAnsi="Times New Roman"/>
          <w:sz w:val="17"/>
          <w:szCs w:val="17"/>
          <w:color w:val="auto"/>
        </w:rPr>
        <w:t>—The Company has entered into long-term ESAs with the founding members and multi-year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5—</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increased by 4% on November 1, 2022 and will increase by 8% every five years with the next occurrence in 2027.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29, 2022 and December 30, 2021, the Company had no liabilities recorded for the minimum payment, as the theater access fee was in excess of the minimum.</w:t>
      </w:r>
    </w:p>
    <w:p>
      <w:pPr>
        <w:spacing w:after="0" w:line="7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Following the 2019 ESA Amendments, Cinemark and Regal receive an additional monthly theater access fee beginning November 1, 2019 in consideration for NCM LLC’s access to certain on-screen advertising inventory after the advertised showtime of a feature film. These fees are also based upon a fixed payment per patron of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w:t>
      </w:r>
    </w:p>
    <w:p>
      <w:pPr>
        <w:spacing w:after="0" w:line="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in the trailer position directly prior to the one or two trailers preceding the feature film.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Company's show or when the Company does not have access to the theaters. As such, the Company did not incur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incurred for the period of time the founding member's theaters were temporarily closed due to the COVID-19 Pandemic and were reduced for months where screens were in use for only part of the month.</w:t>
      </w:r>
    </w:p>
    <w:p>
      <w:pPr>
        <w:spacing w:after="0" w:line="2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29, 2022, the maximum potential amount of future payments the Company could be required to make pursuant to the minimum revenue guarantees is $141.7 million over the remaining terms of the network affiliate agreements. These minimum guarantees relate to various affiliate agreements ranging in term from one to fifteen years, prior to any renewal periods of which some are at the option of the Company. During the year ended December 29, 2022 and December 30, 2021 the Company paid $0.0 million and $0.2 million, respectively, related to these minimum guarantees. As of December 29, 2022 and December 30, 2021, the Company had $0.4 million and $0.4 million in liabilities recorded within “Accounts payable” in the Consolidated Balance Sheet for these obligations, as such guarantees are less than the expected share of revenue paid to the affiliate.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112" w:lineRule="exact"/>
        <w:rPr>
          <w:sz w:val="20"/>
          <w:szCs w:val="20"/>
          <w:color w:val="auto"/>
        </w:rPr>
      </w:pPr>
    </w:p>
    <w:p>
      <w:pPr>
        <w:ind w:left="800" w:hanging="778"/>
        <w:spacing w:after="0"/>
        <w:tabs>
          <w:tab w:leader="none" w:pos="8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07" w:lineRule="exact"/>
        <w:rPr>
          <w:sz w:val="20"/>
          <w:szCs w:val="20"/>
          <w:color w:val="auto"/>
        </w:rPr>
      </w:pPr>
    </w:p>
    <w:p>
      <w:pPr>
        <w:ind w:right="8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Non-Recurring Measurements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Certain assets are measured at fair value on a non-recurring basis. These assets are not measured at fair value on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ongoing basis but are subject to fair value adjustments in certain circumstances. These assets include long-lived assets, intangible assets, cost and equity method investments and borrowings.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Long-Lived Assets, Intangible Assets and Other Investments</w:t>
      </w:r>
      <w:r>
        <w:rPr>
          <w:rFonts w:ascii="Times New Roman" w:cs="Times New Roman" w:eastAsia="Times New Roman" w:hAnsi="Times New Roman"/>
          <w:sz w:val="17"/>
          <w:szCs w:val="17"/>
          <w:color w:val="auto"/>
        </w:rPr>
        <w:t>—As described in Note 1—</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the Company regularly reviews long-lived assets (primarily property, plant and equipment), intangible assets, investments accounted for under the cost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Other investments consisted of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80" w:type="dxa"/>
            <w:vAlign w:val="bottom"/>
          </w:tcPr>
          <w:p>
            <w:pPr>
              <w:spacing w:after="0"/>
              <w:rPr>
                <w:sz w:val="15"/>
                <w:szCs w:val="15"/>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Investment in AC JV, LLC </w:t>
            </w:r>
            <w:r>
              <w:rPr>
                <w:rFonts w:ascii="Times New Roman" w:cs="Times New Roman" w:eastAsia="Times New Roman" w:hAnsi="Times New Roman"/>
                <w:sz w:val="17"/>
                <w:szCs w:val="17"/>
                <w:i w:val="1"/>
                <w:iCs w:val="1"/>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Other investments </w:t>
            </w:r>
            <w:r>
              <w:rPr>
                <w:rFonts w:ascii="Times New Roman" w:cs="Times New Roman" w:eastAsia="Times New Roman" w:hAnsi="Times New Roman"/>
                <w:sz w:val="17"/>
                <w:szCs w:val="17"/>
                <w:i w:val="1"/>
                <w:iCs w:val="1"/>
                <w:color w:val="auto"/>
              </w:rPr>
              <w:t>(2)</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0"/>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1384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325" w:lineRule="exact"/>
        <w:rPr>
          <w:sz w:val="20"/>
          <w:szCs w:val="20"/>
          <w:color w:val="auto"/>
        </w:rPr>
      </w:pPr>
    </w:p>
    <w:p>
      <w:pPr>
        <w:ind w:left="940" w:hanging="309"/>
        <w:spacing w:after="0"/>
        <w:tabs>
          <w:tab w:leader="none" w:pos="940" w:val="left"/>
        </w:tabs>
        <w:numPr>
          <w:ilvl w:val="0"/>
          <w:numId w:val="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Refer to Note 9—</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i w:val="1"/>
          <w:iCs w:val="1"/>
          <w:color w:val="auto"/>
        </w:rPr>
      </w:pPr>
    </w:p>
    <w:p>
      <w:pPr>
        <w:ind w:left="940" w:right="40" w:hanging="309"/>
        <w:spacing w:after="0" w:line="275" w:lineRule="auto"/>
        <w:tabs>
          <w:tab w:leader="none" w:pos="934" w:val="left"/>
        </w:tabs>
        <w:numPr>
          <w:ilvl w:val="0"/>
          <w:numId w:val="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5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29, 2022 and December 30, 2021, the Company recorded impairment charges of $0.1 million and $0.0 million, respectively, on certain of its investments due to new information regarding the fair value of the investee, which brought the total remaining value of the respective impaired investments to $0.1 million as of December 29, 2022. As of December 29, 2022, no other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—The estimated fair values of the Company’s financial instruments where carrying values do not approximate fair value are as follows (in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29, 2022</w:t>
            </w:r>
          </w:p>
        </w:tc>
        <w:tc>
          <w:tcPr>
            <w:tcW w:w="180" w:type="dxa"/>
            <w:vAlign w:val="bottom"/>
          </w:tcPr>
          <w:p>
            <w:pPr>
              <w:spacing w:after="0"/>
              <w:rPr>
                <w:sz w:val="15"/>
                <w:szCs w:val="15"/>
                <w:color w:val="auto"/>
              </w:rPr>
            </w:pPr>
          </w:p>
        </w:tc>
        <w:tc>
          <w:tcPr>
            <w:tcW w:w="25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c>
          <w:tcPr>
            <w:tcW w:w="0" w:type="dxa"/>
            <w:vAlign w:val="bottom"/>
          </w:tcPr>
          <w:p>
            <w:pPr>
              <w:spacing w:after="0"/>
              <w:rPr>
                <w:sz w:val="1"/>
                <w:szCs w:val="1"/>
                <w:color w:val="auto"/>
              </w:rPr>
            </w:pPr>
          </w:p>
        </w:tc>
      </w:tr>
      <w:tr>
        <w:trPr>
          <w:trHeight w:val="23"/>
        </w:trPr>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4"/>
                <w:szCs w:val="14"/>
                <w:b w:val="1"/>
                <w:bCs w:val="1"/>
                <w:i w:val="1"/>
                <w:iCs w:val="1"/>
                <w:color w:val="auto"/>
                <w:w w:val="99"/>
              </w:rPr>
              <w:t>(1)</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facilities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Loans - first tranche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236.4</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Loans - second tranche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357.0</w:t>
            </w:r>
          </w:p>
        </w:tc>
        <w:tc>
          <w:tcPr>
            <w:tcW w:w="0" w:type="dxa"/>
            <w:vAlign w:val="bottom"/>
          </w:tcPr>
          <w:p>
            <w:pPr>
              <w:spacing w:after="0"/>
              <w:rPr>
                <w:sz w:val="1"/>
                <w:szCs w:val="1"/>
                <w:color w:val="auto"/>
              </w:rPr>
            </w:pPr>
          </w:p>
        </w:tc>
      </w:tr>
      <w:tr>
        <w:trPr>
          <w:trHeight w:val="222"/>
        </w:trPr>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9"/>
              </w:rPr>
              <w:t>millions):</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0" w:type="dxa"/>
            <w:vAlign w:val="bottom"/>
          </w:tcPr>
          <w:p>
            <w:pPr>
              <w:spacing w:after="0"/>
              <w:rPr>
                <w:sz w:val="1"/>
                <w:szCs w:val="1"/>
                <w:color w:val="auto"/>
              </w:rPr>
            </w:pPr>
          </w:p>
        </w:tc>
      </w:tr>
      <w:tr>
        <w:trPr>
          <w:trHeight w:val="104"/>
        </w:trPr>
        <w:tc>
          <w:tcPr>
            <w:tcW w:w="6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40" w:right="280" w:hanging="309"/>
        <w:spacing w:after="0" w:line="295" w:lineRule="auto"/>
        <w:tabs>
          <w:tab w:leader="none" w:pos="934"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8" w:lineRule="exact"/>
        <w:rPr>
          <w:sz w:val="20"/>
          <w:szCs w:val="20"/>
          <w:color w:val="auto"/>
        </w:rPr>
      </w:pPr>
    </w:p>
    <w:p>
      <w:pPr>
        <w:jc w:val="both"/>
        <w:ind w:right="160" w:firstLine="50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Recurring Measurements</w:t>
      </w:r>
      <w:r>
        <w:rPr>
          <w:rFonts w:ascii="Times New Roman" w:cs="Times New Roman" w:eastAsia="Times New Roman" w:hAnsi="Times New Roman"/>
          <w:sz w:val="17"/>
          <w:szCs w:val="17"/>
          <w:color w:val="auto"/>
        </w:rPr>
        <w:t>—All current assets and liabilities are estimated to approximate their fair value due to the short-term nature of these balances.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fair values of the Company’s assets and liabilities measured on a recurring basis pursuant to ASC 820-10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are as follows (in millions):</w:t>
      </w:r>
    </w:p>
    <w:tbl>
      <w:tblPr>
        <w:tblLayout w:type="fixed"/>
        <w:tblInd w:w="0" w:type="dxa"/>
        <w:tblCellMar>
          <w:top w:w="0" w:type="dxa"/>
          <w:left w:w="0" w:type="dxa"/>
          <w:bottom w:w="0" w:type="dxa"/>
          <w:right w:w="0" w:type="dxa"/>
        </w:tblCellMar>
      </w:tblPr>
      <w:tr>
        <w:trPr>
          <w:trHeight w:val="145"/>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20" w:type="dxa"/>
            <w:vAlign w:val="bottom"/>
            <w:gridSpan w:val="6"/>
          </w:tcPr>
          <w:p>
            <w:pPr>
              <w:jc w:val="center"/>
              <w:ind w:right="119"/>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Measurements at</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Reporting Date Using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2"/>
              <w:spacing w:after="0" w:line="131"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20" w:type="dxa"/>
            <w:vAlign w:val="bottom"/>
          </w:tcPr>
          <w:p>
            <w:pPr>
              <w:spacing w:after="0"/>
              <w:rPr>
                <w:sz w:val="12"/>
                <w:szCs w:val="12"/>
                <w:color w:val="auto"/>
              </w:rPr>
            </w:pPr>
          </w:p>
        </w:tc>
        <w:tc>
          <w:tcPr>
            <w:tcW w:w="1260" w:type="dxa"/>
            <w:vAlign w:val="bottom"/>
          </w:tcPr>
          <w:p>
            <w:pPr>
              <w:jc w:val="center"/>
              <w:ind w:right="2"/>
              <w:spacing w:after="0" w:line="144"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29, 2022</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20"/>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Cash equivalents </w:t>
            </w:r>
            <w:r>
              <w:rPr>
                <w:rFonts w:ascii="Times New Roman" w:cs="Times New Roman" w:eastAsia="Times New Roman" w:hAnsi="Times New Roman"/>
                <w:sz w:val="17"/>
                <w:szCs w:val="17"/>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Short-term marketable securities </w:t>
            </w:r>
            <w:r>
              <w:rPr>
                <w:rFonts w:ascii="Times New Roman" w:cs="Times New Roman" w:eastAsia="Times New Roman" w:hAnsi="Times New Roman"/>
                <w:sz w:val="17"/>
                <w:szCs w:val="17"/>
                <w:i w:val="1"/>
                <w:iCs w:val="1"/>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Long-term marketable securities </w:t>
            </w:r>
            <w:r>
              <w:rPr>
                <w:rFonts w:ascii="Times New Roman" w:cs="Times New Roman" w:eastAsia="Times New Roman" w:hAnsi="Times New Roman"/>
                <w:sz w:val="17"/>
                <w:szCs w:val="17"/>
                <w:i w:val="1"/>
                <w:iCs w:val="1"/>
                <w:color w:val="auto"/>
              </w:rPr>
              <w:t>(2)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gridSpan w:val="6"/>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Reporting Date Using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2"/>
              <w:spacing w:after="0" w:line="131"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20" w:type="dxa"/>
            <w:vAlign w:val="bottom"/>
          </w:tcPr>
          <w:p>
            <w:pPr>
              <w:spacing w:after="0"/>
              <w:rPr>
                <w:sz w:val="12"/>
                <w:szCs w:val="12"/>
                <w:color w:val="auto"/>
              </w:rPr>
            </w:pPr>
          </w:p>
        </w:tc>
        <w:tc>
          <w:tcPr>
            <w:tcW w:w="1260" w:type="dxa"/>
            <w:vAlign w:val="bottom"/>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20"/>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Cash equivalents </w:t>
            </w:r>
            <w:r>
              <w:rPr>
                <w:rFonts w:ascii="Times New Roman" w:cs="Times New Roman" w:eastAsia="Times New Roman" w:hAnsi="Times New Roman"/>
                <w:sz w:val="17"/>
                <w:szCs w:val="17"/>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xml:space="preserve">Short-term marketable securities </w:t>
            </w:r>
            <w:r>
              <w:rPr>
                <w:rFonts w:ascii="Times New Roman" w:cs="Times New Roman" w:eastAsia="Times New Roman" w:hAnsi="Times New Roman"/>
                <w:sz w:val="17"/>
                <w:szCs w:val="17"/>
                <w:i w:val="1"/>
                <w:iCs w:val="1"/>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 xml:space="preserve">Long-term marketable securities </w:t>
            </w:r>
            <w:r>
              <w:rPr>
                <w:rFonts w:ascii="Times New Roman" w:cs="Times New Roman" w:eastAsia="Times New Roman" w:hAnsi="Times New Roman"/>
                <w:sz w:val="17"/>
                <w:szCs w:val="17"/>
                <w:i w:val="1"/>
                <w:iCs w:val="1"/>
                <w:color w:val="auto"/>
              </w:rPr>
              <w:t>(2)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40" w:right="100" w:hanging="309"/>
        <w:spacing w:after="0" w:line="297" w:lineRule="auto"/>
        <w:tabs>
          <w:tab w:leader="none" w:pos="934" w:val="left"/>
        </w:tabs>
        <w:numPr>
          <w:ilvl w:val="0"/>
          <w:numId w:val="6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Cash Equivalents</w:t>
      </w:r>
      <w:r>
        <w:rPr>
          <w:rFonts w:ascii="Times New Roman" w:cs="Times New Roman" w:eastAsia="Times New Roman" w:hAnsi="Times New Roman"/>
          <w:sz w:val="17"/>
          <w:szCs w:val="17"/>
          <w:color w:val="auto"/>
        </w:rPr>
        <w:t>—The Company’s cash equivalents are carried at estimated fair value. Cash equivalents consist of money market accounts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has classified as Level 1 given the active market for these accounts.</w:t>
      </w:r>
    </w:p>
    <w:p>
      <w:pPr>
        <w:spacing w:after="0" w:line="38" w:lineRule="exact"/>
        <w:rPr>
          <w:rFonts w:ascii="Times New Roman" w:cs="Times New Roman" w:eastAsia="Times New Roman" w:hAnsi="Times New Roman"/>
          <w:sz w:val="17"/>
          <w:szCs w:val="17"/>
          <w:i w:val="1"/>
          <w:iCs w:val="1"/>
          <w:color w:val="auto"/>
        </w:rPr>
      </w:pPr>
    </w:p>
    <w:p>
      <w:pPr>
        <w:ind w:left="940" w:hanging="309"/>
        <w:spacing w:after="0" w:line="262" w:lineRule="auto"/>
        <w:tabs>
          <w:tab w:leader="none" w:pos="934" w:val="left"/>
        </w:tabs>
        <w:numPr>
          <w:ilvl w:val="0"/>
          <w:numId w:val="6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Short-Term and Long-Term Marketable Securities</w:t>
      </w:r>
      <w:r>
        <w:rPr>
          <w:rFonts w:ascii="Times New Roman" w:cs="Times New Roman" w:eastAsia="Times New Roman" w:hAnsi="Times New Roman"/>
          <w:sz w:val="17"/>
          <w:szCs w:val="17"/>
          <w:color w:val="auto"/>
        </w:rPr>
        <w:t>—The carrying amount and fair value of the marketable securities are equivalent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accounts for these instruments at fair value. The Company’s government agency bonds, commercial paper and certificates of deposit are valued using third-party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left="940" w:right="220"/>
        <w:spacing w:after="0" w:line="275" w:lineRule="auto"/>
        <w:rPr>
          <w:sz w:val="20"/>
          <w:szCs w:val="20"/>
          <w:color w:val="auto"/>
        </w:rPr>
      </w:pPr>
      <w:r>
        <w:rPr>
          <w:rFonts w:ascii="Times New Roman" w:cs="Times New Roman" w:eastAsia="Times New Roman" w:hAnsi="Times New Roman"/>
          <w:sz w:val="17"/>
          <w:szCs w:val="17"/>
          <w:color w:val="auto"/>
        </w:rPr>
        <w:t>As of December 29, 2022, there was $0.2 million of available-for-sale debt securities in unrealized loss positions without an allowance for credit losses. The Company has not recorded an allowance for credit losses for the marketable securities balance as of December 29, 2022 given the immaterial difference between the amortized cost basis and the aggregate fair value of the Company's securities.</w:t>
      </w:r>
    </w:p>
    <w:p>
      <w:pPr>
        <w:spacing w:after="0" w:line="59" w:lineRule="exact"/>
        <w:rPr>
          <w:sz w:val="20"/>
          <w:szCs w:val="20"/>
          <w:color w:val="auto"/>
        </w:rPr>
      </w:pPr>
    </w:p>
    <w:p>
      <w:pPr>
        <w:ind w:right="120" w:firstLine="509"/>
        <w:spacing w:after="0" w:line="292" w:lineRule="auto"/>
        <w:rPr>
          <w:sz w:val="20"/>
          <w:szCs w:val="20"/>
          <w:color w:val="auto"/>
        </w:rPr>
      </w:pPr>
      <w:r>
        <w:rPr>
          <w:rFonts w:ascii="Times New Roman" w:cs="Times New Roman" w:eastAsia="Times New Roman" w:hAnsi="Times New Roman"/>
          <w:sz w:val="17"/>
          <w:szCs w:val="17"/>
          <w:color w:val="auto"/>
        </w:rPr>
        <w:t>The amortized cost basis, aggregate fair value and maturities of the marketable securities the Company held as of December 29, 2022 and December 30, 2021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29, 2022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00" w:type="dxa"/>
            <w:vAlign w:val="bottom"/>
          </w:tcPr>
          <w:p>
            <w:pPr>
              <w:jc w:val="center"/>
              <w:ind w:left="243"/>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left="266"/>
              <w:spacing w:after="0" w:line="125"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Maturities </w:t>
            </w:r>
            <w:r>
              <w:rPr>
                <w:rFonts w:ascii="Times New Roman" w:cs="Times New Roman" w:eastAsia="Times New Roman" w:hAnsi="Times New Roman"/>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jc w:val="center"/>
              <w:ind w:left="243"/>
              <w:spacing w:after="0" w:line="142"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266"/>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Short-term certificates of deposit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0" w:type="dxa"/>
            <w:vAlign w:val="bottom"/>
            <w:gridSpan w:val="2"/>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short-term marketable securities</w:t>
            </w: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Long-term certificates of deposit</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5"/>
        </w:trPr>
        <w:tc>
          <w:tcPr>
            <w:tcW w:w="6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long-term marketable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00" w:type="dxa"/>
            <w:vAlign w:val="bottom"/>
          </w:tcPr>
          <w:p>
            <w:pPr>
              <w:jc w:val="center"/>
              <w:ind w:left="243"/>
              <w:spacing w:after="0" w:line="124"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left="266"/>
              <w:spacing w:after="0" w:line="124"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Maturities </w:t>
            </w:r>
            <w:r>
              <w:rPr>
                <w:rFonts w:ascii="Times New Roman" w:cs="Times New Roman" w:eastAsia="Times New Roman" w:hAnsi="Times New Roman"/>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jc w:val="center"/>
              <w:ind w:left="243"/>
              <w:spacing w:after="0" w:line="144"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266"/>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2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Short-term certificates of deposit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0" w:type="dxa"/>
            <w:vAlign w:val="bottom"/>
            <w:gridSpan w:val="2"/>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short-term marketable securities</w:t>
            </w: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Long-term certificates of deposit</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5"/>
        </w:trPr>
        <w:tc>
          <w:tcPr>
            <w:tcW w:w="6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long-term marketable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940" w:right="140" w:hanging="309"/>
        <w:spacing w:after="0" w:line="297" w:lineRule="auto"/>
        <w:tabs>
          <w:tab w:leader="none" w:pos="934" w:val="left"/>
        </w:tabs>
        <w:numPr>
          <w:ilvl w:val="1"/>
          <w:numId w:val="6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Maturities</w:t>
      </w:r>
      <w:r>
        <w:rPr>
          <w:rFonts w:ascii="Times New Roman" w:cs="Times New Roman" w:eastAsia="Times New Roman" w:hAnsi="Times New Roman"/>
          <w:sz w:val="17"/>
          <w:szCs w:val="17"/>
          <w:color w:val="auto"/>
        </w:rPr>
        <w:t>— Securities available for sale include obligations with various contractual maturity dates some of which are greater than one year.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considers the securities to be liquid and convertible to cash within 30 days.</w:t>
      </w:r>
    </w:p>
    <w:p>
      <w:pPr>
        <w:spacing w:after="0" w:line="77" w:lineRule="exact"/>
        <w:rPr>
          <w:rFonts w:ascii="Times New Roman" w:cs="Times New Roman" w:eastAsia="Times New Roman" w:hAnsi="Times New Roman"/>
          <w:sz w:val="17"/>
          <w:szCs w:val="17"/>
          <w:i w:val="1"/>
          <w:iCs w:val="1"/>
          <w:color w:val="auto"/>
        </w:rPr>
      </w:pPr>
    </w:p>
    <w:p>
      <w:pPr>
        <w:ind w:left="800" w:hanging="778"/>
        <w:spacing w:after="0"/>
        <w:tabs>
          <w:tab w:leader="none" w:pos="80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VALUATION ACCOUNT</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Company’s valuation allowance on deferred tax assets for the years ended December 29, 2022 and December 30, 2021 was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23"/>
        </w:trPr>
        <w:tc>
          <w:tcPr>
            <w:tcW w:w="21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2022</w:t>
            </w:r>
          </w:p>
        </w:tc>
        <w:tc>
          <w:tcPr>
            <w:tcW w:w="14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30, 2021</w:t>
            </w:r>
          </w:p>
        </w:tc>
      </w:tr>
      <w:tr>
        <w:trPr>
          <w:trHeight w:val="208"/>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ON 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w:t>
            </w:r>
          </w:p>
        </w:tc>
      </w:tr>
      <w:tr>
        <w:trPr>
          <w:trHeight w:val="222"/>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Valuation allowance added </w:t>
            </w:r>
            <w:r>
              <w:rPr>
                <w:rFonts w:ascii="Times New Roman" w:cs="Times New Roman" w:eastAsia="Times New Roman" w:hAnsi="Times New Roman"/>
                <w:sz w:val="17"/>
                <w:szCs w:val="17"/>
                <w:i w:val="1"/>
                <w:iCs w:val="1"/>
                <w:color w:val="auto"/>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2"/>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Valuation allowance reversed</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8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177" w:lineRule="exact"/>
        <w:rPr>
          <w:sz w:val="20"/>
          <w:szCs w:val="20"/>
          <w:color w:val="auto"/>
        </w:rPr>
      </w:pPr>
    </w:p>
    <w:p>
      <w:pPr>
        <w:ind w:left="940" w:right="340" w:hanging="309"/>
        <w:spacing w:after="0" w:line="295" w:lineRule="auto"/>
        <w:tabs>
          <w:tab w:leader="none" w:pos="934" w:val="left"/>
        </w:tabs>
        <w:numPr>
          <w:ilvl w:val="1"/>
          <w:numId w:val="6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increase within the valuation allowance during the years ended December 29, 2022 and December 30, 2021 relate to its deferred tax assets which the Company determined it is more-likely-than-not it will not be able to realize before they expire.</w:t>
      </w:r>
    </w:p>
    <w:p>
      <w:pPr>
        <w:spacing w:after="0" w:line="78" w:lineRule="exact"/>
        <w:rPr>
          <w:rFonts w:ascii="Times New Roman" w:cs="Times New Roman" w:eastAsia="Times New Roman" w:hAnsi="Times New Roman"/>
          <w:sz w:val="17"/>
          <w:szCs w:val="17"/>
          <w:i w:val="1"/>
          <w:iCs w:val="1"/>
          <w:color w:val="auto"/>
        </w:rPr>
      </w:pPr>
    </w:p>
    <w:p>
      <w:pPr>
        <w:ind w:left="800" w:hanging="778"/>
        <w:spacing w:after="0"/>
        <w:tabs>
          <w:tab w:leader="none" w:pos="8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0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Credit Agreement Amendment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Subsequent to year-end, on January 17, 2023, NCM LLC entered into (i) Credit Agreement Amendment Fourth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Amendment to its Credit Agreement, dated as of June 20, 2018, among NCM LLC, the several banks and other financial institutions or entities from time to time parties thereto, and JPMorgan Chase Bank, N.A., as administrative agent, as previously amended and (ii) Revolving Credit Agreement Amendment. The Credit Agreement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NATIONAL CINEMEDIA, INC. AND SUBSIDIARY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Amendment Fourth Amendment and Revolving Credit Agreement Amendment provide for the addback of specified professional fees paid by NCM LLC during the period of January 6, 2023 through the date NCM LLC delivers a compliance certificate for the quarter ending on or about December 28, 2023, when calculating the sum of unrestricted cash on hand at NCM LLC and revolving credit facility availability under the Credit Agreement and Revolving Credit Agreement required to be maintained under each respective agreement.</w:t>
      </w:r>
    </w:p>
    <w:p>
      <w:pPr>
        <w:spacing w:after="0" w:line="63"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On March 31, 2023, NCM LLC as the Borrower, entered into Amendment No. 5 (the “Fifth Credit Agreement Amendment”) to its Credit Agreement, dated as of June 20, 2018, among the Borrower, the several banks and other financial institutions or entities from time to time parties thereto, and JPMorgan Chase Bank, N.A., as administrative agent, as previously amended (the “Credit Agreement”). The Fifth Credit Agreement Amendment extends the grace period available for certain payments under the Credit Agreement for nine business days.</w:t>
      </w:r>
    </w:p>
    <w:p>
      <w:pPr>
        <w:spacing w:after="0" w:line="59" w:lineRule="exact"/>
        <w:rPr>
          <w:sz w:val="20"/>
          <w:szCs w:val="20"/>
          <w:color w:val="auto"/>
        </w:rPr>
      </w:pPr>
    </w:p>
    <w:p>
      <w:pPr>
        <w:ind w:right="30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Indenture Amendment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On February 15, 2023, NCM LLC elected to enter into a 30-day grace period for the interest payment in the amount of $6.6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under the Senior Notes due 2026 under the indenture governing the Senior Notes due 2026. The Company and NCM LLC are actively engaged in negotiations with certain of NCM LLC’s secured lenders regarding NCM LLC’s indebtedness.</w:t>
      </w:r>
    </w:p>
    <w:p>
      <w:pPr>
        <w:spacing w:after="0" w:line="56"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On March 15, 2023, NCM LLC entered into a First Supplemental Indenture to the Indenture, dated as of August 19, 2016 (the “Indenture”) relating to NCM LLC’s 5.75% Senior Notes due 2026 with Computershare Trust Company, N.A., as Trustee. The First Supplemental Indenture was approved by holders of the Senior Notes due 2026 holding at least a majority of the aggregate principal amount of the Senior Notes due 2026. The First Supplemental Indenture amends Section 6.01(a) of the Indenture by extending the grace period for payment of interest due on the Senior Notes due 2026 from 30 days to 47 days.</w:t>
      </w:r>
    </w:p>
    <w:p>
      <w:pPr>
        <w:spacing w:after="0" w:line="6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On March 31, 2023, NCM LLC entered into a Second Supplemental Indenture to the Indenture, relating to NCM LLC’s 5.75% Senior Notes due 2026 with Computershare Trust Company, N.A., as Trustee. The Second Supplemental Indenture was approved by holders of the Senior Notes due 2026 holding at least a majority of the aggregate principal amount of the Senior Notes due 2026. The Second Supplemental Indenture amends Section 6.01(a) of the Indenture by extending the grace period for payment of interest due on the Senior Notes due 2026 from 47 days to 57 days.</w:t>
      </w:r>
    </w:p>
    <w:p>
      <w:pPr>
        <w:spacing w:after="0" w:line="5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Redemptions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On February 23, 2023 and March 23, 2023, Cinemark redeemed 41,969,862 and 1,720,935, respectively, of their outstanding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membership units, in exchange for shares of NCM, Inc. common stock. These redemptions reduced Cinemark’s ownership interest to 0.0% as of March 23, 2023. This redemption will cause the “Payable to founding members under the TRA” to increase by approximately $15.0 million. This is driven primarily by the increase in NCM, Inc.’s ownership in NCM LLC increasing and the corresponding increase in NCM, Inc.’s percentage of NCM LLC’s deferred tax liabilities.</w:t>
      </w:r>
    </w:p>
    <w:p>
      <w:pPr>
        <w:spacing w:after="0" w:line="60" w:lineRule="exact"/>
        <w:rPr>
          <w:sz w:val="20"/>
          <w:szCs w:val="20"/>
          <w:color w:val="auto"/>
        </w:rPr>
      </w:pPr>
    </w:p>
    <w:p>
      <w:pPr>
        <w:ind w:right="160" w:firstLine="50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Bankruptcy Petition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On April 11, 2023, NCM LLC filed a voluntary petition for reorganization with a prearranged Chapter 11 plan under Chapter 11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of the Bankruptcy Code in the U.S. Bankruptcy Court for the Southern District of Texas. The Chapter 11 Case is being administered under the caption </w:t>
      </w:r>
      <w:r>
        <w:rPr>
          <w:rFonts w:ascii="Times New Roman" w:cs="Times New Roman" w:eastAsia="Times New Roman" w:hAnsi="Times New Roman"/>
          <w:sz w:val="17"/>
          <w:szCs w:val="17"/>
          <w:i w:val="1"/>
          <w:iCs w:val="1"/>
          <w:color w:val="auto"/>
        </w:rPr>
        <w:t>In 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National CineMedia, LLC</w:t>
      </w:r>
      <w:r>
        <w:rPr>
          <w:rFonts w:ascii="Times New Roman" w:cs="Times New Roman" w:eastAsia="Times New Roman" w:hAnsi="Times New Roman"/>
          <w:sz w:val="17"/>
          <w:szCs w:val="17"/>
          <w:color w:val="auto"/>
        </w:rPr>
        <w:t>, Case No. 23-90291.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Operation and Implications of the Bankruptcy Filing</w:t>
      </w:r>
    </w:p>
    <w:p>
      <w:pPr>
        <w:spacing w:after="0" w:line="120"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NCM, Inc. expects to continue to manage NCM LLC, the debtor in possession, under the jurisdiction of the Bankruptcy Court and in accordance with the applicable provisions of the Bankruptcy Code and orders of the Bankruptcy Court. The debtor in possession intends to continue to operate businesses in the ordinary course during the pendency of the Chapter 11 Case.</w:t>
      </w:r>
    </w:p>
    <w:p>
      <w:pPr>
        <w:spacing w:after="0" w:line="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business activities in the ordinary course and, among other things and subject to the terms and conditions of such orders, authorized certain employees at NCM, Inc. to continue providing day-to-day management services to NCM LLC and NCM LLC to pay employee wages and benefits and vendors and suppliers in the ordinary course for all goods and services going forward.</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Ongoing Negotiations on Proposed Plan of Reorganization</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NCM LLC will continue to pursue approval of a plan of reorganization, which will incorporate the terms of the Restructuring Support Agreement.</w:t>
      </w:r>
    </w:p>
    <w:p>
      <w:pPr>
        <w:spacing w:after="0" w:line="118"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Confirmation of a plan of reorganization could materially alter the classifications and amounts reported in our consolidated financial statements. The financial statements as of and for the year ended December 29, 2022, do not give effect to any adjustments to the carrying values of assets or amounts of liabilities that might be necessary as a consequence of confirmation of a plan of reorganization or other arrangement or the effect of any operational changes that may be implemented.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7" w:name="page98"/>
    <w:bookmarkEnd w:id="97"/>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6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29, 2022, the end of the period covered by this Annual Report on Form 10-K. Based on such evaluation, the CEO and CFO concluded that the Company’s disclosure controls and procedures were effective.</w:t>
      </w:r>
    </w:p>
    <w:p>
      <w:pPr>
        <w:spacing w:after="0" w:line="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Management’s Annual Report on Internal Control over Financial Reporting. </w:t>
      </w:r>
      <w:r>
        <w:rPr>
          <w:rFonts w:ascii="Times New Roman" w:cs="Times New Roman" w:eastAsia="Times New Roman" w:hAnsi="Times New Roman"/>
          <w:sz w:val="17"/>
          <w:szCs w:val="17"/>
          <w:color w:val="auto"/>
        </w:rPr>
        <w:t>Management is responsible for establishing and maintaining adequate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Times New Roman" w:cs="Times New Roman" w:eastAsia="Times New Roman" w:hAnsi="Times New Roman"/>
          <w:sz w:val="17"/>
          <w:szCs w:val="17"/>
          <w:i w:val="1"/>
          <w:iCs w:val="1"/>
          <w:color w:val="auto"/>
        </w:rPr>
        <w:t>Internal Control-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 Based on that evaluation, the Company's management concluded that the Company's internal control over financial reporting as of December 29, 2022 was effective.</w:t>
      </w:r>
    </w:p>
    <w:p>
      <w:pPr>
        <w:spacing w:after="0" w:line="6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14" w:lineRule="exact"/>
        <w:rPr>
          <w:sz w:val="20"/>
          <w:szCs w:val="20"/>
          <w:color w:val="auto"/>
        </w:rPr>
      </w:pPr>
    </w:p>
    <w:p>
      <w:pPr>
        <w:ind w:right="24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ended December 29,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98" w:name="page99"/>
    <w:bookmarkEnd w:id="98"/>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1"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7"/>
          <w:szCs w:val="17"/>
          <w:color w:val="auto"/>
        </w:rPr>
        <w:t xml:space="preserve">On April 11, 2023 (the “Petition Date”), NCM LLC filed a voluntary petition for reorganization with a prearranged Chapter 11 plan under Chapter 11 of the U.S. Bankruptcy Code in the U.S. Bankruptcy Court for the Southern District of Texas. NCM LLC’s case will be administered under the captions </w:t>
      </w:r>
      <w:r>
        <w:rPr>
          <w:rFonts w:ascii="Times New Roman" w:cs="Times New Roman" w:eastAsia="Times New Roman" w:hAnsi="Times New Roman"/>
          <w:sz w:val="17"/>
          <w:szCs w:val="17"/>
          <w:i w:val="1"/>
          <w:iCs w:val="1"/>
          <w:color w:val="auto"/>
        </w:rPr>
        <w:t>In 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National CineMedia, LLC</w:t>
      </w:r>
      <w:r>
        <w:rPr>
          <w:rFonts w:ascii="Times New Roman" w:cs="Times New Roman" w:eastAsia="Times New Roman" w:hAnsi="Times New Roman"/>
          <w:sz w:val="17"/>
          <w:szCs w:val="17"/>
          <w:color w:val="auto"/>
        </w:rPr>
        <w:t>, Case No. 23-90291. NCM, Inc. expects to continue to manage NCM LLC, the “debtor in possession”, under the jurisdiction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Bankruptcy Code and in accordance with the applicable provisions of the Bankruptcy Code and orders of the Bankruptcy Court. As a result of this filing and in accordance with applicable GAAP, the Company concluded that NCM, Inc. will no longer control NCM LLC for accounting purposes as of the Petition Date, and therefore, NCM LLC will be deconsolidated from the Company’s consolidated financial statements prospectively. In connection with the deconsolidation of NCM LLC and in accordance with Regulation S-X Article 11, the following unaudited pro forma financial statements of the Company are included herein:</w:t>
      </w:r>
    </w:p>
    <w:p>
      <w:pPr>
        <w:spacing w:after="0" w:line="163" w:lineRule="exact"/>
        <w:rPr>
          <w:sz w:val="20"/>
          <w:szCs w:val="20"/>
          <w:color w:val="auto"/>
        </w:rPr>
      </w:pPr>
    </w:p>
    <w:p>
      <w:pPr>
        <w:ind w:left="800" w:hanging="778"/>
        <w:spacing w:after="0"/>
        <w:tabs>
          <w:tab w:leader="none" w:pos="8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Unaudited Pro Forma Balance Sheet as of December 29, 2022;</w:t>
      </w:r>
    </w:p>
    <w:p>
      <w:pPr>
        <w:spacing w:after="0" w:line="176" w:lineRule="exact"/>
        <w:rPr>
          <w:rFonts w:ascii="Times New Roman" w:cs="Times New Roman" w:eastAsia="Times New Roman" w:hAnsi="Times New Roman"/>
          <w:sz w:val="21"/>
          <w:szCs w:val="21"/>
          <w:color w:val="auto"/>
        </w:rPr>
      </w:pPr>
    </w:p>
    <w:p>
      <w:pPr>
        <w:ind w:left="800" w:hanging="778"/>
        <w:spacing w:after="0"/>
        <w:tabs>
          <w:tab w:leader="none" w:pos="8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Unaudited Pro Forma Statement of Operations for the year ended December 29, 2022; and</w:t>
      </w:r>
    </w:p>
    <w:p>
      <w:pPr>
        <w:spacing w:after="0" w:line="189" w:lineRule="exact"/>
        <w:rPr>
          <w:rFonts w:ascii="Times New Roman" w:cs="Times New Roman" w:eastAsia="Times New Roman" w:hAnsi="Times New Roman"/>
          <w:sz w:val="21"/>
          <w:szCs w:val="21"/>
          <w:color w:val="auto"/>
        </w:rPr>
      </w:pPr>
    </w:p>
    <w:p>
      <w:pPr>
        <w:ind w:left="800" w:hanging="778"/>
        <w:spacing w:after="0"/>
        <w:tabs>
          <w:tab w:leader="none" w:pos="8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Notes to unaudited pro forma financial statements.</w:t>
      </w:r>
    </w:p>
    <w:p>
      <w:pPr>
        <w:spacing w:after="0" w:line="20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 xml:space="preserve">The following unaudited pro forma financial statements (“pro forma financial statements”) are based upon the historical consolidated financial statements of the Company, adjusted to reflect the deconsolidation of NCM LLC as a result of NCM LLC voluntarily initiating its financial restructuring plan under Chapter 11 of the United States Bankruptcy Code on the Petition Date. Subsequent to the deconsolidation, the Company will account for the investment in NCM LLC in accordance with </w:t>
      </w:r>
      <w:r>
        <w:rPr>
          <w:rFonts w:ascii="Times New Roman" w:cs="Times New Roman" w:eastAsia="Times New Roman" w:hAnsi="Times New Roman"/>
          <w:sz w:val="17"/>
          <w:szCs w:val="17"/>
          <w:i w:val="1"/>
          <w:iCs w:val="1"/>
          <w:color w:val="auto"/>
        </w:rPr>
        <w:t>ASC 321-Investments-Equity Securities</w:t>
      </w:r>
      <w:r>
        <w:rPr>
          <w:rFonts w:ascii="Times New Roman" w:cs="Times New Roman" w:eastAsia="Times New Roman" w:hAnsi="Times New Roman"/>
          <w:sz w:val="17"/>
          <w:szCs w:val="17"/>
          <w:color w:val="auto"/>
        </w:rPr>
        <w:t>, which is reflected as a pro forma adjustment in the unaudited Pro Forma Balance Sheet (“Pro Forma Balance Sheet”). See “Notes to unaudited Pro Forma Financial Statements” for explanation of other adjustments. The pro forma financial statements of the Company should be read in conjunction with the historical consolidated financial statements of the Company and the related notes included in Item 8 - Financial Statements and Supplementary Data. The Company prepared the unaudited pro forma financial statements included herein on the same basis as the annual audited consolidated financial statements.</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7"/>
          <w:szCs w:val="17"/>
          <w:color w:val="auto"/>
        </w:rPr>
        <w:t>The Pro Forma Balance Sheet reflects the deconsolidation of NCM LLC assuming the Chapter 11 filing had occurred on December 29, 2022, while the unaudited Pro Forma Statement of Operations (“Pro Forma Statement of Operations”) gives effect to the deconsolidation assuming the Chapter 11 filing had occurred on December 31, 2021. The pro forma adjustments are based on the best available information including certain assumptions that the Company believes are reasonable. The Company believes that such adjustments are appropriate and directly attributable to the deconsolidation of NCM LLC. The pro forma adjustments assume that NCM LLC continues to operate its business in the ordinary course throughout the restructuring.</w:t>
      </w:r>
    </w:p>
    <w:p>
      <w:pPr>
        <w:spacing w:after="0" w:line="6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NCM, Inc. is a separate entity and has not filed for bankruptcy relief. In addition, the pro forma adjustments do not include any adjustments to reflect any resolution of the Chapter 11 Case entered into by NCM LLC and certain creditors of NCM LLC, including the restructuring of NCM LLC’s capital structure. For tax purposes, the Company has not made any assumptions regarding the ultimate form of the restructuring and the impact, if any, of a continuing equity investment in NCM LLC. As such, the pro forma adjustments do not include the deferred tax impacts of any outside basis difference in NCM LLC. Accordingly, actual results could differ materially from the pro forma presentation included herein depending on these factors, among others.</w:t>
      </w:r>
    </w:p>
    <w:p>
      <w:pPr>
        <w:spacing w:after="0" w:line="6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The pro forma financial statements are provided for illustrative purposes only and are not indicative of the operating results or financial position that would have occurred had the deconsolidation of NCM LLC occurred on December 29, 2022 for the Pro Forma Balance Sheet, or on December 31, 2021 for the Pro Forma Statement of Operations for the year ended December 29, 2022. Readers should not rely on the Pro Forma Financial Statements as being indicative of the historical operating results that the Company would have achieved if the deconsolidation had occurred on such dates or any future operating results or financial position that it will experience after the effective date of the Chapter 11 filing including the final result and effect of any potential outcome resulting from the planned restructuring of NCM LLC.</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ASSETS: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Restricted cash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Receivables, net</w:t>
      </w:r>
    </w:p>
    <w:p>
      <w:pPr>
        <w:spacing w:after="0" w:line="25" w:lineRule="exact"/>
        <w:rPr>
          <w:sz w:val="20"/>
          <w:szCs w:val="20"/>
          <w:color w:val="auto"/>
        </w:rPr>
      </w:pPr>
    </w:p>
    <w:p>
      <w:pPr>
        <w:ind w:left="220" w:right="400"/>
        <w:spacing w:after="0" w:line="299" w:lineRule="auto"/>
        <w:rPr>
          <w:sz w:val="20"/>
          <w:szCs w:val="20"/>
          <w:color w:val="auto"/>
        </w:rPr>
      </w:pPr>
      <w:r>
        <w:rPr>
          <w:rFonts w:ascii="Times New Roman" w:cs="Times New Roman" w:eastAsia="Times New Roman" w:hAnsi="Times New Roman"/>
          <w:sz w:val="15"/>
          <w:szCs w:val="15"/>
          <w:color w:val="auto"/>
        </w:rPr>
        <w:t>Amounts due from NCM LLC, net Prepaid expenses and other current assets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5" w:lineRule="exact"/>
        <w:rPr>
          <w:sz w:val="20"/>
          <w:szCs w:val="20"/>
          <w:color w:val="auto"/>
        </w:rPr>
      </w:pPr>
    </w:p>
    <w:p>
      <w:pPr>
        <w:ind w:left="220" w:right="960" w:hanging="195"/>
        <w:spacing w:after="0" w:line="276" w:lineRule="auto"/>
        <w:rPr>
          <w:sz w:val="20"/>
          <w:szCs w:val="20"/>
          <w:color w:val="auto"/>
        </w:rPr>
      </w:pPr>
      <w:r>
        <w:rPr>
          <w:rFonts w:ascii="Times New Roman" w:cs="Times New Roman" w:eastAsia="Times New Roman" w:hAnsi="Times New Roman"/>
          <w:sz w:val="16"/>
          <w:szCs w:val="16"/>
          <w:color w:val="auto"/>
        </w:rPr>
        <w:t>NON-CURRENT ASSETS: Property and equipment, net Intangible assets, net Investment in NCM LLC Other investments Long-term marketable securities Debt issuance costs, net Other assets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EQUITY/(DEFICIT)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Amounts due to founding members</w:t>
      </w:r>
    </w:p>
    <w:p>
      <w:pPr>
        <w:spacing w:after="0" w:line="25" w:lineRule="exact"/>
        <w:rPr>
          <w:sz w:val="20"/>
          <w:szCs w:val="20"/>
          <w:color w:val="auto"/>
        </w:rPr>
      </w:pPr>
    </w:p>
    <w:p>
      <w:pPr>
        <w:ind w:left="220" w:right="140"/>
        <w:spacing w:after="0" w:line="272" w:lineRule="auto"/>
        <w:rPr>
          <w:sz w:val="20"/>
          <w:szCs w:val="20"/>
          <w:color w:val="auto"/>
        </w:rPr>
      </w:pPr>
      <w:r>
        <w:rPr>
          <w:rFonts w:ascii="Times New Roman" w:cs="Times New Roman" w:eastAsia="Times New Roman" w:hAnsi="Times New Roman"/>
          <w:sz w:val="16"/>
          <w:szCs w:val="16"/>
          <w:color w:val="auto"/>
        </w:rPr>
        <w:t>Payable to founding members under the TRA Accrued expenses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Accrued payroll and related expenses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Short-term debt, net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w:t>
      </w:r>
    </w:p>
    <w:p>
      <w:pPr>
        <w:spacing w:after="0" w:line="25" w:lineRule="exact"/>
        <w:rPr>
          <w:sz w:val="20"/>
          <w:szCs w:val="20"/>
          <w:color w:val="auto"/>
        </w:rPr>
      </w:pPr>
    </w:p>
    <w:p>
      <w:pPr>
        <w:ind w:left="220" w:right="140"/>
        <w:spacing w:after="0" w:line="282" w:lineRule="auto"/>
        <w:rPr>
          <w:sz w:val="20"/>
          <w:szCs w:val="20"/>
          <w:color w:val="auto"/>
        </w:rPr>
      </w:pPr>
      <w:r>
        <w:rPr>
          <w:rFonts w:ascii="Times New Roman" w:cs="Times New Roman" w:eastAsia="Times New Roman" w:hAnsi="Times New Roman"/>
          <w:sz w:val="16"/>
          <w:szCs w:val="16"/>
          <w:color w:val="auto"/>
        </w:rPr>
        <w:t>Payable to founding members under the TRA Other liabilities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Times New Roman" w:cs="Times New Roman" w:eastAsia="Times New Roman" w:hAnsi="Times New Roman"/>
          <w:sz w:val="17"/>
          <w:szCs w:val="17"/>
          <w:b w:val="1"/>
          <w:bCs w:val="1"/>
          <w:color w:val="auto"/>
        </w:rPr>
        <w:t>NATIONAL CINEMEDIA, INC.</w:t>
      </w:r>
    </w:p>
    <w:p>
      <w:pPr>
        <w:jc w:val="center"/>
        <w:ind w:right="3940"/>
        <w:spacing w:after="0" w:line="224" w:lineRule="auto"/>
        <w:rPr>
          <w:sz w:val="20"/>
          <w:szCs w:val="20"/>
          <w:color w:val="auto"/>
        </w:rPr>
      </w:pPr>
      <w:r>
        <w:rPr>
          <w:rFonts w:ascii="Times New Roman" w:cs="Times New Roman" w:eastAsia="Times New Roman" w:hAnsi="Times New Roman"/>
          <w:sz w:val="17"/>
          <w:szCs w:val="17"/>
          <w:b w:val="1"/>
          <w:bCs w:val="1"/>
          <w:color w:val="auto"/>
        </w:rPr>
        <w:t>Unaudited Pro Forma Balance Sheet</w:t>
      </w:r>
    </w:p>
    <w:p>
      <w:pPr>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p>
      <w:pPr>
        <w:spacing w:after="0" w:line="193" w:lineRule="exact"/>
        <w:rPr>
          <w:sz w:val="20"/>
          <w:szCs w:val="20"/>
          <w:color w:val="auto"/>
        </w:rPr>
      </w:pPr>
    </w:p>
    <w:tbl>
      <w:tblPr>
        <w:tblLayout w:type="fixed"/>
        <w:tblInd w:w="29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Historical NCM,</w:t>
            </w:r>
          </w:p>
        </w:tc>
        <w:tc>
          <w:tcPr>
            <w:tcW w:w="160" w:type="dxa"/>
            <w:vAlign w:val="bottom"/>
          </w:tcPr>
          <w:p>
            <w:pPr>
              <w:spacing w:after="0"/>
              <w:rPr>
                <w:sz w:val="16"/>
                <w:szCs w:val="16"/>
                <w:color w:val="auto"/>
              </w:rPr>
            </w:pPr>
          </w:p>
        </w:tc>
        <w:tc>
          <w:tcPr>
            <w:tcW w:w="116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07"/>
        </w:trPr>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 Consolidated</w:t>
            </w:r>
          </w:p>
        </w:tc>
        <w:tc>
          <w:tcPr>
            <w:tcW w:w="160" w:type="dxa"/>
            <w:vAlign w:val="bottom"/>
          </w:tcPr>
          <w:p>
            <w:pPr>
              <w:spacing w:after="0"/>
              <w:rPr>
                <w:sz w:val="18"/>
                <w:szCs w:val="18"/>
                <w:color w:val="auto"/>
              </w:rPr>
            </w:pPr>
          </w:p>
        </w:tc>
        <w:tc>
          <w:tcPr>
            <w:tcW w:w="116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NCM, Inc.</w:t>
            </w:r>
          </w:p>
        </w:tc>
      </w:tr>
      <w:tr>
        <w:trPr>
          <w:trHeight w:val="60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9"/>
        </w:trPr>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2"/>
        </w:trPr>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0"/>
        </w:trPr>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417"/>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70.7</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4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7"/>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0"/>
        </w:trPr>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(1,199.6)</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417"/>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9"/>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-4421505</wp:posOffset>
            </wp:positionV>
            <wp:extent cx="7136765" cy="132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-4156710</wp:posOffset>
            </wp:positionV>
            <wp:extent cx="7136765" cy="132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-3891280</wp:posOffset>
            </wp:positionV>
            <wp:extent cx="7136765" cy="132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-3625850</wp:posOffset>
            </wp:positionV>
            <wp:extent cx="7136765" cy="132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-3361055</wp:posOffset>
            </wp:positionV>
            <wp:extent cx="7136765" cy="140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-3087370</wp:posOffset>
            </wp:positionV>
            <wp:extent cx="7136765" cy="132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-2821940</wp:posOffset>
            </wp:positionV>
            <wp:extent cx="7136765" cy="132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-2556510</wp:posOffset>
            </wp:positionV>
            <wp:extent cx="7136765" cy="132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-2291715</wp:posOffset>
            </wp:positionV>
            <wp:extent cx="7136765" cy="132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-2018030</wp:posOffset>
            </wp:positionV>
            <wp:extent cx="7136765" cy="157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-1727835</wp:posOffset>
            </wp:positionV>
            <wp:extent cx="7136765" cy="132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-1462405</wp:posOffset>
            </wp:positionV>
            <wp:extent cx="7136765" cy="132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-1197610</wp:posOffset>
            </wp:positionV>
            <wp:extent cx="7136765" cy="132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-932180</wp:posOffset>
            </wp:positionV>
            <wp:extent cx="7136765" cy="132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-666750</wp:posOffset>
            </wp:positionV>
            <wp:extent cx="7136765" cy="132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-393065</wp:posOffset>
            </wp:positionV>
            <wp:extent cx="7136765" cy="132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-128270</wp:posOffset>
            </wp:positionV>
            <wp:extent cx="7136765" cy="132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20" w:space="720"/>
            <w:col w:w="7300"/>
          </w:cols>
          <w:pgMar w:left="320" w:top="964" w:right="339" w:bottom="1440" w:gutter="0" w:footer="0" w:header="0"/>
        </w:sectPr>
      </w:pPr>
    </w:p>
    <w:tbl>
      <w:tblPr>
        <w:tblLayout w:type="fixed"/>
        <w:tblInd w:w="0" w:type="dxa"/>
        <w:tblCellMar>
          <w:top w:w="0" w:type="dxa"/>
          <w:left w:w="0" w:type="dxa"/>
          <w:bottom w:w="0" w:type="dxa"/>
          <w:right w:w="0" w:type="dxa"/>
        </w:tblCellMar>
      </w:tblPr>
      <w:tr>
        <w:trPr>
          <w:trHeight w:val="186"/>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4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4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8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EQUITY/(DEFICIT):</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NCM, Inc. Stockholders’ Equity/(Deficit):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Preferred stock, $0.01 par value; 10,000,000 shares authorized, none issued and outstanding, respectively</w:t>
            </w:r>
          </w:p>
        </w:tc>
        <w:tc>
          <w:tcPr>
            <w:tcW w:w="4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686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Common stock, $0.01 par value; 260,000,000 shares authorized, 128,402,636 issued and outstanding,</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4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 in capital (deficit)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 (distributions in excess of earnings)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585.3</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199"/>
        </w:trPr>
        <w:tc>
          <w:tcPr>
            <w:tcW w:w="6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NCM, Inc. stockholders’ equity/(deficit)</w:t>
            </w: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585.3</w:t>
            </w:r>
          </w:p>
        </w:tc>
        <w:tc>
          <w:tcPr>
            <w:tcW w:w="4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equity/(deficit)</w:t>
            </w: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534.0</w:t>
            </w:r>
          </w:p>
        </w:tc>
        <w:tc>
          <w:tcPr>
            <w:tcW w:w="4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EQUITY/DEFICIT</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4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Pro Forma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NATIONAL CINEMEDIA, INC.</w:t>
      </w:r>
    </w:p>
    <w:p>
      <w:pPr>
        <w:jc w:val="center"/>
        <w:spacing w:after="0" w:line="204" w:lineRule="auto"/>
        <w:rPr>
          <w:sz w:val="20"/>
          <w:szCs w:val="20"/>
          <w:color w:val="auto"/>
        </w:rPr>
      </w:pPr>
      <w:r>
        <w:rPr>
          <w:rFonts w:ascii="Times New Roman" w:cs="Times New Roman" w:eastAsia="Times New Roman" w:hAnsi="Times New Roman"/>
          <w:sz w:val="16"/>
          <w:szCs w:val="16"/>
          <w:b w:val="1"/>
          <w:bCs w:val="1"/>
          <w:color w:val="auto"/>
        </w:rPr>
        <w:t>Unaudited Pro Forma Statement of Operations</w:t>
      </w:r>
    </w:p>
    <w:p>
      <w:pPr>
        <w:jc w:val="center"/>
        <w:spacing w:after="0" w:line="204" w:lineRule="auto"/>
        <w:rPr>
          <w:sz w:val="20"/>
          <w:szCs w:val="20"/>
          <w:color w:val="auto"/>
        </w:rPr>
      </w:pPr>
      <w:r>
        <w:rPr>
          <w:rFonts w:ascii="Times New Roman" w:cs="Times New Roman" w:eastAsia="Times New Roman" w:hAnsi="Times New Roman"/>
          <w:sz w:val="16"/>
          <w:szCs w:val="16"/>
          <w:b w:val="1"/>
          <w:bCs w:val="1"/>
          <w:color w:val="auto"/>
        </w:rPr>
        <w:t>Year Ended December 29,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 NCM,</w:t>
            </w:r>
          </w:p>
        </w:tc>
        <w:tc>
          <w:tcPr>
            <w:tcW w:w="140" w:type="dxa"/>
            <w:vAlign w:val="bottom"/>
          </w:tcPr>
          <w:p>
            <w:pPr>
              <w:spacing w:after="0"/>
              <w:rPr>
                <w:sz w:val="13"/>
                <w:szCs w:val="13"/>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Pro Forma NCM,</w:t>
            </w:r>
          </w:p>
        </w:tc>
      </w:tr>
      <w:tr>
        <w:trPr>
          <w:trHeight w:val="189"/>
        </w:trPr>
        <w:tc>
          <w:tcPr>
            <w:tcW w:w="73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 Consolidated</w:t>
            </w:r>
          </w:p>
        </w:tc>
        <w:tc>
          <w:tcPr>
            <w:tcW w:w="140" w:type="dxa"/>
            <w:vAlign w:val="bottom"/>
          </w:tcPr>
          <w:p>
            <w:pPr>
              <w:spacing w:after="0"/>
              <w:rPr>
                <w:sz w:val="16"/>
                <w:szCs w:val="16"/>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Inc.</w:t>
            </w:r>
          </w:p>
        </w:tc>
      </w:tr>
      <w:tr>
        <w:trPr>
          <w:trHeight w:val="220"/>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22"/>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operating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costs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Theater access fees and revenue share to founding members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and marketing costs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Administrative and other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of intangibles recorded for network theater screen leases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5"/>
        </w:trPr>
        <w:tc>
          <w:tcPr>
            <w:tcW w:w="7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OPERATING INCOME (LOSS)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early retirement of debt, net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re-measurement of the payable to founding members under the TRA</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asset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deconsolidation</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w:t>
            </w: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non-operating income, net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15"/>
        </w:trPr>
        <w:tc>
          <w:tcPr>
            <w:tcW w:w="7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(680.5)</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(607.4)</w:t>
            </w:r>
          </w:p>
        </w:tc>
      </w:tr>
      <w:tr>
        <w:trPr>
          <w:trHeight w:val="21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(LOSS) INCOME</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w:t>
            </w:r>
          </w:p>
        </w:tc>
      </w:tr>
      <w:tr>
        <w:trPr>
          <w:trHeight w:val="222"/>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NCM, INC.</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w:t>
            </w:r>
          </w:p>
        </w:tc>
      </w:tr>
      <w:tr>
        <w:trPr>
          <w:trHeight w:val="215"/>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INCOME ATTRIBUTABLE TO NCM, INC.</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5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7"/>
        </w:trPr>
        <w:tc>
          <w:tcPr>
            <w:tcW w:w="7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2"/>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NCM, INC. COMMON SHARE: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22"/>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61"/>
        </w:trPr>
        <w:tc>
          <w:tcPr>
            <w:tcW w:w="7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2"/>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81,968,007</w:t>
            </w:r>
          </w:p>
        </w:tc>
      </w:tr>
      <w:tr>
        <w:trPr>
          <w:trHeight w:val="227"/>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81,968,007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82,015,111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Pro Forma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NATIONAL CINEMEDIA,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Pro Forma Financial Statements</w:t>
      </w:r>
    </w:p>
    <w:p>
      <w:pPr>
        <w:spacing w:after="0" w:line="100" w:lineRule="exact"/>
        <w:rPr>
          <w:sz w:val="20"/>
          <w:szCs w:val="20"/>
          <w:color w:val="auto"/>
        </w:rPr>
      </w:pPr>
    </w:p>
    <w:p>
      <w:pPr>
        <w:ind w:left="640" w:right="100" w:hanging="322"/>
        <w:spacing w:after="0" w:line="295" w:lineRule="auto"/>
        <w:tabs>
          <w:tab w:leader="none" w:pos="6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deconsolidation of NCM LLC’s assets and liabilities at their carrying amounts included in the Company's historical consolidated financial statements as of December 29, 2022.</w:t>
      </w:r>
    </w:p>
    <w:p>
      <w:pPr>
        <w:spacing w:after="0" w:line="41"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adjustments to reverse the removal of NCM LLC’s intercompany balances with NCM, Inc. in order to reflect intercompany amounts and transactions that were previously eliminated from the Company's historical consolidated financial statements as of December 29, 2022.</w:t>
      </w:r>
    </w:p>
    <w:p>
      <w:pPr>
        <w:spacing w:after="0" w:line="41" w:lineRule="exact"/>
        <w:rPr>
          <w:rFonts w:ascii="Times New Roman" w:cs="Times New Roman" w:eastAsia="Times New Roman" w:hAnsi="Times New Roman"/>
          <w:sz w:val="17"/>
          <w:szCs w:val="17"/>
          <w:color w:val="auto"/>
        </w:rPr>
      </w:pPr>
    </w:p>
    <w:p>
      <w:pPr>
        <w:ind w:left="640" w:right="40" w:hanging="322"/>
        <w:spacing w:after="0" w:line="295" w:lineRule="auto"/>
        <w:tabs>
          <w:tab w:leader="none" w:pos="6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deconsolidation of NCM LLC’s statement of operations included in the Company's historical consolidated financial statements for the year ended December 29, 2022.</w:t>
      </w:r>
    </w:p>
    <w:p>
      <w:pPr>
        <w:spacing w:after="0" w:line="41" w:lineRule="exact"/>
        <w:rPr>
          <w:rFonts w:ascii="Times New Roman" w:cs="Times New Roman" w:eastAsia="Times New Roman" w:hAnsi="Times New Roman"/>
          <w:sz w:val="17"/>
          <w:szCs w:val="17"/>
          <w:color w:val="auto"/>
        </w:rPr>
      </w:pPr>
    </w:p>
    <w:p>
      <w:pPr>
        <w:ind w:left="640" w:right="20" w:hanging="322"/>
        <w:spacing w:after="0" w:line="269" w:lineRule="auto"/>
        <w:tabs>
          <w:tab w:leader="none" w:pos="6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the adjustments made to reflect the estimated gain on deconsolidation, which represents the de-recognition of the carrying amounts of NCM LLC’s assets and liabilities compared to the non-controlling interest previously consolidated in the Company’s historical consolidated financial statements and the remaining estimated fair value of the investment in NCM LLC in accordance with </w:t>
      </w:r>
      <w:r>
        <w:rPr>
          <w:rFonts w:ascii="Times New Roman" w:cs="Times New Roman" w:eastAsia="Times New Roman" w:hAnsi="Times New Roman"/>
          <w:sz w:val="17"/>
          <w:szCs w:val="17"/>
          <w:i w:val="1"/>
          <w:iCs w:val="1"/>
          <w:color w:val="auto"/>
        </w:rPr>
        <w:t>ASC 321-Investments-Equity Securities</w:t>
      </w:r>
      <w:r>
        <w:rPr>
          <w:rFonts w:ascii="Times New Roman" w:cs="Times New Roman" w:eastAsia="Times New Roman" w:hAnsi="Times New Roman"/>
          <w:sz w:val="17"/>
          <w:szCs w:val="17"/>
          <w:color w:val="auto"/>
        </w:rPr>
        <w:t xml:space="preserve"> as of December 29, 2022 for the Pro Forma Balance Sheet and as of December 31, 2021 for the Pro Forma Statement of Operations.</w:t>
      </w:r>
    </w:p>
    <w:p>
      <w:pPr>
        <w:spacing w:after="0" w:line="10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7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98" w:lineRule="exact"/>
        <w:rPr>
          <w:sz w:val="20"/>
          <w:szCs w:val="20"/>
          <w:color w:val="auto"/>
        </w:rPr>
      </w:pPr>
    </w:p>
    <w:p>
      <w:pPr>
        <w:ind w:right="520" w:firstLine="509"/>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42" w:lineRule="exact"/>
        <w:rPr>
          <w:sz w:val="20"/>
          <w:szCs w:val="20"/>
          <w:color w:val="auto"/>
        </w:rPr>
      </w:pPr>
    </w:p>
    <w:p>
      <w:pPr>
        <w:ind w:firstLine="548"/>
        <w:spacing w:after="0" w:line="264" w:lineRule="auto"/>
        <w:rPr>
          <w:sz w:val="20"/>
          <w:szCs w:val="20"/>
          <w:color w:val="auto"/>
        </w:rPr>
      </w:pPr>
      <w:r>
        <w:rPr>
          <w:rFonts w:ascii="Times New Roman" w:cs="Times New Roman" w:eastAsia="Times New Roman" w:hAnsi="Times New Roman"/>
          <w:sz w:val="17"/>
          <w:szCs w:val="17"/>
          <w:color w:val="auto"/>
        </w:rPr>
        <w:t>Our Board of Directors currently consists of eight directors with one vacancy. Under the director designation agreement dated as of February 13, 2007 (the “Director Designation Agreement”), two of our founding members – Cinemark and Regal – are each permitted to appoint or designate up to two persons for nomination to election on our Board of Directors under the terms set forth in the Director Designation Agreement, one of whom must qualify as “independent” as required by the rules promulgated by the SEC under the Exchange Act, and by Nasdaq. See “Certain Relationships and Related Party Transactions – Transactions with Founding Members – Director Designation Agreement.” The designees pursuant to the Director Designation Agreement for Cinemark are Donna Reisman and Mark Zoradi and for Regal is Mark B. Segall.</w:t>
      </w:r>
    </w:p>
    <w:p>
      <w:pPr>
        <w:spacing w:after="0" w:line="67" w:lineRule="exact"/>
        <w:rPr>
          <w:sz w:val="20"/>
          <w:szCs w:val="20"/>
          <w:color w:val="auto"/>
        </w:rPr>
      </w:pPr>
    </w:p>
    <w:p>
      <w:pPr>
        <w:ind w:right="380" w:firstLine="548"/>
        <w:spacing w:after="0" w:line="275" w:lineRule="auto"/>
        <w:rPr>
          <w:sz w:val="20"/>
          <w:szCs w:val="20"/>
          <w:color w:val="auto"/>
        </w:rPr>
      </w:pPr>
      <w:r>
        <w:rPr>
          <w:rFonts w:ascii="Times New Roman" w:cs="Times New Roman" w:eastAsia="Times New Roman" w:hAnsi="Times New Roman"/>
          <w:sz w:val="17"/>
          <w:szCs w:val="17"/>
          <w:color w:val="auto"/>
        </w:rPr>
        <w:t>Our Certificate of Incorporation provides that all directors are included within one class and that the number of total directors will not be more than eleven. The number of currently authorized director positions is nine pursuant to our Bylaws. Each member serves a one-year term until the next Annual Meeting and until his or her successor is duly elected and qualified.</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provides information regarding our directors as of April 10,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5"/>
        </w:trPr>
        <w:tc>
          <w:tcPr>
            <w:tcW w:w="1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 Since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Independent</w:t>
            </w:r>
          </w:p>
        </w:tc>
        <w:tc>
          <w:tcPr>
            <w:tcW w:w="34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7"/>
                <w:szCs w:val="17"/>
                <w:b w:val="1"/>
                <w:bCs w:val="1"/>
                <w:color w:val="auto"/>
              </w:rPr>
              <w:t>Occupation</w:t>
            </w:r>
          </w:p>
        </w:tc>
        <w:tc>
          <w:tcPr>
            <w:tcW w:w="3080" w:type="dxa"/>
            <w:vAlign w:val="bottom"/>
            <w:gridSpan w:val="3"/>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Current Committee Membership*</w:t>
            </w:r>
          </w:p>
        </w:tc>
        <w:tc>
          <w:tcPr>
            <w:tcW w:w="0" w:type="dxa"/>
            <w:vAlign w:val="bottom"/>
          </w:tcPr>
          <w:p>
            <w:pPr>
              <w:spacing w:after="0"/>
              <w:rPr>
                <w:sz w:val="1"/>
                <w:szCs w:val="1"/>
                <w:color w:val="auto"/>
              </w:rPr>
            </w:pPr>
          </w:p>
        </w:tc>
      </w:tr>
      <w:tr>
        <w:trPr>
          <w:trHeight w:val="222"/>
        </w:trPr>
        <w:tc>
          <w:tcPr>
            <w:tcW w:w="1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7"/>
              </w:rPr>
              <w:t>A</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NG</w:t>
            </w:r>
          </w:p>
        </w:tc>
        <w:tc>
          <w:tcPr>
            <w:tcW w:w="0" w:type="dxa"/>
            <w:vAlign w:val="bottom"/>
          </w:tcPr>
          <w:p>
            <w:pPr>
              <w:spacing w:after="0"/>
              <w:rPr>
                <w:sz w:val="1"/>
                <w:szCs w:val="1"/>
                <w:color w:val="auto"/>
              </w:rPr>
            </w:pPr>
          </w:p>
        </w:tc>
      </w:tr>
      <w:tr>
        <w:trPr>
          <w:trHeight w:val="163"/>
        </w:trPr>
        <w:tc>
          <w:tcPr>
            <w:tcW w:w="1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David E. Glazek</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3400" w:type="dxa"/>
            <w:vAlign w:val="bottom"/>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Executive Chairman of Turning Point</w:t>
            </w:r>
          </w:p>
        </w:tc>
        <w:tc>
          <w:tcPr>
            <w:tcW w:w="9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w w:val="94"/>
              </w:rPr>
              <w:t>l</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Chair</w:t>
            </w:r>
          </w:p>
        </w:tc>
        <w:tc>
          <w:tcPr>
            <w:tcW w:w="0" w:type="dxa"/>
            <w:vAlign w:val="bottom"/>
          </w:tcPr>
          <w:p>
            <w:pPr>
              <w:spacing w:after="0"/>
              <w:rPr>
                <w:sz w:val="1"/>
                <w:szCs w:val="1"/>
                <w:color w:val="auto"/>
              </w:rPr>
            </w:pPr>
          </w:p>
        </w:tc>
      </w:tr>
      <w:tr>
        <w:trPr>
          <w:trHeight w:val="143"/>
        </w:trPr>
        <w:tc>
          <w:tcPr>
            <w:tcW w:w="17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34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Brands, Inc.</w:t>
            </w:r>
          </w:p>
        </w:tc>
        <w:tc>
          <w:tcPr>
            <w:tcW w:w="9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7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0" w:type="dxa"/>
            <w:vAlign w:val="bottom"/>
            <w:vMerge w:val="continue"/>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2007</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3400" w:type="dxa"/>
            <w:vAlign w:val="bottom"/>
          </w:tcPr>
          <w:p>
            <w:pPr>
              <w:ind w:left="120"/>
              <w:spacing w:after="0" w:line="170" w:lineRule="exact"/>
              <w:rPr>
                <w:sz w:val="20"/>
                <w:szCs w:val="20"/>
                <w:color w:val="auto"/>
              </w:rPr>
            </w:pPr>
            <w:r>
              <w:rPr>
                <w:rFonts w:ascii="Times New Roman" w:cs="Times New Roman" w:eastAsia="Times New Roman" w:hAnsi="Times New Roman"/>
                <w:sz w:val="17"/>
                <w:szCs w:val="17"/>
                <w:color w:val="auto"/>
              </w:rPr>
              <w:t>Former President of Sales and Marketing of</w:t>
            </w:r>
          </w:p>
        </w:tc>
        <w:tc>
          <w:tcPr>
            <w:tcW w:w="940" w:type="dxa"/>
            <w:vAlign w:val="bottom"/>
            <w:vMerge w:val="restart"/>
          </w:tcPr>
          <w:p>
            <w:pPr>
              <w:jc w:val="center"/>
              <w:ind w:right="13"/>
              <w:spacing w:after="0"/>
              <w:rPr>
                <w:sz w:val="20"/>
                <w:szCs w:val="20"/>
                <w:color w:val="auto"/>
              </w:rPr>
            </w:pPr>
            <w:r>
              <w:rPr>
                <w:rFonts w:ascii="Wingdings" w:cs="Wingdings" w:eastAsia="Wingdings" w:hAnsi="Wingdings"/>
                <w:sz w:val="17"/>
                <w:szCs w:val="17"/>
                <w:b w:val="1"/>
                <w:bCs w:val="1"/>
                <w:color w:val="auto"/>
                <w:w w:val="94"/>
              </w:rPr>
              <w:t>l</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Chair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4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CNN</w:t>
            </w:r>
          </w:p>
        </w:tc>
        <w:tc>
          <w:tcPr>
            <w:tcW w:w="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2007-2016;</w:t>
            </w:r>
          </w:p>
        </w:tc>
        <w:tc>
          <w:tcPr>
            <w:tcW w:w="1180" w:type="dxa"/>
            <w:vAlign w:val="bottom"/>
            <w:shd w:val="clear" w:color="auto" w:fill="CCEEFF"/>
          </w:tcPr>
          <w:p>
            <w:pPr>
              <w:spacing w:after="0"/>
              <w:rPr>
                <w:sz w:val="15"/>
                <w:szCs w:val="15"/>
                <w:color w:val="auto"/>
              </w:rPr>
            </w:pPr>
          </w:p>
        </w:tc>
        <w:tc>
          <w:tcPr>
            <w:tcW w:w="340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7"/>
                <w:szCs w:val="17"/>
                <w:color w:val="auto"/>
              </w:rPr>
              <w:t>Former President and CEO of NCM, Inc.</w:t>
            </w:r>
          </w:p>
        </w:tc>
        <w:tc>
          <w:tcPr>
            <w:tcW w:w="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740" w:type="dxa"/>
            <w:vAlign w:val="bottom"/>
            <w:vMerge w:val="restart"/>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Kurt C. Hall</w:t>
            </w:r>
          </w:p>
        </w:tc>
        <w:tc>
          <w:tcPr>
            <w:tcW w:w="480" w:type="dxa"/>
            <w:vAlign w:val="bottom"/>
            <w:vMerge w:val="restart"/>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64</w:t>
            </w:r>
          </w:p>
        </w:tc>
        <w:tc>
          <w:tcPr>
            <w:tcW w:w="1320" w:type="dxa"/>
            <w:vAlign w:val="bottom"/>
            <w:vMerge w:val="continue"/>
            <w:shd w:val="clear" w:color="auto" w:fill="CCEEFF"/>
          </w:tcPr>
          <w:p>
            <w:pPr>
              <w:spacing w:after="0"/>
              <w:rPr>
                <w:sz w:val="6"/>
                <w:szCs w:val="6"/>
                <w:color w:val="auto"/>
              </w:rPr>
            </w:pPr>
          </w:p>
        </w:tc>
        <w:tc>
          <w:tcPr>
            <w:tcW w:w="1180" w:type="dxa"/>
            <w:vAlign w:val="bottom"/>
            <w:vMerge w:val="restart"/>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8"/>
              </w:rPr>
              <w:t>Yes</w:t>
            </w:r>
          </w:p>
        </w:tc>
        <w:tc>
          <w:tcPr>
            <w:tcW w:w="3400" w:type="dxa"/>
            <w:vAlign w:val="bottom"/>
            <w:vMerge w:val="restart"/>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and Former Chairman of the NCM, Inc.</w:t>
            </w:r>
          </w:p>
        </w:tc>
        <w:tc>
          <w:tcPr>
            <w:tcW w:w="940" w:type="dxa"/>
            <w:vAlign w:val="bottom"/>
            <w:vMerge w:val="restart"/>
            <w:shd w:val="clear" w:color="auto" w:fill="CCEEFF"/>
          </w:tcPr>
          <w:p>
            <w:pPr>
              <w:jc w:val="center"/>
              <w:ind w:right="13"/>
              <w:spacing w:after="0" w:line="177" w:lineRule="exact"/>
              <w:rPr>
                <w:sz w:val="20"/>
                <w:szCs w:val="20"/>
                <w:color w:val="auto"/>
              </w:rPr>
            </w:pPr>
            <w:r>
              <w:rPr>
                <w:rFonts w:ascii="Wingdings" w:cs="Wingdings" w:eastAsia="Wingdings" w:hAnsi="Wingdings"/>
                <w:sz w:val="17"/>
                <w:szCs w:val="17"/>
                <w:b w:val="1"/>
                <w:bCs w:val="1"/>
                <w:color w:val="auto"/>
                <w:w w:val="94"/>
              </w:rPr>
              <w:t>l</w:t>
            </w:r>
          </w:p>
        </w:tc>
        <w:tc>
          <w:tcPr>
            <w:tcW w:w="1060" w:type="dxa"/>
            <w:vAlign w:val="bottom"/>
            <w:vMerge w:val="restart"/>
            <w:shd w:val="clear" w:color="auto" w:fill="CCEEFF"/>
          </w:tcPr>
          <w:p>
            <w:pPr>
              <w:jc w:val="center"/>
              <w:spacing w:after="0" w:line="177" w:lineRule="exact"/>
              <w:rPr>
                <w:sz w:val="20"/>
                <w:szCs w:val="20"/>
                <w:color w:val="auto"/>
              </w:rPr>
            </w:pPr>
            <w:r>
              <w:rPr>
                <w:rFonts w:ascii="Wingdings" w:cs="Wingdings" w:eastAsia="Wingdings" w:hAnsi="Wingdings"/>
                <w:sz w:val="17"/>
                <w:szCs w:val="17"/>
                <w:b w:val="1"/>
                <w:bCs w:val="1"/>
                <w:color w:val="auto"/>
                <w:w w:val="94"/>
              </w:rPr>
              <w:t>l</w:t>
            </w: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1180" w:type="dxa"/>
            <w:vAlign w:val="bottom"/>
            <w:vMerge w:val="continue"/>
            <w:shd w:val="clear" w:color="auto" w:fill="CCEEFF"/>
          </w:tcPr>
          <w:p>
            <w:pPr>
              <w:spacing w:after="0"/>
              <w:rPr>
                <w:sz w:val="8"/>
                <w:szCs w:val="8"/>
                <w:color w:val="auto"/>
              </w:rPr>
            </w:pPr>
          </w:p>
        </w:tc>
        <w:tc>
          <w:tcPr>
            <w:tcW w:w="34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4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Board</w:t>
            </w:r>
          </w:p>
        </w:tc>
        <w:tc>
          <w:tcPr>
            <w:tcW w:w="9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340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2020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3400" w:type="dxa"/>
            <w:vAlign w:val="bottom"/>
          </w:tcPr>
          <w:p>
            <w:pPr>
              <w:ind w:left="120"/>
              <w:spacing w:after="0" w:line="170" w:lineRule="exact"/>
              <w:rPr>
                <w:sz w:val="20"/>
                <w:szCs w:val="20"/>
                <w:color w:val="auto"/>
              </w:rPr>
            </w:pPr>
            <w:r>
              <w:rPr>
                <w:rFonts w:ascii="Times New Roman" w:cs="Times New Roman" w:eastAsia="Times New Roman" w:hAnsi="Times New Roman"/>
                <w:sz w:val="17"/>
                <w:szCs w:val="17"/>
                <w:color w:val="auto"/>
              </w:rPr>
              <w:t>Former Senior Vice President of Liquidity</w:t>
            </w:r>
          </w:p>
        </w:tc>
        <w:tc>
          <w:tcPr>
            <w:tcW w:w="94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Chair</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4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and Asset Management of iHeartMedia, Inc.</w:t>
            </w:r>
          </w:p>
        </w:tc>
        <w:tc>
          <w:tcPr>
            <w:tcW w:w="9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CEO of NCM, Inc.</w:t>
            </w: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242424"/>
              </w:rPr>
              <w:t>Donna Reisman</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42424"/>
              </w:rPr>
              <w:t>60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42424"/>
              </w:rPr>
              <w:t>2019</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42424"/>
                <w:w w:val="98"/>
              </w:rPr>
              <w:t>Yes</w:t>
            </w:r>
          </w:p>
        </w:tc>
        <w:tc>
          <w:tcPr>
            <w:tcW w:w="3400" w:type="dxa"/>
            <w:vAlign w:val="bottom"/>
          </w:tcPr>
          <w:p>
            <w:pPr>
              <w:ind w:left="120"/>
              <w:spacing w:after="0" w:line="170" w:lineRule="exact"/>
              <w:rPr>
                <w:sz w:val="20"/>
                <w:szCs w:val="20"/>
                <w:color w:val="auto"/>
              </w:rPr>
            </w:pPr>
            <w:r>
              <w:rPr>
                <w:rFonts w:ascii="Times New Roman" w:cs="Times New Roman" w:eastAsia="Times New Roman" w:hAnsi="Times New Roman"/>
                <w:sz w:val="17"/>
                <w:szCs w:val="17"/>
                <w:color w:val="242424"/>
              </w:rPr>
              <w:t>President of Ad Sales and Marketing for</w:t>
            </w:r>
          </w:p>
        </w:tc>
        <w:tc>
          <w:tcPr>
            <w:tcW w:w="94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Wingdings" w:cs="Wingdings" w:eastAsia="Wingdings" w:hAnsi="Wingdings"/>
                <w:sz w:val="17"/>
                <w:szCs w:val="17"/>
                <w:b w:val="1"/>
                <w:bCs w:val="1"/>
                <w:color w:val="242424"/>
                <w:w w:val="94"/>
              </w:rPr>
              <w:t>l</w:t>
            </w:r>
          </w:p>
        </w:tc>
        <w:tc>
          <w:tcPr>
            <w:tcW w:w="1080" w:type="dxa"/>
            <w:vAlign w:val="bottom"/>
            <w:vMerge w:val="restart"/>
          </w:tcPr>
          <w:p>
            <w:pPr>
              <w:jc w:val="center"/>
              <w:spacing w:after="0"/>
              <w:rPr>
                <w:sz w:val="20"/>
                <w:szCs w:val="20"/>
                <w:color w:val="auto"/>
              </w:rPr>
            </w:pPr>
            <w:r>
              <w:rPr>
                <w:rFonts w:ascii="Wingdings" w:cs="Wingdings" w:eastAsia="Wingdings" w:hAnsi="Wingdings"/>
                <w:sz w:val="17"/>
                <w:szCs w:val="17"/>
                <w:b w:val="1"/>
                <w:bCs w:val="1"/>
                <w:color w:val="242424"/>
                <w:w w:val="94"/>
              </w:rPr>
              <w:t>l</w:t>
            </w:r>
          </w:p>
        </w:tc>
        <w:tc>
          <w:tcPr>
            <w:tcW w:w="0" w:type="dxa"/>
            <w:vAlign w:val="bottom"/>
          </w:tcPr>
          <w:p>
            <w:pPr>
              <w:spacing w:after="0"/>
              <w:rPr>
                <w:sz w:val="1"/>
                <w:szCs w:val="1"/>
                <w:color w:val="auto"/>
              </w:rPr>
            </w:pPr>
          </w:p>
        </w:tc>
      </w:tr>
      <w:tr>
        <w:trPr>
          <w:trHeight w:val="143"/>
        </w:trPr>
        <w:tc>
          <w:tcPr>
            <w:tcW w:w="1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4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242424"/>
              </w:rPr>
              <w:t>Univision</w:t>
            </w:r>
          </w:p>
        </w:tc>
        <w:tc>
          <w:tcPr>
            <w:tcW w:w="9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B. Segall</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340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7"/>
                <w:szCs w:val="17"/>
                <w:color w:val="auto"/>
              </w:rPr>
              <w:t>Founder and Managing Director of Kidron</w:t>
            </w:r>
          </w:p>
        </w:tc>
        <w:tc>
          <w:tcPr>
            <w:tcW w:w="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34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Advisors LLC</w:t>
            </w: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7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0" w:type="dxa"/>
            <w:vAlign w:val="bottom"/>
            <w:vMerge w:val="continue"/>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242424"/>
              </w:rPr>
              <w:t>Mark Zoradi</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3400" w:type="dxa"/>
            <w:vAlign w:val="bottom"/>
          </w:tcPr>
          <w:p>
            <w:pPr>
              <w:ind w:left="120"/>
              <w:spacing w:after="0" w:line="170" w:lineRule="exact"/>
              <w:rPr>
                <w:sz w:val="20"/>
                <w:szCs w:val="20"/>
                <w:color w:val="auto"/>
              </w:rPr>
            </w:pPr>
            <w:r>
              <w:rPr>
                <w:rFonts w:ascii="Times New Roman" w:cs="Times New Roman" w:eastAsia="Times New Roman" w:hAnsi="Times New Roman"/>
                <w:sz w:val="17"/>
                <w:szCs w:val="17"/>
                <w:color w:val="auto"/>
              </w:rPr>
              <w:t>Member of the Board of Directors and</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4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Former CEO of Cinemark Holdings, Inc.</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-2339975</wp:posOffset>
            </wp:positionV>
            <wp:extent cx="7120255" cy="24949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0255" cy="2494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 A = Audit Committee, C = Compensation Committee, NG = Nominating and Governance Committee</w:t>
      </w:r>
    </w:p>
    <w:p>
      <w:pPr>
        <w:sectPr>
          <w:pgSz w:w="11900" w:h="16838" w:orient="portrait"/>
          <w:cols w:equalWidth="0" w:num="1">
            <w:col w:w="11200"/>
          </w:cols>
          <w:pgMar w:left="360" w:top="1014" w:right="339" w:bottom="1440" w:gutter="0" w:footer="0" w:header="0"/>
        </w:sect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David E. Glazek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2019</w:t>
      </w:r>
    </w:p>
    <w:p>
      <w:pPr>
        <w:spacing w:after="0"/>
        <w:rPr>
          <w:sz w:val="20"/>
          <w:szCs w:val="20"/>
          <w:color w:val="auto"/>
        </w:rPr>
      </w:pPr>
      <w:r>
        <w:rPr>
          <w:rFonts w:ascii="Times New Roman" w:cs="Times New Roman" w:eastAsia="Times New Roman" w:hAnsi="Times New Roman"/>
          <w:sz w:val="17"/>
          <w:szCs w:val="17"/>
          <w:i w:val="1"/>
          <w:iCs w:val="1"/>
          <w:color w:val="auto"/>
        </w:rPr>
        <w:t xml:space="preserve">Age: </w:t>
      </w:r>
      <w:r>
        <w:rPr>
          <w:rFonts w:ascii="Times New Roman" w:cs="Times New Roman" w:eastAsia="Times New Roman" w:hAnsi="Times New Roman"/>
          <w:sz w:val="17"/>
          <w:szCs w:val="17"/>
          <w:color w:val="auto"/>
        </w:rPr>
        <w:t>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Committees:</w:t>
      </w:r>
    </w:p>
    <w:p>
      <w:pPr>
        <w:spacing w:after="0" w:line="219" w:lineRule="auto"/>
        <w:rPr>
          <w:sz w:val="20"/>
          <w:szCs w:val="20"/>
          <w:color w:val="auto"/>
        </w:rPr>
      </w:pPr>
      <w:r>
        <w:rPr>
          <w:rFonts w:ascii="Times New Roman" w:cs="Times New Roman" w:eastAsia="Times New Roman" w:hAnsi="Times New Roman"/>
          <w:sz w:val="17"/>
          <w:szCs w:val="17"/>
          <w:color w:val="auto"/>
        </w:rPr>
        <w:t>Compensation</w:t>
      </w:r>
    </w:p>
    <w:p>
      <w:pPr>
        <w:spacing w:after="0" w:line="209" w:lineRule="auto"/>
        <w:rPr>
          <w:sz w:val="20"/>
          <w:szCs w:val="20"/>
          <w:color w:val="auto"/>
        </w:rPr>
      </w:pPr>
      <w:r>
        <w:rPr>
          <w:rFonts w:ascii="Times New Roman" w:cs="Times New Roman" w:eastAsia="Times New Roman" w:hAnsi="Times New Roman"/>
          <w:sz w:val="17"/>
          <w:szCs w:val="17"/>
          <w:color w:val="auto"/>
        </w:rPr>
        <w:t>Nominating and Governance -</w:t>
      </w:r>
    </w:p>
    <w:p>
      <w:pPr>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7"/>
          <w:szCs w:val="17"/>
          <w:color w:val="auto"/>
        </w:rPr>
        <w:t>Mr. Glazek has over 15 years of experience investing in distressed, special situations and private credit strategies, including as a Partner and Portfolio Manager of Standard General, LP. from 2008-2023. He also serves as Executive Chairman of Turning Point Brands, Inc., a Director of Workers Benefit Consortium, Inc., and an Adjunct Professor at Columbia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-413385</wp:posOffset>
            </wp:positionV>
            <wp:extent cx="7120255" cy="147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0255" cy="1475740"/>
                    </a:xfrm>
                    <a:prstGeom prst="rect">
                      <a:avLst/>
                    </a:prstGeom>
                    <a:noFill/>
                  </pic:spPr>
                </pic:pic>
              </a:graphicData>
            </a:graphic>
          </wp:anchor>
        </w:drawing>
      </w:r>
    </w:p>
    <w:p>
      <w:pPr>
        <w:ind w:right="220"/>
        <w:spacing w:after="0" w:line="213" w:lineRule="auto"/>
        <w:rPr>
          <w:sz w:val="20"/>
          <w:szCs w:val="20"/>
          <w:color w:val="auto"/>
        </w:rPr>
      </w:pPr>
      <w:r>
        <w:rPr>
          <w:rFonts w:ascii="Times New Roman" w:cs="Times New Roman" w:eastAsia="Times New Roman" w:hAnsi="Times New Roman"/>
          <w:sz w:val="17"/>
          <w:szCs w:val="17"/>
          <w:color w:val="auto"/>
        </w:rPr>
        <w:t>School. He previously worked at Lazard Freres &amp; Co, where he focused on mergers and acquisitions and corporate debt restructuring. He has also worked at the Blackstone Group. Throughout his career he has served on numerous public and private company boards of directors. Mr. Glazek holds a Bachelor of Arts from the University of Michigan and a J.D.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Columbia Law School.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83"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7"/>
          <w:szCs w:val="17"/>
          <w:color w:val="auto"/>
        </w:rPr>
        <w:t>Mr. Glazek’s extensive experience overseeing the operations of public and private companies, as well as his deep capital markets, legal, governance, transactional, and restructuring expertise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128905</wp:posOffset>
            </wp:positionV>
            <wp:extent cx="7120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20"/>
            <w:col w:w="8780"/>
          </w:cols>
          <w:pgMar w:left="360" w:top="1014"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Lawrence A.</w:t>
      </w:r>
    </w:p>
    <w:p>
      <w:pPr>
        <w:spacing w:after="0" w:line="227" w:lineRule="auto"/>
        <w:rPr>
          <w:sz w:val="20"/>
          <w:szCs w:val="20"/>
          <w:color w:val="auto"/>
        </w:rPr>
      </w:pPr>
      <w:r>
        <w:rPr>
          <w:rFonts w:ascii="Times New Roman" w:cs="Times New Roman" w:eastAsia="Times New Roman" w:hAnsi="Times New Roman"/>
          <w:sz w:val="24"/>
          <w:szCs w:val="24"/>
          <w:b w:val="1"/>
          <w:bCs w:val="1"/>
          <w:color w:val="auto"/>
        </w:rPr>
        <w:t>Goodman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2007</w:t>
      </w:r>
    </w:p>
    <w:p>
      <w:pPr>
        <w:spacing w:after="0"/>
        <w:rPr>
          <w:sz w:val="20"/>
          <w:szCs w:val="20"/>
          <w:color w:val="auto"/>
        </w:rPr>
      </w:pPr>
      <w:r>
        <w:rPr>
          <w:rFonts w:ascii="Times New Roman" w:cs="Times New Roman" w:eastAsia="Times New Roman" w:hAnsi="Times New Roman"/>
          <w:sz w:val="17"/>
          <w:szCs w:val="17"/>
          <w:i w:val="1"/>
          <w:iCs w:val="1"/>
          <w:color w:val="auto"/>
        </w:rPr>
        <w:t>Age: 69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Committees:</w:t>
      </w:r>
    </w:p>
    <w:p>
      <w:pPr>
        <w:spacing w:after="0" w:line="208" w:lineRule="auto"/>
        <w:rPr>
          <w:sz w:val="20"/>
          <w:szCs w:val="20"/>
          <w:color w:val="auto"/>
        </w:rPr>
      </w:pPr>
      <w:r>
        <w:rPr>
          <w:rFonts w:ascii="Times New Roman" w:cs="Times New Roman" w:eastAsia="Times New Roman" w:hAnsi="Times New Roman"/>
          <w:sz w:val="17"/>
          <w:szCs w:val="17"/>
          <w:color w:val="auto"/>
        </w:rPr>
        <w:t>Audit</w:t>
      </w:r>
    </w:p>
    <w:p>
      <w:pPr>
        <w:spacing w:after="0"/>
        <w:rPr>
          <w:sz w:val="20"/>
          <w:szCs w:val="20"/>
          <w:color w:val="auto"/>
        </w:rPr>
      </w:pPr>
      <w:r>
        <w:rPr>
          <w:rFonts w:ascii="Times New Roman" w:cs="Times New Roman" w:eastAsia="Times New Roman" w:hAnsi="Times New Roman"/>
          <w:sz w:val="17"/>
          <w:szCs w:val="17"/>
          <w:color w:val="auto"/>
        </w:rPr>
        <w:t>Compensation - Chair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Goodman has been a media and advertising consultant since 2015, including founding and serving as CEO of Newfound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-194945</wp:posOffset>
            </wp:positionV>
            <wp:extent cx="7120255" cy="14839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0255" cy="1483995"/>
                    </a:xfrm>
                    <a:prstGeom prst="rect">
                      <a:avLst/>
                    </a:prstGeom>
                    <a:noFill/>
                  </pic:spPr>
                </pic:pic>
              </a:graphicData>
            </a:graphic>
          </wp:anchor>
        </w:drawing>
      </w:r>
    </w:p>
    <w:p>
      <w:pPr>
        <w:ind w:right="80"/>
        <w:spacing w:after="0" w:line="213" w:lineRule="auto"/>
        <w:rPr>
          <w:sz w:val="20"/>
          <w:szCs w:val="20"/>
          <w:color w:val="auto"/>
        </w:rPr>
      </w:pPr>
      <w:r>
        <w:rPr>
          <w:rFonts w:ascii="Times New Roman" w:cs="Times New Roman" w:eastAsia="Times New Roman" w:hAnsi="Times New Roman"/>
          <w:sz w:val="17"/>
          <w:szCs w:val="17"/>
          <w:color w:val="auto"/>
        </w:rPr>
        <w:t>Frontier, LLC, a provider of media and advertising consulting and advisory services, since its inception in 2019. Mr. Goodman also founded White Mountain Media, a media consulting company, in July 2004 and served as its president since inception until 2015. From July 2003 to July 2004, Mr. Goodman was retired. From March 1995 to July 2003, Mr. Goodman</w:t>
      </w:r>
    </w:p>
    <w:p>
      <w:pPr>
        <w:spacing w:after="0" w:line="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was the President of Sales and Marketing for CNN, a division of Turner Broadcasting System, Inc. Mr. Goodman also serves on three private company boards.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96" w:lineRule="exact"/>
        <w:rPr>
          <w:sz w:val="20"/>
          <w:szCs w:val="20"/>
          <w:color w:val="auto"/>
        </w:rPr>
      </w:pPr>
    </w:p>
    <w:p>
      <w:pPr>
        <w:jc w:val="both"/>
        <w:ind w:right="200"/>
        <w:spacing w:after="0" w:line="231" w:lineRule="auto"/>
        <w:rPr>
          <w:sz w:val="20"/>
          <w:szCs w:val="20"/>
          <w:color w:val="auto"/>
        </w:rPr>
      </w:pPr>
      <w:r>
        <w:rPr>
          <w:rFonts w:ascii="Times New Roman" w:cs="Times New Roman" w:eastAsia="Times New Roman" w:hAnsi="Times New Roman"/>
          <w:sz w:val="17"/>
          <w:szCs w:val="17"/>
          <w:color w:val="auto"/>
        </w:rPr>
        <w:t>Mr. Goodman’s extensive background in the media industry allows him to provide media sales and marketing advice to our management and Board. Mr. Goodman brings significant business experience to provide strategies and solutions to resolve the issues addressed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51435</wp:posOffset>
            </wp:positionV>
            <wp:extent cx="7120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8780"/>
          </w:cols>
          <w:pgMar w:left="360" w:top="10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73660</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014"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4"/>
          <w:szCs w:val="24"/>
          <w:b w:val="1"/>
          <w:bCs w:val="1"/>
          <w:color w:val="auto"/>
        </w:rPr>
        <w:t>Kurt C. 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2019</w:t>
      </w:r>
    </w:p>
    <w:p>
      <w:pPr>
        <w:spacing w:after="0"/>
        <w:rPr>
          <w:sz w:val="20"/>
          <w:szCs w:val="20"/>
          <w:color w:val="auto"/>
        </w:rPr>
      </w:pPr>
      <w:r>
        <w:rPr>
          <w:rFonts w:ascii="Times New Roman" w:cs="Times New Roman" w:eastAsia="Times New Roman" w:hAnsi="Times New Roman"/>
          <w:sz w:val="17"/>
          <w:szCs w:val="17"/>
          <w:i w:val="1"/>
          <w:iCs w:val="1"/>
          <w:color w:val="auto"/>
        </w:rPr>
        <w:t xml:space="preserve">Age: </w:t>
      </w:r>
      <w:r>
        <w:rPr>
          <w:rFonts w:ascii="Times New Roman" w:cs="Times New Roman" w:eastAsia="Times New Roman" w:hAnsi="Times New Roman"/>
          <w:sz w:val="17"/>
          <w:szCs w:val="17"/>
          <w:color w:val="auto"/>
        </w:rPr>
        <w:t>64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Committees:</w:t>
      </w:r>
    </w:p>
    <w:p>
      <w:pPr>
        <w:spacing w:after="0" w:line="208" w:lineRule="auto"/>
        <w:rPr>
          <w:sz w:val="20"/>
          <w:szCs w:val="20"/>
          <w:color w:val="auto"/>
        </w:rPr>
      </w:pPr>
      <w:r>
        <w:rPr>
          <w:rFonts w:ascii="Times New Roman" w:cs="Times New Roman" w:eastAsia="Times New Roman" w:hAnsi="Times New Roman"/>
          <w:sz w:val="17"/>
          <w:szCs w:val="17"/>
          <w:color w:val="auto"/>
        </w:rPr>
        <w:t>Audit</w:t>
      </w:r>
    </w:p>
    <w:p>
      <w:pPr>
        <w:spacing w:after="0"/>
        <w:rPr>
          <w:sz w:val="20"/>
          <w:szCs w:val="20"/>
          <w:color w:val="auto"/>
        </w:rPr>
      </w:pPr>
      <w:r>
        <w:rPr>
          <w:rFonts w:ascii="Times New Roman" w:cs="Times New Roman" w:eastAsia="Times New Roman" w:hAnsi="Times New Roman"/>
          <w:sz w:val="17"/>
          <w:szCs w:val="17"/>
          <w:color w:val="auto"/>
        </w:rPr>
        <w:t>Compensation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7"/>
          <w:szCs w:val="17"/>
          <w:color w:val="auto"/>
        </w:rPr>
        <w:t>Mr. Hall previously served as the Company's President, Chief Executive Officer and Chairman from 2007 until his retirement in January 2016, and he held the same positions at NCM LLC from March 2005 until 2007. Prior to this, from May 2002 to May 2005, Mr. Hall served as Co-Chairman and Co-Chief Executive Officer of Regal Entertainment Group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-405130</wp:posOffset>
            </wp:positionV>
            <wp:extent cx="7120255" cy="16160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0255" cy="1616075"/>
                    </a:xfrm>
                    <a:prstGeom prst="rect">
                      <a:avLst/>
                    </a:prstGeom>
                    <a:noFill/>
                  </pic:spPr>
                </pic:pic>
              </a:graphicData>
            </a:graphic>
          </wp:anchor>
        </w:drawing>
      </w:r>
    </w:p>
    <w:p>
      <w:pPr>
        <w:ind w:right="360"/>
        <w:spacing w:after="0" w:line="231" w:lineRule="auto"/>
        <w:rPr>
          <w:sz w:val="20"/>
          <w:szCs w:val="20"/>
          <w:color w:val="auto"/>
        </w:rPr>
      </w:pPr>
      <w:r>
        <w:rPr>
          <w:rFonts w:ascii="Times New Roman" w:cs="Times New Roman" w:eastAsia="Times New Roman" w:hAnsi="Times New Roman"/>
          <w:sz w:val="17"/>
          <w:szCs w:val="17"/>
          <w:color w:val="auto"/>
        </w:rPr>
        <w:t>and Chief Executive Officer of its media subsidiary and NCM predecessor, Regal CineMedia Corporation. Mr. Hall also serves on the board of two private companies.</w:t>
      </w:r>
    </w:p>
    <w:p>
      <w:pPr>
        <w:spacing w:after="0" w:line="34"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7"/>
          <w:szCs w:val="17"/>
          <w:color w:val="auto"/>
        </w:rPr>
        <w:t>Previously, Mr. Hall has held various executive positions with United Artist Theatre Company, and its predecessor companies, including Chief Financial Officer and then Chief Executive Officer when it became part of Regal Entertainment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 in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8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Mr. Hall's extensive background with the Company and our business allows him to provide sales and management advice to our management and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21590</wp:posOffset>
            </wp:positionV>
            <wp:extent cx="7120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8740"/>
          </w:cols>
          <w:pgMar w:left="360" w:top="1000" w:right="37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Juliana F. Hill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2020</w:t>
      </w:r>
    </w:p>
    <w:p>
      <w:pPr>
        <w:spacing w:after="0"/>
        <w:rPr>
          <w:sz w:val="20"/>
          <w:szCs w:val="20"/>
          <w:color w:val="auto"/>
        </w:rPr>
      </w:pPr>
      <w:r>
        <w:rPr>
          <w:rFonts w:ascii="Times New Roman" w:cs="Times New Roman" w:eastAsia="Times New Roman" w:hAnsi="Times New Roman"/>
          <w:sz w:val="17"/>
          <w:szCs w:val="17"/>
          <w:i w:val="1"/>
          <w:iCs w:val="1"/>
          <w:color w:val="auto"/>
        </w:rPr>
        <w:t xml:space="preserve">Age: </w:t>
      </w:r>
      <w:r>
        <w:rPr>
          <w:rFonts w:ascii="Times New Roman" w:cs="Times New Roman" w:eastAsia="Times New Roman" w:hAnsi="Times New Roman"/>
          <w:sz w:val="17"/>
          <w:szCs w:val="17"/>
          <w:color w:val="auto"/>
        </w:rPr>
        <w:t>54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 Chair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Hill is the owner of JFH Consulting, which she founded in 2013 to provide financial and strategic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-178435</wp:posOffset>
            </wp:positionV>
            <wp:extent cx="7120255" cy="1682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0255" cy="1682750"/>
                    </a:xfrm>
                    <a:prstGeom prst="rect">
                      <a:avLst/>
                    </a:prstGeom>
                    <a:noFill/>
                  </pic:spPr>
                </pic:pic>
              </a:graphicData>
            </a:graphic>
          </wp:anchor>
        </w:drawing>
      </w:r>
    </w:p>
    <w:p>
      <w:pPr>
        <w:ind w:right="60"/>
        <w:spacing w:after="0" w:line="213" w:lineRule="auto"/>
        <w:rPr>
          <w:sz w:val="20"/>
          <w:szCs w:val="20"/>
          <w:color w:val="auto"/>
        </w:rPr>
      </w:pPr>
      <w:r>
        <w:rPr>
          <w:rFonts w:ascii="Times New Roman" w:cs="Times New Roman" w:eastAsia="Times New Roman" w:hAnsi="Times New Roman"/>
          <w:sz w:val="17"/>
          <w:szCs w:val="17"/>
          <w:color w:val="auto"/>
        </w:rPr>
        <w:t>From 2013 to 2019, Ms. Hill worked at iHeartMedia, Inc., formerly Clear Channel Communications, Inc., as the Senior Vice President of Liquidity and Asset Management, and also led a steering committee for the separation of iHeartMedia's subsidiary, Clear Channel Outdoor Holdings. Prior to this, from 2000 to 2010, she worked as iHeartMedia’s Senior 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of Finance. Ms. Hill also serves on the board of one public company.</w:t>
      </w:r>
    </w:p>
    <w:p>
      <w:pPr>
        <w:spacing w:after="0" w:line="4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7"/>
          <w:szCs w:val="17"/>
          <w:color w:val="auto"/>
        </w:rPr>
        <w:t>Previously, Ms. Hill was an associate in US West Communications, Inc.’s executive development program and an audit manager at Ernst &amp; Young LLP.</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8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Ms. Hill's experience as a financial executive in a media company qualifies her to serve on our Board of Directors and as chairperson of our Audit Committee and to provide guidance to our internal audit function and financial advice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120650</wp:posOffset>
            </wp:positionV>
            <wp:extent cx="7120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8740"/>
          </w:cols>
          <w:pgMar w:left="360" w:top="1000" w:right="37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Thomas F. Lesinski</w:t>
      </w:r>
    </w:p>
    <w:p>
      <w:pPr>
        <w:spacing w:after="0" w:line="25"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i w:val="1"/>
          <w:iCs w:val="1"/>
          <w:color w:val="auto"/>
        </w:rPr>
        <w:t>Chief Executive Officer and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2014</w:t>
      </w:r>
    </w:p>
    <w:p>
      <w:pPr>
        <w:spacing w:after="0"/>
        <w:rPr>
          <w:sz w:val="20"/>
          <w:szCs w:val="20"/>
          <w:color w:val="auto"/>
        </w:rPr>
      </w:pPr>
      <w:r>
        <w:rPr>
          <w:rFonts w:ascii="Times New Roman" w:cs="Times New Roman" w:eastAsia="Times New Roman" w:hAnsi="Times New Roman"/>
          <w:sz w:val="17"/>
          <w:szCs w:val="17"/>
          <w:color w:val="auto"/>
        </w:rPr>
        <w:t>Age: 63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Lesinski was appointed the Chief Executive Officer of NCM effective August 2, 2019. Previously, he served as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-194945</wp:posOffset>
            </wp:positionV>
            <wp:extent cx="7120255" cy="25444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20255" cy="2544445"/>
                    </a:xfrm>
                    <a:prstGeom prst="rect">
                      <a:avLst/>
                    </a:prstGeom>
                    <a:noFill/>
                  </pic:spPr>
                </pic:pic>
              </a:graphicData>
            </a:graphic>
          </wp:anchor>
        </w:drawing>
      </w:r>
    </w:p>
    <w:p>
      <w:pPr>
        <w:ind w:right="20"/>
        <w:spacing w:after="0" w:line="213" w:lineRule="auto"/>
        <w:rPr>
          <w:sz w:val="20"/>
          <w:szCs w:val="20"/>
          <w:color w:val="auto"/>
        </w:rPr>
      </w:pPr>
      <w:r>
        <w:rPr>
          <w:rFonts w:ascii="Times New Roman" w:cs="Times New Roman" w:eastAsia="Times New Roman" w:hAnsi="Times New Roman"/>
          <w:sz w:val="17"/>
          <w:szCs w:val="17"/>
          <w:color w:val="auto"/>
        </w:rPr>
        <w:t>Executive Officer of Sonar Entertainment, an independent entertainment studio from January 2016 to August 2019 and a member of its Board until February 2020. Mr. Lesinski served as the founder and CEO of Energi Entertainment, a multi-media content production company, from August 2014 until December 2015. From 2013 to 2014, Mr. Lesinski was President</w:t>
      </w:r>
    </w:p>
    <w:p>
      <w:pPr>
        <w:spacing w:after="0" w:line="2" w:lineRule="exact"/>
        <w:rPr>
          <w:sz w:val="20"/>
          <w:szCs w:val="20"/>
          <w:color w:val="auto"/>
        </w:rPr>
      </w:pPr>
    </w:p>
    <w:p>
      <w:pPr>
        <w:jc w:val="both"/>
        <w:ind w:right="200"/>
        <w:spacing w:after="0" w:line="213" w:lineRule="auto"/>
        <w:rPr>
          <w:sz w:val="20"/>
          <w:szCs w:val="20"/>
          <w:color w:val="auto"/>
        </w:rPr>
      </w:pPr>
      <w:r>
        <w:rPr>
          <w:rFonts w:ascii="Times New Roman" w:cs="Times New Roman" w:eastAsia="Times New Roman" w:hAnsi="Times New Roman"/>
          <w:sz w:val="17"/>
          <w:szCs w:val="17"/>
          <w:color w:val="auto"/>
        </w:rPr>
        <w:t>of Digital Content and Distribution at Legendary Entertainment, a leading media company dedicated to owning, producing and delivering content to mainstream audiences with a targeted focus on the fandom demographic. Prior to that role, from 2006 to 2013, Mr. Lesinski served as President, Digital Entertainment at Paramount Pictures, a global producer and</w:t>
      </w:r>
    </w:p>
    <w:p>
      <w:pPr>
        <w:spacing w:after="0" w:line="2" w:lineRule="exact"/>
        <w:rPr>
          <w:sz w:val="20"/>
          <w:szCs w:val="20"/>
          <w:color w:val="auto"/>
        </w:rPr>
      </w:pPr>
    </w:p>
    <w:p>
      <w:pPr>
        <w:jc w:val="both"/>
        <w:ind w:right="120"/>
        <w:spacing w:after="0" w:line="223" w:lineRule="auto"/>
        <w:rPr>
          <w:sz w:val="20"/>
          <w:szCs w:val="20"/>
          <w:color w:val="auto"/>
        </w:rPr>
      </w:pPr>
      <w:r>
        <w:rPr>
          <w:rFonts w:ascii="Times New Roman" w:cs="Times New Roman" w:eastAsia="Times New Roman" w:hAnsi="Times New Roman"/>
          <w:sz w:val="17"/>
          <w:szCs w:val="17"/>
          <w:color w:val="auto"/>
        </w:rPr>
        <w:t>distributor of filmed entertainment. Mr. Lesinski also served as President of Worldwide Home Entertainment at Paramount Pictures for three years, prior to which, he spent ten years in various leadership positions at Warner Bros. Entertainment and was a Managing Director for an advertising agency.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Lesinski served as Non-Employee Chairman from August 1, 2018 to August 1, 2019.</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96" w:lineRule="exact"/>
        <w:rPr>
          <w:sz w:val="20"/>
          <w:szCs w:val="20"/>
          <w:color w:val="auto"/>
        </w:rPr>
      </w:pPr>
    </w:p>
    <w:p>
      <w:pPr>
        <w:jc w:val="both"/>
        <w:ind w:right="120"/>
        <w:spacing w:after="0" w:line="221" w:lineRule="auto"/>
        <w:rPr>
          <w:sz w:val="20"/>
          <w:szCs w:val="20"/>
          <w:color w:val="auto"/>
        </w:rPr>
      </w:pPr>
      <w:r>
        <w:rPr>
          <w:rFonts w:ascii="Times New Roman" w:cs="Times New Roman" w:eastAsia="Times New Roman" w:hAnsi="Times New Roman"/>
          <w:sz w:val="17"/>
          <w:szCs w:val="17"/>
          <w:color w:val="auto"/>
        </w:rPr>
        <w:t>Mr. Lesinski’s experience in home entertainment and digital media gives him the experience to critically review the various business considerations necessary to run a business such as ours and offers a valuable perspective as the media marketplace becomes more competitive, particularly with the growth of online and mobile advertising platforms. Mr. Lesinski's previous</w:t>
      </w:r>
    </w:p>
    <w:p>
      <w:pPr>
        <w:spacing w:after="0" w:line="2" w:lineRule="exact"/>
        <w:rPr>
          <w:sz w:val="20"/>
          <w:szCs w:val="20"/>
          <w:color w:val="auto"/>
        </w:rPr>
      </w:pPr>
    </w:p>
    <w:p>
      <w:pPr>
        <w:ind w:right="580"/>
        <w:spacing w:after="0" w:line="231" w:lineRule="auto"/>
        <w:rPr>
          <w:sz w:val="20"/>
          <w:szCs w:val="20"/>
          <w:color w:val="auto"/>
        </w:rPr>
      </w:pPr>
      <w:r>
        <w:rPr>
          <w:rFonts w:ascii="Times New Roman" w:cs="Times New Roman" w:eastAsia="Times New Roman" w:hAnsi="Times New Roman"/>
          <w:sz w:val="17"/>
          <w:szCs w:val="17"/>
          <w:color w:val="auto"/>
        </w:rPr>
        <w:t>experience as a Chief Executive Officer and current role as the Company's Chief Executive Officer provides valuable perspective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99695</wp:posOffset>
            </wp:positionV>
            <wp:extent cx="7120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400"/>
            <w:col w:w="8760"/>
          </w:cols>
          <w:pgMar w:left="360" w:top="1000" w:right="379" w:bottom="1440" w:gutter="0" w:footer="0" w:header="0"/>
          <w:type w:val="continuous"/>
        </w:sectPr>
      </w:pP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Donna Reisman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2019</w:t>
      </w:r>
    </w:p>
    <w:p>
      <w:pPr>
        <w:ind w:left="20"/>
        <w:spacing w:after="0"/>
        <w:rPr>
          <w:sz w:val="20"/>
          <w:szCs w:val="20"/>
          <w:color w:val="auto"/>
        </w:rPr>
      </w:pPr>
      <w:r>
        <w:rPr>
          <w:rFonts w:ascii="Times New Roman" w:cs="Times New Roman" w:eastAsia="Times New Roman" w:hAnsi="Times New Roman"/>
          <w:sz w:val="17"/>
          <w:szCs w:val="17"/>
          <w:i w:val="1"/>
          <w:iCs w:val="1"/>
          <w:color w:val="auto"/>
        </w:rPr>
        <w:t>Age: 60</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Committees:</w:t>
      </w:r>
    </w:p>
    <w:p>
      <w:pPr>
        <w:ind w:left="20"/>
        <w:spacing w:after="0" w:line="208" w:lineRule="auto"/>
        <w:rPr>
          <w:sz w:val="20"/>
          <w:szCs w:val="20"/>
          <w:color w:val="auto"/>
        </w:rPr>
      </w:pPr>
      <w:r>
        <w:rPr>
          <w:rFonts w:ascii="Times New Roman" w:cs="Times New Roman" w:eastAsia="Times New Roman" w:hAnsi="Times New Roman"/>
          <w:sz w:val="17"/>
          <w:szCs w:val="17"/>
          <w:color w:val="auto"/>
        </w:rPr>
        <w:t>Compensation</w:t>
      </w:r>
    </w:p>
    <w:p>
      <w:pPr>
        <w:ind w:left="20"/>
        <w:spacing w:after="0"/>
        <w:rPr>
          <w:sz w:val="20"/>
          <w:szCs w:val="20"/>
          <w:color w:val="auto"/>
        </w:rPr>
      </w:pPr>
      <w:r>
        <w:rPr>
          <w:rFonts w:ascii="Times New Roman" w:cs="Times New Roman" w:eastAsia="Times New Roman" w:hAnsi="Times New Roman"/>
          <w:sz w:val="17"/>
          <w:szCs w:val="17"/>
          <w:color w:val="auto"/>
        </w:rPr>
        <w:t>Nominating and Governance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7"/>
          <w:szCs w:val="17"/>
          <w:color w:val="auto"/>
        </w:rPr>
        <w:t>Ms. Reisman, also known as Ms. Speciale, is currently the President of Ad Sales and Marketing for Univision. Ms. Reisman was the president of WarnerMedia from 2014 to 2019, where she oversaw advertising revenue for Turner Broadcasting’s domestic television and digital entertainment, news, kids and young adult brands. She previously served as the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-405130</wp:posOffset>
            </wp:positionV>
            <wp:extent cx="7087235" cy="1326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87235" cy="1326515"/>
                    </a:xfrm>
                    <a:prstGeom prst="rect">
                      <a:avLst/>
                    </a:prstGeom>
                    <a:noFill/>
                  </pic:spPr>
                </pic:pic>
              </a:graphicData>
            </a:graphic>
          </wp:anchor>
        </w:drawing>
      </w:r>
    </w:p>
    <w:p>
      <w:pPr>
        <w:ind w:right="280"/>
        <w:spacing w:after="0" w:line="223" w:lineRule="auto"/>
        <w:rPr>
          <w:sz w:val="20"/>
          <w:szCs w:val="20"/>
          <w:color w:val="auto"/>
        </w:rPr>
      </w:pPr>
      <w:r>
        <w:rPr>
          <w:rFonts w:ascii="Times New Roman" w:cs="Times New Roman" w:eastAsia="Times New Roman" w:hAnsi="Times New Roman"/>
          <w:sz w:val="17"/>
          <w:szCs w:val="17"/>
          <w:color w:val="auto"/>
        </w:rPr>
        <w:t>Turner Entertainment and Young Adult Ad Sales from 2012 to 2014. Prior to that role, she was President, Investment &amp; Activation and Agency Operations at MediaVest Worldwide from 2003 to 2012. Ms. Reisman also serves on a number of private company boards.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7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7"/>
          <w:szCs w:val="17"/>
          <w:color w:val="auto"/>
        </w:rPr>
        <w:t>Ms. Reisman’s extensive experience in the media and advertising industry allows her to provide media strategy, sales and marketing advice to the Company's management and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54610</wp:posOffset>
            </wp:positionV>
            <wp:extent cx="70872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8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0"/>
            <w:col w:w="8720"/>
          </w:cols>
          <w:pgMar w:left="360" w:top="100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73660</wp:posOffset>
            </wp:positionV>
            <wp:extent cx="716216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60" w:top="1000" w:right="379"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24"/>
          <w:szCs w:val="24"/>
          <w:b w:val="1"/>
          <w:bCs w:val="1"/>
          <w:color w:val="auto"/>
        </w:rPr>
        <w:t>Mark B. Segall</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2018</w:t>
      </w:r>
    </w:p>
    <w:p>
      <w:pPr>
        <w:ind w:left="60"/>
        <w:spacing w:after="0"/>
        <w:rPr>
          <w:sz w:val="20"/>
          <w:szCs w:val="20"/>
          <w:color w:val="auto"/>
        </w:rPr>
      </w:pPr>
      <w:r>
        <w:rPr>
          <w:rFonts w:ascii="Times New Roman" w:cs="Times New Roman" w:eastAsia="Times New Roman" w:hAnsi="Times New Roman"/>
          <w:sz w:val="17"/>
          <w:szCs w:val="17"/>
          <w:i w:val="1"/>
          <w:iCs w:val="1"/>
          <w:color w:val="auto"/>
        </w:rPr>
        <w:t>Age: 60</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Committees:</w:t>
      </w:r>
    </w:p>
    <w:p>
      <w:pPr>
        <w:ind w:left="6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7"/>
          <w:szCs w:val="17"/>
          <w:color w:val="auto"/>
        </w:rPr>
        <w:t>Mr. Segall is the owner and Managing Director of Kidron Corporate Advisors LLC, a New York based mergers and acquisitions corporate advisory boutique founded in 2003, and has been the CEO of Kidron Capital Advisors LLC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-306705</wp:posOffset>
            </wp:positionV>
            <wp:extent cx="7087235" cy="1682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7235" cy="1682750"/>
                    </a:xfrm>
                    <a:prstGeom prst="rect">
                      <a:avLst/>
                    </a:prstGeom>
                    <a:noFill/>
                  </pic:spPr>
                </pic:pic>
              </a:graphicData>
            </a:graphic>
          </wp:anchor>
        </w:drawing>
      </w:r>
    </w:p>
    <w:p>
      <w:pPr>
        <w:ind w:right="20"/>
        <w:spacing w:after="0" w:line="213" w:lineRule="auto"/>
        <w:rPr>
          <w:sz w:val="20"/>
          <w:szCs w:val="20"/>
          <w:color w:val="auto"/>
        </w:rPr>
      </w:pPr>
      <w:r>
        <w:rPr>
          <w:rFonts w:ascii="Times New Roman" w:cs="Times New Roman" w:eastAsia="Times New Roman" w:hAnsi="Times New Roman"/>
          <w:sz w:val="17"/>
          <w:szCs w:val="17"/>
          <w:color w:val="auto"/>
        </w:rPr>
        <w:t>2009. Previously, he served as the Co-Chief Executive Officer of Investec, Inc., an asset management company, from 2001 to 2003, following his role as Investec Inc.’s head of investment banking and general counsel. Prior to that, he was a partner at the law firm of Kramer, Levin, Naftalis &amp; Frankel LLP, specializing in cross-border mergers and acquisitions and capital</w:t>
      </w:r>
    </w:p>
    <w:p>
      <w:pPr>
        <w:spacing w:after="0" w:line="2"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markets activities. Mr. Segall serves as a director of Bel Fuse, Inc. (2011 to present). In the past five years he has served on other public company boards including: Ronson Europe N.V. (2008 to 2017) and Temco Service Industries, Inc. (2011 to 2016). Mr. Segall also serves on a number of private company boards.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spacing w:after="0" w:line="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Mr. Segall’s two decades of board leadership experience at both public and private companies, gives him the ability to offer guidance to the Company and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21590</wp:posOffset>
            </wp:positionV>
            <wp:extent cx="70872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640"/>
          </w:cols>
          <w:pgMar w:left="320" w:top="1000" w:right="459" w:bottom="1440" w:gutter="0" w:footer="0" w:header="0"/>
        </w:sectPr>
      </w:pP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Mark Zoradi</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 xml:space="preserve">Director Since: </w:t>
      </w:r>
      <w:r>
        <w:rPr>
          <w:rFonts w:ascii="Times New Roman" w:cs="Times New Roman" w:eastAsia="Times New Roman" w:hAnsi="Times New Roman"/>
          <w:sz w:val="17"/>
          <w:szCs w:val="17"/>
          <w:color w:val="auto"/>
        </w:rPr>
        <w:t>2021</w:t>
      </w:r>
    </w:p>
    <w:p>
      <w:pPr>
        <w:ind w:left="60"/>
        <w:spacing w:after="0"/>
        <w:rPr>
          <w:sz w:val="20"/>
          <w:szCs w:val="20"/>
          <w:color w:val="auto"/>
        </w:rPr>
      </w:pPr>
      <w:r>
        <w:rPr>
          <w:rFonts w:ascii="Times New Roman" w:cs="Times New Roman" w:eastAsia="Times New Roman" w:hAnsi="Times New Roman"/>
          <w:sz w:val="17"/>
          <w:szCs w:val="17"/>
          <w:i w:val="1"/>
          <w:iCs w:val="1"/>
          <w:color w:val="auto"/>
        </w:rPr>
        <w:t>Age: 69</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Committees: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17"/>
          <w:szCs w:val="17"/>
          <w:color w:val="auto"/>
        </w:rPr>
        <w:t>Mr. Zoradi served as CEO of Cinemark Holdings, Inc. from August 2015 to December 2021 and a director on the Board of Cinemark Holdings, Inc. from August 2015 to the present. Mr. Zoradi spent 30 years at The Walt Disney Company, a major motion picture studio, including serving as the President of Walt Disney Studios Motion Picture Group. Prior to that,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-413385</wp:posOffset>
            </wp:positionV>
            <wp:extent cx="7087235" cy="1807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87235" cy="180721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Zoradi served in a variety of positions of increasing responsibility with The Walt Disney Company, including as the General Manager of Buena Vista Television and President of Buena Vista International with responsibility for the international theatrical and home entertainment marketing and distribution of Disney, Touchstone and Pixar films. Mr. Zoradi also served</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color w:val="auto"/>
        </w:rPr>
        <w:t>as the President and Chief Operating Officer (COO) of Dick Cook Studios from January 2011 until July 2014 and the COO of DreamWorks Animation SKG, Inc. from August 2014 until January 2015.</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Qualifications:</w:t>
      </w:r>
    </w:p>
    <w:p>
      <w:pPr>
        <w:ind w:right="160"/>
        <w:spacing w:after="0" w:line="239" w:lineRule="auto"/>
        <w:rPr>
          <w:sz w:val="20"/>
          <w:szCs w:val="20"/>
          <w:color w:val="auto"/>
        </w:rPr>
      </w:pPr>
      <w:r>
        <w:rPr>
          <w:rFonts w:ascii="Times New Roman" w:cs="Times New Roman" w:eastAsia="Times New Roman" w:hAnsi="Times New Roman"/>
          <w:sz w:val="17"/>
          <w:szCs w:val="17"/>
          <w:color w:val="auto"/>
        </w:rPr>
        <w:t>Mr. Zoradi has extensive experience in the cinema and film industries and will bring important insights to our Board regarding our industry. Since Mr. Zoradi is a Board designee for one of our founding members, he brings to our Board the perspective of a major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75565</wp:posOffset>
            </wp:positionV>
            <wp:extent cx="70872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8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640"/>
          </w:cols>
          <w:pgMar w:left="320" w:top="1000" w:right="459" w:bottom="1440" w:gutter="0" w:footer="0" w:header="0"/>
          <w:type w:val="continuous"/>
        </w:sectPr>
      </w:pPr>
    </w:p>
    <w:p>
      <w:pPr>
        <w:spacing w:after="0" w:line="317" w:lineRule="exact"/>
        <w:rPr>
          <w:sz w:val="20"/>
          <w:szCs w:val="20"/>
          <w:color w:val="auto"/>
        </w:rPr>
      </w:pPr>
    </w:p>
    <w:tbl>
      <w:tblPr>
        <w:tblLayout w:type="fixed"/>
        <w:tblInd w:w="170" w:type="dxa"/>
        <w:tblCellMar>
          <w:top w:w="0" w:type="dxa"/>
          <w:left w:w="0" w:type="dxa"/>
          <w:bottom w:w="0" w:type="dxa"/>
          <w:right w:w="0" w:type="dxa"/>
        </w:tblCellMar>
      </w:tblPr>
      <w:tr>
        <w:trPr>
          <w:trHeight w:val="269"/>
        </w:trPr>
        <w:tc>
          <w:tcPr>
            <w:tcW w:w="302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1"/>
                <w:szCs w:val="21"/>
                <w:b w:val="1"/>
                <w:bCs w:val="1"/>
                <w:color w:val="auto"/>
              </w:rPr>
              <w:t>Audit Committee</w:t>
            </w:r>
          </w:p>
        </w:tc>
        <w:tc>
          <w:tcPr>
            <w:tcW w:w="79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b w:val="1"/>
                <w:bCs w:val="1"/>
                <w:color w:val="auto"/>
              </w:rPr>
              <w:t>Key Responsibilities:</w:t>
            </w: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7"/>
                <w:szCs w:val="17"/>
                <w:color w:val="auto"/>
              </w:rPr>
              <w:t>Our Audit Committee is primarily concerned with overseeing management’s processes and activities relating</w:t>
            </w:r>
          </w:p>
        </w:tc>
        <w:tc>
          <w:tcPr>
            <w:tcW w:w="0" w:type="dxa"/>
            <w:vAlign w:val="bottom"/>
          </w:tcPr>
          <w:p>
            <w:pPr>
              <w:spacing w:after="0"/>
              <w:rPr>
                <w:sz w:val="1"/>
                <w:szCs w:val="1"/>
                <w:color w:val="auto"/>
              </w:rPr>
            </w:pPr>
          </w:p>
        </w:tc>
      </w:tr>
      <w:tr>
        <w:trPr>
          <w:trHeight w:val="227"/>
        </w:trPr>
        <w:tc>
          <w:tcPr>
            <w:tcW w:w="3020" w:type="dxa"/>
            <w:vAlign w:val="bottom"/>
            <w:tcBorders>
              <w:left w:val="single" w:sz="8" w:color="auto"/>
              <w:right w:val="single" w:sz="8" w:color="auto"/>
            </w:tcBorders>
            <w:shd w:val="clear" w:color="auto" w:fill="CCEEFF"/>
          </w:tcPr>
          <w:p>
            <w:pPr>
              <w:spacing w:after="0"/>
              <w:rPr>
                <w:sz w:val="19"/>
                <w:szCs w:val="19"/>
                <w:color w:val="auto"/>
              </w:rPr>
            </w:pPr>
          </w:p>
        </w:tc>
        <w:tc>
          <w:tcPr>
            <w:tcW w:w="7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to the following:</w:t>
            </w:r>
          </w:p>
        </w:tc>
        <w:tc>
          <w:tcPr>
            <w:tcW w:w="0" w:type="dxa"/>
            <w:vAlign w:val="bottom"/>
          </w:tcPr>
          <w:p>
            <w:pPr>
              <w:spacing w:after="0"/>
              <w:rPr>
                <w:sz w:val="1"/>
                <w:szCs w:val="1"/>
                <w:color w:val="auto"/>
              </w:rPr>
            </w:pPr>
          </w:p>
        </w:tc>
      </w:tr>
      <w:tr>
        <w:trPr>
          <w:trHeight w:val="178"/>
        </w:trPr>
        <w:tc>
          <w:tcPr>
            <w:tcW w:w="3020" w:type="dxa"/>
            <w:vAlign w:val="bottom"/>
            <w:tcBorders>
              <w:left w:val="single" w:sz="8" w:color="auto"/>
              <w:right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i w:val="1"/>
                <w:iCs w:val="1"/>
                <w:color w:val="auto"/>
              </w:rPr>
              <w:t>Committee Members</w:t>
            </w:r>
          </w:p>
        </w:tc>
        <w:tc>
          <w:tcPr>
            <w:tcW w:w="7940" w:type="dxa"/>
            <w:vAlign w:val="bottom"/>
            <w:tcBorders>
              <w:right w:val="single" w:sz="8" w:color="auto"/>
            </w:tcBorders>
          </w:tcPr>
          <w:p>
            <w:pPr>
              <w:ind w:left="380"/>
              <w:spacing w:after="0" w:line="178" w:lineRule="exact"/>
              <w:rPr>
                <w:sz w:val="20"/>
                <w:szCs w:val="20"/>
                <w:color w:val="auto"/>
              </w:rPr>
            </w:pPr>
            <w:r>
              <w:rPr>
                <w:rFonts w:ascii="Wingdings" w:cs="Wingdings" w:eastAsia="Wingdings" w:hAnsi="Wingdings"/>
                <w:sz w:val="17"/>
                <w:szCs w:val="17"/>
                <w:b w:val="1"/>
                <w:bCs w:val="1"/>
                <w:color w:val="auto"/>
              </w:rPr>
              <w:t xml:space="preserve">u </w:t>
            </w:r>
            <w:r>
              <w:rPr>
                <w:rFonts w:ascii="Times New Roman" w:cs="Times New Roman" w:eastAsia="Times New Roman" w:hAnsi="Times New Roman"/>
                <w:sz w:val="17"/>
                <w:szCs w:val="17"/>
                <w:color w:val="auto"/>
              </w:rPr>
              <w:t>maintaining the reliability and integrity of our accounting policies, financial reporting practices and</w:t>
            </w:r>
          </w:p>
        </w:tc>
        <w:tc>
          <w:tcPr>
            <w:tcW w:w="0" w:type="dxa"/>
            <w:vAlign w:val="bottom"/>
          </w:tcPr>
          <w:p>
            <w:pPr>
              <w:spacing w:after="0"/>
              <w:rPr>
                <w:sz w:val="1"/>
                <w:szCs w:val="1"/>
                <w:color w:val="auto"/>
              </w:rPr>
            </w:pPr>
          </w:p>
        </w:tc>
      </w:tr>
      <w:tr>
        <w:trPr>
          <w:trHeight w:val="269"/>
        </w:trPr>
        <w:tc>
          <w:tcPr>
            <w:tcW w:w="30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Juliana F. Hill, Chair</w:t>
            </w:r>
          </w:p>
        </w:tc>
        <w:tc>
          <w:tcPr>
            <w:tcW w:w="79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financial statements;</w:t>
            </w:r>
          </w:p>
        </w:tc>
        <w:tc>
          <w:tcPr>
            <w:tcW w:w="0" w:type="dxa"/>
            <w:vAlign w:val="bottom"/>
          </w:tcPr>
          <w:p>
            <w:pPr>
              <w:spacing w:after="0"/>
              <w:rPr>
                <w:sz w:val="1"/>
                <w:szCs w:val="1"/>
                <w:color w:val="auto"/>
              </w:rPr>
            </w:pPr>
          </w:p>
        </w:tc>
      </w:tr>
      <w:tr>
        <w:trPr>
          <w:trHeight w:val="201"/>
        </w:trPr>
        <w:tc>
          <w:tcPr>
            <w:tcW w:w="30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7940" w:type="dxa"/>
            <w:vAlign w:val="bottom"/>
            <w:tcBorders>
              <w:right w:val="single" w:sz="8" w:color="auto"/>
            </w:tcBorders>
          </w:tcPr>
          <w:p>
            <w:pPr>
              <w:ind w:left="380"/>
              <w:spacing w:after="0"/>
              <w:rPr>
                <w:sz w:val="20"/>
                <w:szCs w:val="20"/>
                <w:color w:val="auto"/>
              </w:rPr>
            </w:pPr>
            <w:r>
              <w:rPr>
                <w:rFonts w:ascii="Wingdings" w:cs="Wingdings" w:eastAsia="Wingdings" w:hAnsi="Wingdings"/>
                <w:sz w:val="17"/>
                <w:szCs w:val="17"/>
                <w:b w:val="1"/>
                <w:bCs w:val="1"/>
                <w:color w:val="auto"/>
              </w:rPr>
              <w:t xml:space="preserve">u </w:t>
            </w:r>
            <w:r>
              <w:rPr>
                <w:rFonts w:ascii="Times New Roman" w:cs="Times New Roman" w:eastAsia="Times New Roman" w:hAnsi="Times New Roman"/>
                <w:sz w:val="17"/>
                <w:szCs w:val="17"/>
                <w:color w:val="auto"/>
              </w:rPr>
              <w:t>review all “Related Party Transactions” as such term is defined under Nasdaq rules and the Statement of</w:t>
            </w:r>
          </w:p>
        </w:tc>
        <w:tc>
          <w:tcPr>
            <w:tcW w:w="0" w:type="dxa"/>
            <w:vAlign w:val="bottom"/>
          </w:tcPr>
          <w:p>
            <w:pPr>
              <w:spacing w:after="0"/>
              <w:rPr>
                <w:sz w:val="1"/>
                <w:szCs w:val="1"/>
                <w:color w:val="auto"/>
              </w:rPr>
            </w:pPr>
          </w:p>
        </w:tc>
      </w:tr>
      <w:tr>
        <w:trPr>
          <w:trHeight w:val="227"/>
        </w:trPr>
        <w:tc>
          <w:tcPr>
            <w:tcW w:w="30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Kurt C. Hall</w:t>
            </w:r>
          </w:p>
        </w:tc>
        <w:tc>
          <w:tcPr>
            <w:tcW w:w="79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Policy with Respect to Related Party Transactions;</w:t>
            </w:r>
          </w:p>
        </w:tc>
        <w:tc>
          <w:tcPr>
            <w:tcW w:w="0" w:type="dxa"/>
            <w:vAlign w:val="bottom"/>
          </w:tcPr>
          <w:p>
            <w:pPr>
              <w:spacing w:after="0"/>
              <w:rPr>
                <w:sz w:val="1"/>
                <w:szCs w:val="1"/>
                <w:color w:val="auto"/>
              </w:rPr>
            </w:pPr>
          </w:p>
        </w:tc>
      </w:tr>
      <w:tr>
        <w:trPr>
          <w:trHeight w:val="73"/>
        </w:trPr>
        <w:tc>
          <w:tcPr>
            <w:tcW w:w="30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7940" w:type="dxa"/>
            <w:vAlign w:val="bottom"/>
            <w:tcBorders>
              <w:right w:val="single" w:sz="8" w:color="auto"/>
            </w:tcBorders>
            <w:vMerge w:val="restart"/>
          </w:tcPr>
          <w:p>
            <w:pPr>
              <w:ind w:left="380"/>
              <w:spacing w:after="0"/>
              <w:rPr>
                <w:sz w:val="20"/>
                <w:szCs w:val="20"/>
                <w:color w:val="auto"/>
              </w:rPr>
            </w:pPr>
            <w:r>
              <w:rPr>
                <w:rFonts w:ascii="Wingdings" w:cs="Wingdings" w:eastAsia="Wingdings" w:hAnsi="Wingdings"/>
                <w:sz w:val="17"/>
                <w:szCs w:val="17"/>
                <w:b w:val="1"/>
                <w:bCs w:val="1"/>
                <w:color w:val="auto"/>
              </w:rPr>
              <w:t xml:space="preserve">u </w:t>
            </w:r>
            <w:r>
              <w:rPr>
                <w:rFonts w:ascii="Times New Roman" w:cs="Times New Roman" w:eastAsia="Times New Roman" w:hAnsi="Times New Roman"/>
                <w:sz w:val="17"/>
                <w:szCs w:val="17"/>
                <w:color w:val="auto"/>
              </w:rPr>
              <w:t>the performance of our internal audit function and independent auditor; and</w:t>
            </w:r>
          </w:p>
        </w:tc>
        <w:tc>
          <w:tcPr>
            <w:tcW w:w="0" w:type="dxa"/>
            <w:vAlign w:val="bottom"/>
          </w:tcPr>
          <w:p>
            <w:pPr>
              <w:spacing w:after="0"/>
              <w:rPr>
                <w:sz w:val="1"/>
                <w:szCs w:val="1"/>
                <w:color w:val="auto"/>
              </w:rPr>
            </w:pPr>
          </w:p>
        </w:tc>
      </w:tr>
      <w:tr>
        <w:trPr>
          <w:trHeight w:val="217"/>
        </w:trPr>
        <w:tc>
          <w:tcPr>
            <w:tcW w:w="3020" w:type="dxa"/>
            <w:vAlign w:val="bottom"/>
            <w:tcBorders>
              <w:left w:val="single" w:sz="8" w:color="auto"/>
              <w:right w:val="single" w:sz="8" w:color="auto"/>
            </w:tcBorders>
            <w:shd w:val="clear" w:color="auto" w:fill="CCEEFF"/>
          </w:tcPr>
          <w:p>
            <w:pPr>
              <w:spacing w:after="0"/>
              <w:rPr>
                <w:sz w:val="18"/>
                <w:szCs w:val="18"/>
                <w:color w:val="auto"/>
              </w:rPr>
            </w:pPr>
          </w:p>
        </w:tc>
        <w:tc>
          <w:tcPr>
            <w:tcW w:w="7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380"/>
              <w:spacing w:after="0" w:line="175" w:lineRule="exact"/>
              <w:rPr>
                <w:sz w:val="20"/>
                <w:szCs w:val="20"/>
                <w:color w:val="auto"/>
              </w:rPr>
            </w:pPr>
            <w:r>
              <w:rPr>
                <w:rFonts w:ascii="Wingdings" w:cs="Wingdings" w:eastAsia="Wingdings" w:hAnsi="Wingdings"/>
                <w:sz w:val="17"/>
                <w:szCs w:val="17"/>
                <w:b w:val="1"/>
                <w:bCs w:val="1"/>
                <w:color w:val="auto"/>
              </w:rPr>
              <w:t xml:space="preserve">u </w:t>
            </w:r>
            <w:r>
              <w:rPr>
                <w:rFonts w:ascii="Times New Roman" w:cs="Times New Roman" w:eastAsia="Times New Roman" w:hAnsi="Times New Roman"/>
                <w:sz w:val="17"/>
                <w:szCs w:val="17"/>
                <w:color w:val="auto"/>
              </w:rPr>
              <w:t>confirming compliance with laws and regulations, and the requirements of any stock exchange or</w:t>
            </w:r>
          </w:p>
        </w:tc>
        <w:tc>
          <w:tcPr>
            <w:tcW w:w="0" w:type="dxa"/>
            <w:vAlign w:val="bottom"/>
          </w:tcPr>
          <w:p>
            <w:pPr>
              <w:spacing w:after="0"/>
              <w:rPr>
                <w:sz w:val="1"/>
                <w:szCs w:val="1"/>
                <w:color w:val="auto"/>
              </w:rPr>
            </w:pPr>
          </w:p>
        </w:tc>
      </w:tr>
      <w:tr>
        <w:trPr>
          <w:trHeight w:val="227"/>
        </w:trPr>
        <w:tc>
          <w:tcPr>
            <w:tcW w:w="3020" w:type="dxa"/>
            <w:vAlign w:val="bottom"/>
            <w:tcBorders>
              <w:left w:val="single" w:sz="8" w:color="auto"/>
              <w:right w:val="single" w:sz="8" w:color="auto"/>
            </w:tcBorders>
            <w:shd w:val="clear" w:color="auto" w:fill="CCEEFF"/>
          </w:tcPr>
          <w:p>
            <w:pPr>
              <w:spacing w:after="0"/>
              <w:rPr>
                <w:sz w:val="19"/>
                <w:szCs w:val="19"/>
                <w:color w:val="auto"/>
              </w:rPr>
            </w:pPr>
          </w:p>
        </w:tc>
        <w:tc>
          <w:tcPr>
            <w:tcW w:w="79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quotation system on which our securities may be listed.</w:t>
            </w:r>
          </w:p>
        </w:tc>
        <w:tc>
          <w:tcPr>
            <w:tcW w:w="0" w:type="dxa"/>
            <w:vAlign w:val="bottom"/>
          </w:tcPr>
          <w:p>
            <w:pPr>
              <w:spacing w:after="0"/>
              <w:rPr>
                <w:sz w:val="1"/>
                <w:szCs w:val="1"/>
                <w:color w:val="auto"/>
              </w:rPr>
            </w:pPr>
          </w:p>
        </w:tc>
      </w:tr>
      <w:tr>
        <w:trPr>
          <w:trHeight w:val="246"/>
        </w:trPr>
        <w:tc>
          <w:tcPr>
            <w:tcW w:w="30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meetings in 2022:</w:t>
            </w:r>
          </w:p>
        </w:tc>
        <w:tc>
          <w:tcPr>
            <w:tcW w:w="794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Our Audit Committee also is responsible for establishing procedures for the receipt of complaints regarding</w:t>
            </w:r>
          </w:p>
        </w:tc>
        <w:tc>
          <w:tcPr>
            <w:tcW w:w="0" w:type="dxa"/>
            <w:vAlign w:val="bottom"/>
          </w:tcPr>
          <w:p>
            <w:pPr>
              <w:spacing w:after="0"/>
              <w:rPr>
                <w:sz w:val="1"/>
                <w:szCs w:val="1"/>
                <w:color w:val="auto"/>
              </w:rPr>
            </w:pPr>
          </w:p>
        </w:tc>
      </w:tr>
      <w:tr>
        <w:trPr>
          <w:trHeight w:val="49"/>
        </w:trPr>
        <w:tc>
          <w:tcPr>
            <w:tcW w:w="3020" w:type="dxa"/>
            <w:vAlign w:val="bottom"/>
            <w:tcBorders>
              <w:left w:val="single" w:sz="8" w:color="auto"/>
              <w:right w:val="single" w:sz="8" w:color="auto"/>
            </w:tcBorders>
            <w:vMerge w:val="restart"/>
            <w:shd w:val="clear" w:color="auto" w:fill="CCEEFF"/>
          </w:tcPr>
          <w:p>
            <w:pPr>
              <w:ind w:left="1360"/>
              <w:spacing w:after="0" w:line="244" w:lineRule="exact"/>
              <w:rPr>
                <w:sz w:val="20"/>
                <w:szCs w:val="20"/>
                <w:color w:val="auto"/>
              </w:rPr>
            </w:pPr>
            <w:r>
              <w:rPr>
                <w:rFonts w:ascii="Arial" w:cs="Arial" w:eastAsia="Arial" w:hAnsi="Arial"/>
                <w:sz w:val="24"/>
                <w:szCs w:val="24"/>
                <w:b w:val="1"/>
                <w:bCs w:val="1"/>
                <w:color w:val="auto"/>
              </w:rPr>
              <w:t>19</w:t>
            </w:r>
          </w:p>
        </w:tc>
        <w:tc>
          <w:tcPr>
            <w:tcW w:w="7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20" w:type="dxa"/>
            <w:vAlign w:val="bottom"/>
            <w:tcBorders>
              <w:left w:val="single" w:sz="8" w:color="auto"/>
              <w:right w:val="single" w:sz="8" w:color="auto"/>
            </w:tcBorders>
            <w:vMerge w:val="continue"/>
            <w:shd w:val="clear" w:color="auto" w:fill="CCEEFF"/>
          </w:tcPr>
          <w:p>
            <w:pPr>
              <w:spacing w:after="0"/>
              <w:rPr>
                <w:sz w:val="17"/>
                <w:szCs w:val="17"/>
                <w:color w:val="auto"/>
              </w:rPr>
            </w:pPr>
          </w:p>
        </w:tc>
        <w:tc>
          <w:tcPr>
            <w:tcW w:w="7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our accounting, internal accounting controls or audit matters, and the confidential, anonymous submission of</w:t>
            </w:r>
          </w:p>
        </w:tc>
        <w:tc>
          <w:tcPr>
            <w:tcW w:w="0" w:type="dxa"/>
            <w:vAlign w:val="bottom"/>
          </w:tcPr>
          <w:p>
            <w:pPr>
              <w:spacing w:after="0"/>
              <w:rPr>
                <w:sz w:val="1"/>
                <w:szCs w:val="1"/>
                <w:color w:val="auto"/>
              </w:rPr>
            </w:pPr>
          </w:p>
        </w:tc>
      </w:tr>
      <w:tr>
        <w:trPr>
          <w:trHeight w:val="157"/>
        </w:trPr>
        <w:tc>
          <w:tcPr>
            <w:tcW w:w="3020" w:type="dxa"/>
            <w:vAlign w:val="bottom"/>
            <w:tcBorders>
              <w:left w:val="single" w:sz="8" w:color="auto"/>
              <w:right w:val="single" w:sz="8" w:color="auto"/>
            </w:tcBorders>
            <w:shd w:val="clear" w:color="auto" w:fill="CCEEFF"/>
          </w:tcPr>
          <w:p>
            <w:pPr>
              <w:spacing w:after="0"/>
              <w:rPr>
                <w:sz w:val="13"/>
                <w:szCs w:val="13"/>
                <w:color w:val="auto"/>
              </w:rPr>
            </w:pPr>
          </w:p>
        </w:tc>
        <w:tc>
          <w:tcPr>
            <w:tcW w:w="7940" w:type="dxa"/>
            <w:vAlign w:val="bottom"/>
            <w:tcBorders>
              <w:right w:val="single" w:sz="8" w:color="auto"/>
            </w:tcBorders>
          </w:tcPr>
          <w:p>
            <w:pPr>
              <w:ind w:left="200"/>
              <w:spacing w:after="0" w:line="157" w:lineRule="exact"/>
              <w:rPr>
                <w:sz w:val="20"/>
                <w:szCs w:val="20"/>
                <w:color w:val="auto"/>
              </w:rPr>
            </w:pPr>
            <w:r>
              <w:rPr>
                <w:rFonts w:ascii="Times New Roman" w:cs="Times New Roman" w:eastAsia="Times New Roman" w:hAnsi="Times New Roman"/>
                <w:sz w:val="17"/>
                <w:szCs w:val="17"/>
                <w:color w:val="auto"/>
              </w:rPr>
              <w:t>concerns regarding questionable accounting or auditing matters, and overseeing the Company's compliance</w:t>
            </w:r>
          </w:p>
        </w:tc>
        <w:tc>
          <w:tcPr>
            <w:tcW w:w="0" w:type="dxa"/>
            <w:vAlign w:val="bottom"/>
          </w:tcPr>
          <w:p>
            <w:pPr>
              <w:spacing w:after="0"/>
              <w:rPr>
                <w:sz w:val="1"/>
                <w:szCs w:val="1"/>
                <w:color w:val="auto"/>
              </w:rPr>
            </w:pPr>
          </w:p>
        </w:tc>
      </w:tr>
      <w:tr>
        <w:trPr>
          <w:trHeight w:val="170"/>
        </w:trPr>
        <w:tc>
          <w:tcPr>
            <w:tcW w:w="3020" w:type="dxa"/>
            <w:vAlign w:val="bottom"/>
            <w:tcBorders>
              <w:left w:val="single" w:sz="8" w:color="auto"/>
              <w:right w:val="single" w:sz="8" w:color="auto"/>
            </w:tcBorders>
            <w:shd w:val="clear" w:color="auto" w:fill="CCEEFF"/>
          </w:tcPr>
          <w:p>
            <w:pPr>
              <w:spacing w:after="0"/>
              <w:rPr>
                <w:sz w:val="14"/>
                <w:szCs w:val="14"/>
                <w:color w:val="auto"/>
              </w:rPr>
            </w:pPr>
          </w:p>
        </w:tc>
        <w:tc>
          <w:tcPr>
            <w:tcW w:w="7940" w:type="dxa"/>
            <w:vAlign w:val="bottom"/>
            <w:tcBorders>
              <w:right w:val="single" w:sz="8" w:color="auto"/>
            </w:tcBorders>
          </w:tcPr>
          <w:p>
            <w:pPr>
              <w:ind w:left="200"/>
              <w:spacing w:after="0" w:line="170" w:lineRule="exact"/>
              <w:rPr>
                <w:sz w:val="20"/>
                <w:szCs w:val="20"/>
                <w:color w:val="auto"/>
              </w:rPr>
            </w:pPr>
            <w:r>
              <w:rPr>
                <w:rFonts w:ascii="Times New Roman" w:cs="Times New Roman" w:eastAsia="Times New Roman" w:hAnsi="Times New Roman"/>
                <w:sz w:val="17"/>
                <w:szCs w:val="17"/>
                <w:color w:val="auto"/>
              </w:rPr>
              <w:t>with applicable laws and regulations, the Company’s Code of Business Conduct and Ethics and insider trading</w:t>
            </w:r>
          </w:p>
        </w:tc>
        <w:tc>
          <w:tcPr>
            <w:tcW w:w="0" w:type="dxa"/>
            <w:vAlign w:val="bottom"/>
          </w:tcPr>
          <w:p>
            <w:pPr>
              <w:spacing w:after="0"/>
              <w:rPr>
                <w:sz w:val="1"/>
                <w:szCs w:val="1"/>
                <w:color w:val="auto"/>
              </w:rPr>
            </w:pPr>
          </w:p>
        </w:tc>
      </w:tr>
      <w:tr>
        <w:trPr>
          <w:trHeight w:val="177"/>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200"/>
              <w:spacing w:after="0" w:line="177" w:lineRule="exact"/>
              <w:rPr>
                <w:sz w:val="20"/>
                <w:szCs w:val="20"/>
                <w:color w:val="auto"/>
              </w:rPr>
            </w:pPr>
            <w:r>
              <w:rPr>
                <w:rFonts w:ascii="Times New Roman" w:cs="Times New Roman" w:eastAsia="Times New Roman" w:hAnsi="Times New Roman"/>
                <w:sz w:val="17"/>
                <w:szCs w:val="17"/>
                <w:color w:val="auto"/>
              </w:rPr>
              <w:t>policy and other general risk assessment and management. Our Audit Committee’s responsibilities are set</w:t>
            </w: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7"/>
                <w:szCs w:val="17"/>
                <w:color w:val="auto"/>
              </w:rPr>
              <w:t>forth in its charter, the current version of which was most recently reviewed by the Committee and approved</w:t>
            </w:r>
          </w:p>
        </w:tc>
        <w:tc>
          <w:tcPr>
            <w:tcW w:w="0" w:type="dxa"/>
            <w:vAlign w:val="bottom"/>
          </w:tcPr>
          <w:p>
            <w:pPr>
              <w:spacing w:after="0"/>
              <w:rPr>
                <w:sz w:val="1"/>
                <w:szCs w:val="1"/>
                <w:color w:val="auto"/>
              </w:rPr>
            </w:pPr>
          </w:p>
        </w:tc>
      </w:tr>
      <w:tr>
        <w:trPr>
          <w:trHeight w:val="170"/>
        </w:trPr>
        <w:tc>
          <w:tcPr>
            <w:tcW w:w="3020" w:type="dxa"/>
            <w:vAlign w:val="bottom"/>
            <w:tcBorders>
              <w:left w:val="single" w:sz="8" w:color="auto"/>
              <w:right w:val="single" w:sz="8" w:color="auto"/>
            </w:tcBorders>
            <w:shd w:val="clear" w:color="auto" w:fill="CCEEFF"/>
          </w:tcPr>
          <w:p>
            <w:pPr>
              <w:spacing w:after="0"/>
              <w:rPr>
                <w:sz w:val="14"/>
                <w:szCs w:val="14"/>
                <w:color w:val="auto"/>
              </w:rPr>
            </w:pPr>
          </w:p>
        </w:tc>
        <w:tc>
          <w:tcPr>
            <w:tcW w:w="7940" w:type="dxa"/>
            <w:vAlign w:val="bottom"/>
            <w:tcBorders>
              <w:right w:val="single" w:sz="8" w:color="auto"/>
            </w:tcBorders>
          </w:tcPr>
          <w:p>
            <w:pPr>
              <w:ind w:left="200"/>
              <w:spacing w:after="0" w:line="170" w:lineRule="exact"/>
              <w:rPr>
                <w:sz w:val="20"/>
                <w:szCs w:val="20"/>
                <w:color w:val="auto"/>
              </w:rPr>
            </w:pPr>
            <w:r>
              <w:rPr>
                <w:rFonts w:ascii="Times New Roman" w:cs="Times New Roman" w:eastAsia="Times New Roman" w:hAnsi="Times New Roman"/>
                <w:sz w:val="17"/>
                <w:szCs w:val="17"/>
                <w:color w:val="auto"/>
              </w:rPr>
              <w:t>by our Board in January 2022 in conjunction with the charter's annual review. The current version of the</w:t>
            </w:r>
          </w:p>
        </w:tc>
        <w:tc>
          <w:tcPr>
            <w:tcW w:w="0" w:type="dxa"/>
            <w:vAlign w:val="bottom"/>
          </w:tcPr>
          <w:p>
            <w:pPr>
              <w:spacing w:after="0"/>
              <w:rPr>
                <w:sz w:val="1"/>
                <w:szCs w:val="1"/>
                <w:color w:val="auto"/>
              </w:rPr>
            </w:pPr>
          </w:p>
        </w:tc>
      </w:tr>
      <w:tr>
        <w:trPr>
          <w:trHeight w:val="229"/>
        </w:trPr>
        <w:tc>
          <w:tcPr>
            <w:tcW w:w="3020" w:type="dxa"/>
            <w:vAlign w:val="bottom"/>
            <w:tcBorders>
              <w:left w:val="single" w:sz="8" w:color="auto"/>
              <w:right w:val="single" w:sz="8" w:color="auto"/>
            </w:tcBorders>
            <w:shd w:val="clear" w:color="auto" w:fill="CCEEFF"/>
          </w:tcPr>
          <w:p>
            <w:pPr>
              <w:spacing w:after="0"/>
              <w:rPr>
                <w:sz w:val="19"/>
                <w:szCs w:val="19"/>
                <w:color w:val="auto"/>
              </w:rPr>
            </w:pPr>
          </w:p>
        </w:tc>
        <w:tc>
          <w:tcPr>
            <w:tcW w:w="7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charter is available on our website at www.</w:t>
            </w:r>
            <w:r>
              <w:rPr>
                <w:rFonts w:ascii="Times New Roman" w:cs="Times New Roman" w:eastAsia="Times New Roman" w:hAnsi="Times New Roman"/>
                <w:sz w:val="17"/>
                <w:szCs w:val="17"/>
                <w:i w:val="1"/>
                <w:iCs w:val="1"/>
                <w:color w:val="auto"/>
              </w:rPr>
              <w:t>ncm.com</w:t>
            </w:r>
            <w:r>
              <w:rPr>
                <w:rFonts w:ascii="Times New Roman" w:cs="Times New Roman" w:eastAsia="Times New Roman" w:hAnsi="Times New Roman"/>
                <w:sz w:val="17"/>
                <w:szCs w:val="17"/>
                <w:color w:val="auto"/>
              </w:rPr>
              <w:t xml:space="preserve"> at the Investor Relations link</w:t>
            </w: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644"/>
        </w:trPr>
        <w:tc>
          <w:tcPr>
            <w:tcW w:w="3020" w:type="dxa"/>
            <w:vAlign w:val="bottom"/>
            <w:tcBorders>
              <w:left w:val="single" w:sz="8" w:color="auto"/>
              <w:right w:val="single" w:sz="8" w:color="auto"/>
            </w:tcBorders>
            <w:shd w:val="clear" w:color="auto" w:fill="CCEEFF"/>
          </w:tcPr>
          <w:p>
            <w:pPr>
              <w:spacing w:after="0"/>
              <w:rPr>
                <w:sz w:val="24"/>
                <w:szCs w:val="24"/>
                <w:color w:val="auto"/>
              </w:rPr>
            </w:pPr>
          </w:p>
        </w:tc>
        <w:tc>
          <w:tcPr>
            <w:tcW w:w="7940" w:type="dxa"/>
            <w:vAlign w:val="bottom"/>
            <w:tcBorders>
              <w:right w:val="single" w:sz="8" w:color="auto"/>
            </w:tcBorders>
          </w:tcPr>
          <w:p>
            <w:pPr>
              <w:ind w:left="200"/>
              <w:spacing w:after="0"/>
              <w:rPr>
                <w:sz w:val="20"/>
                <w:szCs w:val="20"/>
                <w:color w:val="auto"/>
              </w:rPr>
            </w:pPr>
            <w:r>
              <w:rPr>
                <w:rFonts w:ascii="Arial" w:cs="Arial" w:eastAsia="Arial" w:hAnsi="Arial"/>
                <w:sz w:val="17"/>
                <w:szCs w:val="17"/>
                <w:b w:val="1"/>
                <w:bCs w:val="1"/>
                <w:color w:val="auto"/>
              </w:rPr>
              <w:t>Independence and Financial Literacy</w:t>
            </w:r>
          </w:p>
        </w:tc>
        <w:tc>
          <w:tcPr>
            <w:tcW w:w="0" w:type="dxa"/>
            <w:vAlign w:val="bottom"/>
          </w:tcPr>
          <w:p>
            <w:pPr>
              <w:spacing w:after="0"/>
              <w:rPr>
                <w:sz w:val="1"/>
                <w:szCs w:val="1"/>
                <w:color w:val="auto"/>
              </w:rPr>
            </w:pPr>
          </w:p>
        </w:tc>
      </w:tr>
      <w:tr>
        <w:trPr>
          <w:trHeight w:val="262"/>
        </w:trPr>
        <w:tc>
          <w:tcPr>
            <w:tcW w:w="3020" w:type="dxa"/>
            <w:vAlign w:val="bottom"/>
            <w:tcBorders>
              <w:left w:val="single" w:sz="8" w:color="auto"/>
              <w:right w:val="single" w:sz="8" w:color="auto"/>
            </w:tcBorders>
            <w:shd w:val="clear" w:color="auto" w:fill="CCEEFF"/>
          </w:tcPr>
          <w:p>
            <w:pPr>
              <w:spacing w:after="0"/>
              <w:rPr>
                <w:sz w:val="22"/>
                <w:szCs w:val="22"/>
                <w:color w:val="auto"/>
              </w:rPr>
            </w:pPr>
          </w:p>
        </w:tc>
        <w:tc>
          <w:tcPr>
            <w:tcW w:w="7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Each of the committee members was determined to be “independent” as required by the rules promulgated by</w:t>
            </w:r>
          </w:p>
        </w:tc>
        <w:tc>
          <w:tcPr>
            <w:tcW w:w="0" w:type="dxa"/>
            <w:vAlign w:val="bottom"/>
          </w:tcPr>
          <w:p>
            <w:pPr>
              <w:spacing w:after="0"/>
              <w:rPr>
                <w:sz w:val="1"/>
                <w:szCs w:val="1"/>
                <w:color w:val="auto"/>
              </w:rPr>
            </w:pPr>
          </w:p>
        </w:tc>
      </w:tr>
      <w:tr>
        <w:trPr>
          <w:trHeight w:val="177"/>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200"/>
              <w:spacing w:after="0" w:line="177" w:lineRule="exact"/>
              <w:rPr>
                <w:sz w:val="20"/>
                <w:szCs w:val="20"/>
                <w:color w:val="auto"/>
              </w:rPr>
            </w:pPr>
            <w:r>
              <w:rPr>
                <w:rFonts w:ascii="Times New Roman" w:cs="Times New Roman" w:eastAsia="Times New Roman" w:hAnsi="Times New Roman"/>
                <w:sz w:val="17"/>
                <w:szCs w:val="17"/>
                <w:color w:val="auto"/>
              </w:rPr>
              <w:t>the SEC under the Exchange Act and by Nasdaq. Each of them also meets the financial literacy requirements</w:t>
            </w: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shd w:val="clear" w:color="auto" w:fill="CCEEFF"/>
          </w:tcPr>
          <w:p>
            <w:pPr>
              <w:spacing w:after="0"/>
              <w:rPr>
                <w:sz w:val="15"/>
                <w:szCs w:val="15"/>
                <w:color w:val="auto"/>
              </w:rPr>
            </w:pPr>
          </w:p>
        </w:tc>
        <w:tc>
          <w:tcPr>
            <w:tcW w:w="794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7"/>
                <w:szCs w:val="17"/>
                <w:color w:val="auto"/>
              </w:rPr>
              <w:t>of Nasdaq. Our Board of Directors has determined that Ms. Hill qualifies as an “audit committee financial</w:t>
            </w: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79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expert” as defined in the federal securities laws and regulations.</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60" w:firstLine="509"/>
        <w:spacing w:after="0" w:line="295" w:lineRule="auto"/>
        <w:rPr>
          <w:sz w:val="20"/>
          <w:szCs w:val="20"/>
          <w:color w:val="auto"/>
        </w:rPr>
      </w:pPr>
      <w:r>
        <w:rPr>
          <w:rFonts w:ascii="Times New Roman" w:cs="Times New Roman" w:eastAsia="Times New Roman" w:hAnsi="Times New Roman"/>
          <w:sz w:val="17"/>
          <w:szCs w:val="17"/>
          <w:color w:val="auto"/>
        </w:rPr>
        <w:t>As the need to fill vacancies arises in the future, our Nominating and Governance Committee will seek individuals qualified to become Board members for recommendation to our Board. Our Nominating and Governance Committee would</w:t>
      </w:r>
    </w:p>
    <w:p>
      <w:pPr>
        <w:sectPr>
          <w:pgSz w:w="11900" w:h="16838" w:orient="portrait"/>
          <w:cols w:equalWidth="0" w:num="1">
            <w:col w:w="11120"/>
          </w:cols>
          <w:pgMar w:left="320" w:top="1000" w:right="45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000" w:right="459" w:bottom="1440" w:gutter="0" w:footer="0" w:header="0"/>
          <w:type w:val="continuous"/>
        </w:sectPr>
      </w:pPr>
    </w:p>
    <w:bookmarkStart w:id="105" w:name="page106"/>
    <w:bookmarkEnd w:id="105"/>
    <w:p>
      <w:pPr>
        <w:ind w:right="340"/>
        <w:spacing w:after="0" w:line="295" w:lineRule="auto"/>
        <w:rPr>
          <w:sz w:val="20"/>
          <w:szCs w:val="20"/>
          <w:color w:val="auto"/>
        </w:rPr>
      </w:pPr>
      <w:r>
        <w:rPr>
          <w:rFonts w:ascii="Times New Roman" w:cs="Times New Roman" w:eastAsia="Times New Roman" w:hAnsi="Times New Roman"/>
          <w:sz w:val="17"/>
          <w:szCs w:val="17"/>
          <w:color w:val="auto"/>
        </w:rPr>
        <w:t>consider potential director candidates recommended by stockholders and use the same criteria for screening all candidates, regardless of who proposed such candidates.</w:t>
      </w:r>
    </w:p>
    <w:p>
      <w:pPr>
        <w:spacing w:after="0" w:line="42" w:lineRule="exact"/>
        <w:rPr>
          <w:sz w:val="20"/>
          <w:szCs w:val="20"/>
          <w:color w:val="auto"/>
        </w:rPr>
      </w:pPr>
    </w:p>
    <w:p>
      <w:pPr>
        <w:ind w:right="180" w:firstLine="509"/>
        <w:spacing w:after="0" w:line="295" w:lineRule="auto"/>
        <w:rPr>
          <w:sz w:val="20"/>
          <w:szCs w:val="20"/>
          <w:color w:val="auto"/>
        </w:rPr>
      </w:pPr>
      <w:r>
        <w:rPr>
          <w:rFonts w:ascii="Times New Roman" w:cs="Times New Roman" w:eastAsia="Times New Roman" w:hAnsi="Times New Roman"/>
          <w:sz w:val="17"/>
          <w:szCs w:val="17"/>
          <w:color w:val="auto"/>
        </w:rPr>
        <w:t>Our Nominating and Governance Committee and Board of Directors consider whether candidates for nomination to our Board of Directors possess the following qualifications, among others:</w:t>
      </w:r>
    </w:p>
    <w:p>
      <w:pPr>
        <w:spacing w:after="0" w:line="68" w:lineRule="exact"/>
        <w:rPr>
          <w:sz w:val="20"/>
          <w:szCs w:val="20"/>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highest level of personal and professional ethics, integrity, and values;</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expertise that is useful to us and is complementary to the background and expertise of the other members of our Board of Directors;</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willingness and ability to devote the time necessary to carry out the duties and responsibilities of membership on our Board of Directors;</w:t>
      </w:r>
    </w:p>
    <w:p>
      <w:pPr>
        <w:spacing w:after="0" w:line="117" w:lineRule="exact"/>
        <w:rPr>
          <w:rFonts w:ascii="Times New Roman" w:cs="Times New Roman" w:eastAsia="Times New Roman" w:hAnsi="Times New Roman"/>
          <w:sz w:val="17"/>
          <w:szCs w:val="17"/>
          <w:color w:val="auto"/>
        </w:rPr>
      </w:pPr>
    </w:p>
    <w:p>
      <w:pPr>
        <w:ind w:left="940" w:right="120" w:hanging="309"/>
        <w:spacing w:after="0" w:line="295" w:lineRule="auto"/>
        <w:tabs>
          <w:tab w:leader="none" w:pos="93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desire to ensure that our operations and financial reporting are conducted in a transparent manner and in compliance with applicable laws, rules, and regulations; and</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dedication to the representation of the best interests of all our stockholders.</w:t>
      </w:r>
    </w:p>
    <w:p>
      <w:pPr>
        <w:spacing w:after="0" w:line="11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Diversity of Directors. </w:t>
      </w:r>
      <w:r>
        <w:rPr>
          <w:rFonts w:ascii="Times New Roman" w:cs="Times New Roman" w:eastAsia="Times New Roman" w:hAnsi="Times New Roman"/>
          <w:sz w:val="17"/>
          <w:szCs w:val="17"/>
          <w:color w:val="auto"/>
        </w:rPr>
        <w:t>In considering whether to recommend any candidate for inclusion in the slate of director nominees, our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Governance Committee complies with the Company’s Corporate Governance Guidelines and Corporate Code of Business Conduct and Ethics. In addition to considering the qualifications listed above, the Committee seeks nominees that will complement the existing members and provide diversity of background, professional expertise, gender and ethnicity and that will be in compliance with applicable law and stock exchange requirements and taking into account proxy advisory firm guidelines. Our Nominating and Governance Committee periodically reviews and assesses its evaluation process for considering nominee directors.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Diversity Matrix</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matrix summarizes self-identified diversity characteristics and is provided in accordance with applicable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252095</wp:posOffset>
            </wp:positionV>
            <wp:extent cx="6341110" cy="23622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41110" cy="2362200"/>
                    </a:xfrm>
                    <a:prstGeom prst="rect">
                      <a:avLst/>
                    </a:prstGeom>
                    <a:noFill/>
                  </pic:spPr>
                </pic:pic>
              </a:graphicData>
            </a:graphic>
          </wp:anchor>
        </w:drawing>
      </w:r>
    </w:p>
    <w:p>
      <w:pPr>
        <w:spacing w:after="0" w:line="38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BOARD DIVERSITY MATRIX AS OF DECEMBER 29, 2022</w:t>
      </w:r>
    </w:p>
    <w:p>
      <w:pPr>
        <w:spacing w:after="0" w:line="34"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3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Number of Directors</w:t>
            </w:r>
          </w:p>
        </w:tc>
        <w:tc>
          <w:tcPr>
            <w:tcW w:w="16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right w:val="single" w:sz="8" w:color="CCEEFF"/>
            </w:tcBorders>
            <w:gridSpan w:val="2"/>
            <w:shd w:val="clear" w:color="auto" w:fill="CCEEFF"/>
          </w:tcPr>
          <w:p>
            <w:pPr>
              <w:jc w:val="center"/>
              <w:ind w:right="1173"/>
              <w:spacing w:after="0"/>
              <w:rPr>
                <w:sz w:val="20"/>
                <w:szCs w:val="20"/>
                <w:color w:val="auto"/>
              </w:rPr>
            </w:pPr>
            <w:r>
              <w:rPr>
                <w:rFonts w:ascii="Times New Roman" w:cs="Times New Roman" w:eastAsia="Times New Roman" w:hAnsi="Times New Roman"/>
                <w:sz w:val="17"/>
                <w:szCs w:val="17"/>
                <w:b w:val="1"/>
                <w:bCs w:val="1"/>
                <w:color w:val="auto"/>
              </w:rPr>
              <w:t>8</w:t>
            </w:r>
          </w:p>
        </w:tc>
        <w:tc>
          <w:tcPr>
            <w:tcW w:w="15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7"/>
                <w:szCs w:val="17"/>
                <w:color w:val="auto"/>
              </w:rPr>
              <w:t>Female</w:t>
            </w:r>
          </w:p>
        </w:tc>
        <w:tc>
          <w:tcPr>
            <w:tcW w:w="12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auto"/>
              </w:rPr>
              <w:t>Male</w:t>
            </w:r>
          </w:p>
        </w:tc>
        <w:tc>
          <w:tcPr>
            <w:tcW w:w="3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Non-Binary</w:t>
            </w:r>
          </w:p>
        </w:tc>
        <w:tc>
          <w:tcPr>
            <w:tcW w:w="15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Did Not Disclose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Gender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6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1600" w:type="dxa"/>
            <w:vAlign w:val="bottom"/>
            <w:tcBorders>
              <w:bottom w:val="single" w:sz="8" w:color="auto"/>
              <w:right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right w:val="single" w:sz="8" w:color="CCEEFF"/>
            </w:tcBorders>
            <w:shd w:val="clear" w:color="auto" w:fill="CCEEFF"/>
          </w:tcPr>
          <w:p>
            <w:pPr>
              <w:spacing w:after="0"/>
              <w:rPr>
                <w:sz w:val="19"/>
                <w:szCs w:val="19"/>
                <w:color w:val="auto"/>
              </w:rPr>
            </w:pPr>
          </w:p>
        </w:tc>
        <w:tc>
          <w:tcPr>
            <w:tcW w:w="1600" w:type="dxa"/>
            <w:vAlign w:val="bottom"/>
            <w:tcBorders>
              <w:bottom w:val="single" w:sz="8" w:color="auto"/>
              <w:right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6</w:t>
            </w:r>
          </w:p>
        </w:tc>
        <w:tc>
          <w:tcPr>
            <w:tcW w:w="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600" w:type="dxa"/>
            <w:vAlign w:val="bottom"/>
            <w:tcBorders>
              <w:bottom w:val="single" w:sz="8" w:color="auto"/>
              <w:right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1600" w:type="dxa"/>
            <w:vAlign w:val="bottom"/>
            <w:tcBorders>
              <w:bottom w:val="single" w:sz="8" w:color="auto"/>
              <w:right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Asian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Hispanic or Latinx</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White</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20" w:type="dxa"/>
            <w:vAlign w:val="bottom"/>
            <w:tcBorders>
              <w:bottom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6</w:t>
            </w:r>
          </w:p>
        </w:tc>
        <w:tc>
          <w:tcPr>
            <w:tcW w:w="36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LGBTQ+</w:t>
            </w:r>
          </w:p>
        </w:tc>
        <w:tc>
          <w:tcPr>
            <w:tcW w:w="1600" w:type="dxa"/>
            <w:vAlign w:val="bottom"/>
            <w:tcBorders>
              <w:bottom w:val="single" w:sz="8" w:color="auto"/>
              <w:right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CCEEFF"/>
            </w:tcBorders>
            <w:gridSpan w:val="2"/>
            <w:shd w:val="clear" w:color="auto" w:fill="CCEEFF"/>
          </w:tcPr>
          <w:p>
            <w:pPr>
              <w:jc w:val="center"/>
              <w:ind w:right="117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17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Times New Roman" w:cs="Times New Roman" w:eastAsia="Times New Roman" w:hAnsi="Times New Roman"/>
          <w:sz w:val="17"/>
          <w:szCs w:val="17"/>
          <w:i w:val="1"/>
          <w:iCs w:val="1"/>
          <w:color w:val="auto"/>
        </w:rPr>
        <w:t>ncm.com</w:t>
      </w:r>
      <w:r>
        <w:rPr>
          <w:rFonts w:ascii="Times New Roman" w:cs="Times New Roman" w:eastAsia="Times New Roman" w:hAnsi="Times New Roman"/>
          <w:sz w:val="17"/>
          <w:szCs w:val="17"/>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2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Section 16(a) of the Exchange Act requires our officers and directors, and persons who own more than ten percent of our common stock, to file reports of ownership and changes in ownership on Forms 3, 4 and 5 with the SEC. As a matter of practice, we assist many of our directors and all of our executive officers by preparing initial ownership reports and reporting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sectPr>
      </w:pPr>
    </w:p>
    <w:bookmarkStart w:id="106" w:name="page107"/>
    <w:bookmarkEnd w:id="106"/>
    <w:p>
      <w:pPr>
        <w:ind w:right="220"/>
        <w:spacing w:after="0" w:line="269" w:lineRule="auto"/>
        <w:rPr>
          <w:sz w:val="20"/>
          <w:szCs w:val="20"/>
          <w:color w:val="auto"/>
        </w:rPr>
      </w:pPr>
      <w:r>
        <w:rPr>
          <w:rFonts w:ascii="Times New Roman" w:cs="Times New Roman" w:eastAsia="Times New Roman" w:hAnsi="Times New Roman"/>
          <w:sz w:val="17"/>
          <w:szCs w:val="17"/>
          <w:color w:val="auto"/>
        </w:rPr>
        <w:t>ownership changes, and typically file these reports on their behalf. To our knowledge, based solely on our review of the copies of such reports filed electronically with the SEC and on written information given to us by the reporting persons, we believe that all Section 16(a) filing requirements applicable to our officers, directors and greater than ten percent beneficial owners were complied with on a timely basis during the fiscal year ended December 29, 2021, except that one Form 4 for Maria Woods was filed on February 27, 2023 for a September 1, 2022 time-based restricted stock unit (“TBRSU”) vesting.</w:t>
      </w:r>
    </w:p>
    <w:p>
      <w:pPr>
        <w:spacing w:after="0" w:line="8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3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FISCAL 2022 SUMMARY COMPENSATION TABLE</w:t>
      </w:r>
    </w:p>
    <w:p>
      <w:pPr>
        <w:spacing w:after="0" w:line="120" w:lineRule="exact"/>
        <w:rPr>
          <w:sz w:val="20"/>
          <w:szCs w:val="20"/>
          <w:color w:val="auto"/>
        </w:rPr>
      </w:pPr>
    </w:p>
    <w:p>
      <w:pPr>
        <w:ind w:right="2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shows the amount of compensation earned by our NEOs during the years indicated. For additional information regarding the material terms of each NEOs’ employment agreement, see “Employment Agreements” and “Potential Payments Upon Termination or Change in Control”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300" w:type="dxa"/>
            <w:vAlign w:val="bottom"/>
          </w:tcPr>
          <w:p>
            <w:pPr>
              <w:spacing w:after="0"/>
              <w:rPr>
                <w:sz w:val="17"/>
                <w:szCs w:val="17"/>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30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320" w:type="dxa"/>
            <w:vAlign w:val="bottom"/>
          </w:tcPr>
          <w:p>
            <w:pPr>
              <w:spacing w:after="0"/>
              <w:rPr>
                <w:sz w:val="17"/>
                <w:szCs w:val="17"/>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4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Salary (1)</w:t>
            </w:r>
          </w:p>
        </w:tc>
        <w:tc>
          <w:tcPr>
            <w:tcW w:w="3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700" w:type="dxa"/>
            <w:vAlign w:val="bottom"/>
            <w:gridSpan w:val="3"/>
          </w:tcPr>
          <w:p>
            <w:pPr>
              <w:jc w:val="center"/>
              <w:ind w:right="140"/>
              <w:spacing w:after="0" w:line="177" w:lineRule="exact"/>
              <w:rPr>
                <w:sz w:val="20"/>
                <w:szCs w:val="20"/>
                <w:color w:val="auto"/>
              </w:rPr>
            </w:pPr>
            <w:r>
              <w:rPr>
                <w:rFonts w:ascii="Times New Roman" w:cs="Times New Roman" w:eastAsia="Times New Roman" w:hAnsi="Times New Roman"/>
                <w:sz w:val="17"/>
                <w:szCs w:val="17"/>
                <w:b w:val="1"/>
                <w:bCs w:val="1"/>
                <w:color w:val="auto"/>
              </w:rPr>
              <w:t>Incentive Plan</w:t>
            </w:r>
          </w:p>
        </w:tc>
        <w:tc>
          <w:tcPr>
            <w:tcW w:w="3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Awards (2)</w:t>
            </w:r>
          </w:p>
        </w:tc>
        <w:tc>
          <w:tcPr>
            <w:tcW w:w="300" w:type="dxa"/>
            <w:vAlign w:val="bottom"/>
          </w:tcPr>
          <w:p>
            <w:pPr>
              <w:spacing w:after="0"/>
              <w:rPr>
                <w:sz w:val="19"/>
                <w:szCs w:val="19"/>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Compensation (3)</w:t>
            </w: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Compensation (4)</w:t>
            </w: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8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Thomas F. Lesinski</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844,027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499,999</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428,771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771,702</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27,158</w:t>
            </w:r>
          </w:p>
        </w:tc>
        <w:tc>
          <w:tcPr>
            <w:tcW w:w="1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3"/>
              <w:spacing w:after="0" w:line="17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2,571,657</w:t>
            </w:r>
          </w:p>
        </w:tc>
        <w:tc>
          <w:tcPr>
            <w:tcW w:w="0" w:type="dxa"/>
            <w:vAlign w:val="bottom"/>
          </w:tcPr>
          <w:p>
            <w:pPr>
              <w:spacing w:after="0"/>
              <w:rPr>
                <w:sz w:val="1"/>
                <w:szCs w:val="1"/>
                <w:color w:val="auto"/>
              </w:rPr>
            </w:pPr>
          </w:p>
        </w:tc>
      </w:tr>
      <w:tr>
        <w:trPr>
          <w:trHeight w:val="227"/>
        </w:trPr>
        <w:tc>
          <w:tcPr>
            <w:tcW w:w="1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Executive</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759,808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524,080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2,666,046</w:t>
            </w: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auto"/>
              </w:rPr>
              <w:t>Officer</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Ronnie Y. Ng</w:t>
            </w:r>
          </w:p>
        </w:tc>
        <w:tc>
          <w:tcPr>
            <w:tcW w:w="14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5"/>
                <w:szCs w:val="15"/>
                <w:color w:val="auto"/>
              </w:rPr>
            </w:pPr>
          </w:p>
        </w:tc>
        <w:tc>
          <w:tcPr>
            <w:tcW w:w="14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450,000</w:t>
            </w:r>
          </w:p>
        </w:tc>
        <w:tc>
          <w:tcPr>
            <w:tcW w:w="80" w:type="dxa"/>
            <w:vAlign w:val="bottom"/>
          </w:tcPr>
          <w:p>
            <w:pPr>
              <w:spacing w:after="0"/>
              <w:rPr>
                <w:sz w:val="15"/>
                <w:szCs w:val="15"/>
                <w:color w:val="auto"/>
              </w:rPr>
            </w:pP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337,167</w:t>
            </w:r>
          </w:p>
        </w:tc>
        <w:tc>
          <w:tcPr>
            <w:tcW w:w="140" w:type="dxa"/>
            <w:vAlign w:val="bottom"/>
          </w:tcPr>
          <w:p>
            <w:pPr>
              <w:spacing w:after="0"/>
              <w:rPr>
                <w:sz w:val="15"/>
                <w:szCs w:val="15"/>
                <w:color w:val="auto"/>
              </w:rPr>
            </w:pPr>
          </w:p>
        </w:tc>
        <w:tc>
          <w:tcPr>
            <w:tcW w:w="3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720"/>
              <w:spacing w:after="0" w:line="17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3"/>
              <w:spacing w:after="0" w:line="177"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306,450</w:t>
            </w:r>
          </w:p>
        </w:tc>
        <w:tc>
          <w:tcPr>
            <w:tcW w:w="140" w:type="dxa"/>
            <w:vAlign w:val="bottom"/>
          </w:tcPr>
          <w:p>
            <w:pPr>
              <w:spacing w:after="0"/>
              <w:rPr>
                <w:sz w:val="15"/>
                <w:szCs w:val="15"/>
                <w:color w:val="auto"/>
              </w:rPr>
            </w:pPr>
          </w:p>
        </w:tc>
        <w:tc>
          <w:tcPr>
            <w:tcW w:w="3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1,823</w:t>
            </w:r>
          </w:p>
        </w:tc>
        <w:tc>
          <w:tcPr>
            <w:tcW w:w="160" w:type="dxa"/>
            <w:vAlign w:val="bottom"/>
          </w:tcPr>
          <w:p>
            <w:pPr>
              <w:spacing w:after="0"/>
              <w:rPr>
                <w:sz w:val="15"/>
                <w:szCs w:val="15"/>
                <w:color w:val="auto"/>
              </w:rPr>
            </w:pPr>
          </w:p>
        </w:tc>
        <w:tc>
          <w:tcPr>
            <w:tcW w:w="340" w:type="dxa"/>
            <w:vAlign w:val="bottom"/>
          </w:tcPr>
          <w:p>
            <w:pPr>
              <w:jc w:val="right"/>
              <w:ind w:right="13"/>
              <w:spacing w:after="0" w:line="17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1,095,440</w:t>
            </w:r>
          </w:p>
        </w:tc>
        <w:tc>
          <w:tcPr>
            <w:tcW w:w="0" w:type="dxa"/>
            <w:vAlign w:val="bottom"/>
          </w:tcPr>
          <w:p>
            <w:pPr>
              <w:spacing w:after="0"/>
              <w:rPr>
                <w:sz w:val="1"/>
                <w:szCs w:val="1"/>
                <w:color w:val="auto"/>
              </w:rPr>
            </w:pPr>
          </w:p>
        </w:tc>
      </w:tr>
      <w:tr>
        <w:trPr>
          <w:trHeight w:val="214"/>
        </w:trPr>
        <w:tc>
          <w:tcPr>
            <w:tcW w:w="1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102,115</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126,244</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48,098</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10,340</w:t>
            </w:r>
          </w:p>
        </w:tc>
        <w:tc>
          <w:tcPr>
            <w:tcW w:w="160" w:type="dxa"/>
            <w:vAlign w:val="bottom"/>
          </w:tcPr>
          <w:p>
            <w:pPr>
              <w:spacing w:after="0"/>
              <w:rPr>
                <w:sz w:val="18"/>
                <w:szCs w:val="18"/>
                <w:color w:val="auto"/>
              </w:rPr>
            </w:pP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436,797</w:t>
            </w:r>
          </w:p>
        </w:tc>
        <w:tc>
          <w:tcPr>
            <w:tcW w:w="0" w:type="dxa"/>
            <w:vAlign w:val="bottom"/>
          </w:tcPr>
          <w:p>
            <w:pPr>
              <w:spacing w:after="0"/>
              <w:rPr>
                <w:sz w:val="1"/>
                <w:szCs w:val="1"/>
                <w:color w:val="auto"/>
              </w:rPr>
            </w:pPr>
          </w:p>
        </w:tc>
      </w:tr>
      <w:tr>
        <w:trPr>
          <w:trHeight w:val="227"/>
        </w:trPr>
        <w:tc>
          <w:tcPr>
            <w:tcW w:w="1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Scott D. Felenstein</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2022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669,500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497,697</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ind w:left="720"/>
              <w:spacing w:after="0" w:line="17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516,720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2,948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3"/>
              <w:spacing w:after="0" w:line="17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1,686,865</w:t>
            </w:r>
          </w:p>
        </w:tc>
        <w:tc>
          <w:tcPr>
            <w:tcW w:w="0" w:type="dxa"/>
            <w:vAlign w:val="bottom"/>
          </w:tcPr>
          <w:p>
            <w:pPr>
              <w:spacing w:after="0"/>
              <w:rPr>
                <w:sz w:val="1"/>
                <w:szCs w:val="1"/>
                <w:color w:val="auto"/>
              </w:rPr>
            </w:pPr>
          </w:p>
        </w:tc>
      </w:tr>
      <w:tr>
        <w:trPr>
          <w:trHeight w:val="227"/>
        </w:trPr>
        <w:tc>
          <w:tcPr>
            <w:tcW w:w="1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President</w:t>
            </w:r>
          </w:p>
        </w:tc>
        <w:tc>
          <w:tcPr>
            <w:tcW w:w="14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585,361</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509,834</w:t>
            </w:r>
          </w:p>
        </w:tc>
        <w:tc>
          <w:tcPr>
            <w:tcW w:w="14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334,803</w:t>
            </w:r>
          </w:p>
        </w:tc>
        <w:tc>
          <w:tcPr>
            <w:tcW w:w="14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16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1,432,747</w:t>
            </w:r>
          </w:p>
        </w:tc>
        <w:tc>
          <w:tcPr>
            <w:tcW w:w="0" w:type="dxa"/>
            <w:vAlign w:val="bottom"/>
          </w:tcPr>
          <w:p>
            <w:pPr>
              <w:spacing w:after="0"/>
              <w:rPr>
                <w:sz w:val="1"/>
                <w:szCs w:val="1"/>
                <w:color w:val="auto"/>
              </w:rPr>
            </w:pPr>
          </w:p>
        </w:tc>
      </w:tr>
      <w:tr>
        <w:trPr>
          <w:trHeight w:val="65"/>
        </w:trPr>
        <w:tc>
          <w:tcPr>
            <w:tcW w:w="18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13925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314" w:lineRule="exact"/>
        <w:rPr>
          <w:sz w:val="20"/>
          <w:szCs w:val="20"/>
          <w:color w:val="auto"/>
        </w:rPr>
      </w:pPr>
    </w:p>
    <w:p>
      <w:pPr>
        <w:ind w:left="940" w:right="140" w:hanging="309"/>
        <w:spacing w:after="0" w:line="295" w:lineRule="auto"/>
        <w:tabs>
          <w:tab w:leader="none" w:pos="9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represent the prorated total salaries paid to the NEO's inclusive of the annual merit increase in February 2022 and other increases, as applicable.</w:t>
      </w:r>
    </w:p>
    <w:p>
      <w:pPr>
        <w:spacing w:after="0" w:line="41" w:lineRule="exact"/>
        <w:rPr>
          <w:rFonts w:ascii="Times New Roman" w:cs="Times New Roman" w:eastAsia="Times New Roman" w:hAnsi="Times New Roman"/>
          <w:sz w:val="17"/>
          <w:szCs w:val="17"/>
          <w:color w:val="auto"/>
        </w:rPr>
      </w:pPr>
    </w:p>
    <w:p>
      <w:pPr>
        <w:ind w:left="940" w:right="60" w:hanging="309"/>
        <w:spacing w:after="0" w:line="260" w:lineRule="auto"/>
        <w:tabs>
          <w:tab w:leader="none" w:pos="9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represent the aggregate grant date fair value of the target level of stock awards computed in accordance with ASC Topic 718. For a discussion of the assumptions and methodologies used in calculating the grant date fair value of these awards, refer to Note 11—Share-based Compensation within the notes to the Company’s consolidated financial statements</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Certain of the stock awards granted in 2022 and 2021 are scheduled to vest based upon the achievement of performance conditions relating to cumulative “Free Cash Flow” at the end of a two or three-year measuring period, respectively. Free Cash Flow is a non-GAAP measure used by management to measure the Company’s operating cash flow in determining whether PBRSU targets have been achieved. The amounts for these awards are presented based on 100% of the fair market value on the date of grant. When there is a stock award, but no performance metric set for portions of the award, the portion is considered granted upon approval of the performance metric. As the 2022 performance metric for portions of the 2021 performance-based restricted stock units (“PBRSU”) award and the 2022 PBRSU award were set in January and February 2022, the amounts include, and only include, those portions of the awards. Actual results could materially differ from this estimate. The maximum amounts payable for awards granted during fiscal 2022 assuming the highest level of performance cannot exceed the total amount granted.</w:t>
      </w:r>
    </w:p>
    <w:p>
      <w:pPr>
        <w:spacing w:after="0" w:line="72" w:lineRule="exact"/>
        <w:rPr>
          <w:rFonts w:ascii="Times New Roman" w:cs="Times New Roman" w:eastAsia="Times New Roman" w:hAnsi="Times New Roman"/>
          <w:sz w:val="17"/>
          <w:szCs w:val="17"/>
          <w:color w:val="auto"/>
        </w:rPr>
      </w:pPr>
    </w:p>
    <w:p>
      <w:pPr>
        <w:ind w:left="940" w:right="260" w:hanging="309"/>
        <w:spacing w:after="0" w:line="295" w:lineRule="auto"/>
        <w:tabs>
          <w:tab w:leader="none" w:pos="9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bonus amounts were calculated off of the prorated total salary for Mr. Lesinski, to reflect his amended employment agreement, effective August 1, 2022. Prior to the amended employment agreement, his salary was increased from his 2021 base salary to $795,675 in February 2022.</w:t>
      </w:r>
    </w:p>
    <w:p>
      <w:pPr>
        <w:spacing w:after="0" w:line="41" w:lineRule="exact"/>
        <w:rPr>
          <w:rFonts w:ascii="Times New Roman" w:cs="Times New Roman" w:eastAsia="Times New Roman" w:hAnsi="Times New Roman"/>
          <w:sz w:val="17"/>
          <w:szCs w:val="17"/>
          <w:color w:val="auto"/>
        </w:rPr>
      </w:pPr>
    </w:p>
    <w:p>
      <w:pPr>
        <w:ind w:left="940" w:hanging="309"/>
        <w:spacing w:after="0" w:line="295" w:lineRule="auto"/>
        <w:tabs>
          <w:tab w:leader="none" w:pos="9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provides details about each component of the “All Other Compensation” column from the Fiscal 2022 Summary Compensation Table above for fiscal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7" w:name="page108"/>
    <w:bookmarkEnd w:id="107"/>
    <w:tbl>
      <w:tblPr>
        <w:tblLayout w:type="fixed"/>
        <w:tblInd w:w="640" w:type="dxa"/>
        <w:tblCellMar>
          <w:top w:w="0" w:type="dxa"/>
          <w:left w:w="0" w:type="dxa"/>
          <w:bottom w:w="0" w:type="dxa"/>
          <w:right w:w="0" w:type="dxa"/>
        </w:tblCellMar>
      </w:tblPr>
      <w:tr>
        <w:trPr>
          <w:trHeight w:val="195"/>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401(k)</w:t>
            </w:r>
          </w:p>
        </w:tc>
        <w:tc>
          <w:tcPr>
            <w:tcW w:w="140" w:type="dxa"/>
            <w:vAlign w:val="bottom"/>
          </w:tcPr>
          <w:p>
            <w:pPr>
              <w:spacing w:after="0"/>
              <w:rPr>
                <w:sz w:val="17"/>
                <w:szCs w:val="17"/>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Term Life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Disability</w:t>
            </w:r>
          </w:p>
        </w:tc>
        <w:tc>
          <w:tcPr>
            <w:tcW w:w="180" w:type="dxa"/>
            <w:vAlign w:val="bottom"/>
          </w:tcPr>
          <w:p>
            <w:pPr>
              <w:spacing w:after="0"/>
              <w:rPr>
                <w:sz w:val="17"/>
                <w:szCs w:val="17"/>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Misc.</w:t>
            </w:r>
          </w:p>
        </w:tc>
        <w:tc>
          <w:tcPr>
            <w:tcW w:w="140" w:type="dxa"/>
            <w:vAlign w:val="bottom"/>
          </w:tcPr>
          <w:p>
            <w:pPr>
              <w:spacing w:after="0"/>
              <w:rPr>
                <w:sz w:val="17"/>
                <w:szCs w:val="17"/>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8"/>
              </w:rPr>
              <w:t>Total All</w:t>
            </w:r>
          </w:p>
        </w:tc>
        <w:tc>
          <w:tcPr>
            <w:tcW w:w="0" w:type="dxa"/>
            <w:vAlign w:val="bottom"/>
          </w:tcPr>
          <w:p>
            <w:pPr>
              <w:spacing w:after="0"/>
              <w:rPr>
                <w:sz w:val="1"/>
                <w:szCs w:val="1"/>
                <w:color w:val="auto"/>
              </w:rPr>
            </w:pPr>
          </w:p>
        </w:tc>
      </w:tr>
      <w:tr>
        <w:trPr>
          <w:trHeight w:val="170"/>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7"/>
                <w:szCs w:val="17"/>
                <w:b w:val="1"/>
                <w:bCs w:val="1"/>
                <w:color w:val="auto"/>
              </w:rPr>
              <w:t>Employer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7"/>
                <w:szCs w:val="17"/>
                <w:b w:val="1"/>
                <w:bCs w:val="1"/>
                <w:color w:val="auto"/>
              </w:rPr>
              <w:t>Insurance</w:t>
            </w: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3"/>
              <w:spacing w:after="0" w:line="170" w:lineRule="exact"/>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35"/>
        </w:trPr>
        <w:tc>
          <w:tcPr>
            <w:tcW w:w="288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Contribution (a)</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Insurance (b)</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(c)</w:t>
            </w:r>
          </w:p>
        </w:tc>
        <w:tc>
          <w:tcPr>
            <w:tcW w:w="18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(d)</w:t>
            </w:r>
          </w:p>
        </w:tc>
        <w:tc>
          <w:tcPr>
            <w:tcW w:w="140" w:type="dxa"/>
            <w:vAlign w:val="bottom"/>
          </w:tcPr>
          <w:p>
            <w:pPr>
              <w:spacing w:after="0"/>
              <w:rPr>
                <w:sz w:val="20"/>
                <w:szCs w:val="20"/>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15"/>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27,158</w:t>
            </w:r>
          </w:p>
        </w:tc>
        <w:tc>
          <w:tcPr>
            <w:tcW w:w="0" w:type="dxa"/>
            <w:vAlign w:val="bottom"/>
          </w:tcPr>
          <w:p>
            <w:pPr>
              <w:spacing w:after="0"/>
              <w:rPr>
                <w:sz w:val="1"/>
                <w:szCs w:val="1"/>
                <w:color w:val="auto"/>
              </w:rPr>
            </w:pPr>
          </w:p>
        </w:tc>
      </w:tr>
      <w:tr>
        <w:trPr>
          <w:trHeight w:val="222"/>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Ronnie Y. Ng</w:t>
            </w: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0" w:type="dxa"/>
            <w:vAlign w:val="bottom"/>
          </w:tcPr>
          <w:p>
            <w:pPr>
              <w:spacing w:after="0"/>
              <w:rPr>
                <w:sz w:val="1"/>
                <w:szCs w:val="1"/>
                <w:color w:val="auto"/>
              </w:rPr>
            </w:pPr>
          </w:p>
        </w:tc>
      </w:tr>
      <w:tr>
        <w:trPr>
          <w:trHeight w:val="222"/>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Scott D. Felenstein</w:t>
            </w:r>
          </w:p>
        </w:tc>
        <w:tc>
          <w:tcPr>
            <w:tcW w:w="6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20389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38985" cy="8255"/>
                    </a:xfrm>
                    <a:prstGeom prst="rect">
                      <a:avLst/>
                    </a:prstGeom>
                    <a:noFill/>
                  </pic:spPr>
                </pic:pic>
              </a:graphicData>
            </a:graphic>
          </wp:anchor>
        </w:drawing>
      </w:r>
    </w:p>
    <w:p>
      <w:pPr>
        <w:spacing w:after="0" w:line="223" w:lineRule="exact"/>
        <w:rPr>
          <w:sz w:val="20"/>
          <w:szCs w:val="20"/>
          <w:color w:val="auto"/>
        </w:rPr>
      </w:pPr>
    </w:p>
    <w:p>
      <w:pPr>
        <w:jc w:val="both"/>
        <w:ind w:left="940" w:right="200" w:hanging="309"/>
        <w:spacing w:after="0" w:line="275" w:lineRule="auto"/>
        <w:tabs>
          <w:tab w:leader="none" w:pos="93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matching contributions made pursuant to NCM LLC’s defined contribution 401(k) plan. Eligible employees, including the NEOs, are eligible for a discretionary contribution under the 401(k) plan on base pay up to IRS limits. Note that the 401(k) match has been suspended since April 2020.</w:t>
      </w:r>
    </w:p>
    <w:p>
      <w:pPr>
        <w:spacing w:after="0" w:line="5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imputed income for term life insurance coverage.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imputed income for long-term and short-term disability insurance coverage.</w:t>
      </w:r>
    </w:p>
    <w:p>
      <w:pPr>
        <w:spacing w:after="0" w:line="117" w:lineRule="exact"/>
        <w:rPr>
          <w:rFonts w:ascii="Times New Roman" w:cs="Times New Roman" w:eastAsia="Times New Roman" w:hAnsi="Times New Roman"/>
          <w:sz w:val="17"/>
          <w:szCs w:val="17"/>
          <w:color w:val="auto"/>
        </w:rPr>
      </w:pPr>
    </w:p>
    <w:p>
      <w:pPr>
        <w:ind w:left="940" w:right="440" w:hanging="309"/>
        <w:spacing w:after="0" w:line="295" w:lineRule="auto"/>
        <w:tabs>
          <w:tab w:leader="none" w:pos="93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taxable fringe benefits and allowances for Messrs. Ng and Felenstein and contractual compensation outlined within Mr. Lesinski’s amended employment agreement as discussed further within section “Employment Agreements”.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29,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Stock Option Awards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Restricted Stock Awards and RSUs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18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0"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8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89"/>
              </w:rPr>
              <w:t>Value</w:t>
            </w:r>
          </w:p>
        </w:tc>
        <w:tc>
          <w:tcPr>
            <w:tcW w:w="118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5"/>
              </w:rPr>
              <w:t>Plan Award:</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8"/>
              </w:rPr>
              <w:t>of Shares of</w:t>
            </w:r>
          </w:p>
        </w:tc>
        <w:tc>
          <w:tcPr>
            <w:tcW w:w="118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w w:val="95"/>
              </w:rPr>
              <w:t>Award: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6"/>
              </w:rPr>
              <w:t>Market or</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5"/>
              </w:rPr>
              <w:t>Securities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5"/>
              </w:rPr>
              <w:t>Shares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b w:val="1"/>
                <w:bCs w:val="1"/>
                <w:color w:val="auto"/>
                <w:w w:val="94"/>
              </w:rPr>
              <w:t>Stock</w:t>
            </w:r>
          </w:p>
        </w:tc>
        <w:tc>
          <w:tcPr>
            <w:tcW w:w="11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5"/>
              </w:rPr>
              <w:t>Payout Value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Underlying</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Underlying</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of Stock</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7"/>
              </w:rPr>
              <w:t>That</w:t>
            </w:r>
          </w:p>
        </w:tc>
        <w:tc>
          <w:tcPr>
            <w:tcW w:w="118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6"/>
                <w:szCs w:val="16"/>
                <w:b w:val="1"/>
                <w:bCs w:val="1"/>
                <w:color w:val="auto"/>
                <w:w w:val="97"/>
              </w:rPr>
              <w:t>Unearned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02"/>
              <w:spacing w:after="0" w:line="157" w:lineRule="exact"/>
              <w:rPr>
                <w:sz w:val="20"/>
                <w:szCs w:val="20"/>
                <w:color w:val="auto"/>
              </w:rPr>
            </w:pPr>
            <w:r>
              <w:rPr>
                <w:rFonts w:ascii="Times New Roman" w:cs="Times New Roman" w:eastAsia="Times New Roman" w:hAnsi="Times New Roman"/>
                <w:sz w:val="16"/>
                <w:szCs w:val="16"/>
                <w:b w:val="1"/>
                <w:bCs w:val="1"/>
                <w:color w:val="auto"/>
                <w:w w:val="98"/>
              </w:rPr>
              <w:t>of Unearned</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That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18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6"/>
              </w:rPr>
              <w:t>Shares That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02"/>
              <w:spacing w:after="0" w:line="157" w:lineRule="exact"/>
              <w:rPr>
                <w:sz w:val="20"/>
                <w:szCs w:val="20"/>
                <w:color w:val="auto"/>
              </w:rPr>
            </w:pPr>
            <w:r>
              <w:rPr>
                <w:rFonts w:ascii="Times New Roman" w:cs="Times New Roman" w:eastAsia="Times New Roman" w:hAnsi="Times New Roman"/>
                <w:sz w:val="16"/>
                <w:szCs w:val="16"/>
                <w:b w:val="1"/>
                <w:bCs w:val="1"/>
                <w:color w:val="auto"/>
                <w:w w:val="96"/>
              </w:rPr>
              <w:t>Shares That</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5"/>
              </w:rPr>
              <w:t>Options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7"/>
              </w:rPr>
              <w:t>Expiration</w:t>
            </w: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5"/>
              </w:rPr>
              <w:t>Vested</w:t>
            </w:r>
          </w:p>
        </w:tc>
        <w:tc>
          <w:tcPr>
            <w:tcW w:w="11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Date (1)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Vested (2)</w:t>
            </w:r>
          </w:p>
        </w:tc>
        <w:tc>
          <w:tcPr>
            <w:tcW w:w="0" w:type="dxa"/>
            <w:vAlign w:val="bottom"/>
          </w:tcPr>
          <w:p>
            <w:pPr>
              <w:spacing w:after="0"/>
              <w:rPr>
                <w:sz w:val="1"/>
                <w:szCs w:val="1"/>
                <w:color w:val="auto"/>
              </w:rPr>
            </w:pPr>
          </w:p>
        </w:tc>
      </w:tr>
      <w:tr>
        <w:trPr>
          <w:trHeight w:val="151"/>
        </w:trPr>
        <w:tc>
          <w:tcPr>
            <w:tcW w:w="98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Thomas F.</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650,198</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8/2/2029</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2"/>
              <w:spacing w:after="0" w:line="152"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Lesinski</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333,737</w:t>
            </w:r>
          </w:p>
        </w:tc>
        <w:tc>
          <w:tcPr>
            <w:tcW w:w="14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166,689</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7/29/2030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92,251</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22,140</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1"/>
        </w:trPr>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420" w:type="dxa"/>
            <w:vAlign w:val="bottom"/>
            <w:gridSpan w:val="4"/>
            <w:vMerge w:val="continue"/>
            <w:shd w:val="clear" w:color="auto" w:fill="CCEEFF"/>
          </w:tcPr>
          <w:p>
            <w:pPr>
              <w:spacing w:after="0"/>
              <w:rPr>
                <w:sz w:val="4"/>
                <w:szCs w:val="4"/>
                <w:color w:val="auto"/>
              </w:rPr>
            </w:pPr>
          </w:p>
        </w:tc>
        <w:tc>
          <w:tcPr>
            <w:tcW w:w="360" w:type="dxa"/>
            <w:vAlign w:val="bottom"/>
            <w:gridSpan w:val="2"/>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39,725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161,812</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370,930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237,341</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Ronnie Y. Ng</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9/27/2031</w:t>
            </w:r>
          </w:p>
        </w:tc>
        <w:tc>
          <w:tcPr>
            <w:tcW w:w="10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14,815</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11,000</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121,212</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15,152</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Scott D.</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11,000</w:t>
            </w:r>
          </w:p>
        </w:tc>
        <w:tc>
          <w:tcPr>
            <w:tcW w:w="4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2,640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49,500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w w:val="97"/>
              </w:rPr>
              <w:t>(18)</w:t>
            </w:r>
          </w:p>
        </w:tc>
        <w:tc>
          <w:tcPr>
            <w:tcW w:w="1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Felenstein</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15,890</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1"/>
        </w:trPr>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40" w:type="dxa"/>
            <w:vAlign w:val="bottom"/>
            <w:gridSpan w:val="2"/>
            <w:vMerge w:val="continue"/>
            <w:shd w:val="clear" w:color="auto" w:fill="CCEEFF"/>
          </w:tcPr>
          <w:p>
            <w:pPr>
              <w:spacing w:after="0"/>
              <w:rPr>
                <w:sz w:val="4"/>
                <w:szCs w:val="4"/>
                <w:color w:val="auto"/>
              </w:rPr>
            </w:pPr>
          </w:p>
        </w:tc>
        <w:tc>
          <w:tcPr>
            <w:tcW w:w="1140" w:type="dxa"/>
            <w:vAlign w:val="bottom"/>
            <w:gridSpan w:val="2"/>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40,764</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30,573</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161,616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157"/>
        </w:trPr>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40" w:right="160" w:hanging="309"/>
        <w:spacing w:after="0" w:line="295" w:lineRule="auto"/>
        <w:tabs>
          <w:tab w:leader="none" w:pos="93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generally expire 90 days from the term date if the NEO terminates employment. In the event of termination without cause, Mr. Lesinski’s options expire 180 days from the term date.</w:t>
      </w:r>
    </w:p>
    <w:p>
      <w:pPr>
        <w:spacing w:after="0" w:line="41" w:lineRule="exact"/>
        <w:rPr>
          <w:rFonts w:ascii="Times New Roman" w:cs="Times New Roman" w:eastAsia="Times New Roman" w:hAnsi="Times New Roman"/>
          <w:sz w:val="17"/>
          <w:szCs w:val="17"/>
          <w:color w:val="auto"/>
        </w:rPr>
      </w:pPr>
    </w:p>
    <w:p>
      <w:pPr>
        <w:ind w:left="940" w:right="40" w:hanging="309"/>
        <w:spacing w:after="0" w:line="266" w:lineRule="auto"/>
        <w:tabs>
          <w:tab w:leader="none" w:pos="93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are based on the closing stock price, $0.24 per share, on December 29, 2022 based on the target level of performance. The amounts for these awards are presented based on 100% of the fair market value on the date of grant. When there is a stock award, but no performance metric set for portions of the award, the portion is considered granted upon approval of the performance metric. As the 2022 performance metric for portions of the 2021 PBRSU award and the 2022 PBRSU award were set in January and February 2022, the amounts include, and only include, those portions of the awards.</w:t>
      </w:r>
    </w:p>
    <w:p>
      <w:pPr>
        <w:spacing w:after="0" w:line="65"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vest 33.33% per year commencing on July 29, 2020, subject to continuous service.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8" w:name="page109"/>
    <w:bookmarkEnd w:id="108"/>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vest 33.33% per year commencing on August 4,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vest 33.33% per year commencing on August 1, 2022,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vest 33.33% per year commencing on September 27,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 33.33% per year commencing on July 29, 2020,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 50.0% per year commencing on February 28,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August 4,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August 1, 2022, subject to continuous service.</w:t>
      </w:r>
    </w:p>
    <w:p>
      <w:pPr>
        <w:spacing w:after="0" w:line="117" w:lineRule="exact"/>
        <w:rPr>
          <w:rFonts w:ascii="Times New Roman" w:cs="Times New Roman" w:eastAsia="Times New Roman" w:hAnsi="Times New Roman"/>
          <w:sz w:val="17"/>
          <w:szCs w:val="17"/>
          <w:color w:val="auto"/>
        </w:rPr>
      </w:pPr>
    </w:p>
    <w:p>
      <w:pPr>
        <w:ind w:left="920" w:hanging="289"/>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September 27,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 February 26, 2024,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February 23, 2022,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vests 33.33% per year commencing on January 22, 2020,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January 20, 2021, subject to continuous service.</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vests 33.33% per year commencing on July 2, 2021, subject to continuous service.</w:t>
      </w:r>
    </w:p>
    <w:p>
      <w:pPr>
        <w:spacing w:after="0" w:line="117" w:lineRule="exact"/>
        <w:rPr>
          <w:rFonts w:ascii="Times New Roman" w:cs="Times New Roman" w:eastAsia="Times New Roman" w:hAnsi="Times New Roman"/>
          <w:sz w:val="17"/>
          <w:szCs w:val="17"/>
          <w:color w:val="auto"/>
        </w:rPr>
      </w:pPr>
    </w:p>
    <w:p>
      <w:pPr>
        <w:ind w:left="940" w:right="280" w:hanging="309"/>
        <w:spacing w:after="0" w:line="275" w:lineRule="auto"/>
        <w:tabs>
          <w:tab w:leader="none" w:pos="9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 awards are scheduled to vest based on achievement of the actual cumulative “Free Cash Flow” target at the end of the three-year measuring period. These figures assume 100% vesting of PBRS prior to any modification. The performance metrics for the 2023 and 2024 performance years have not yet been set.</w:t>
      </w:r>
    </w:p>
    <w:p>
      <w:pPr>
        <w:spacing w:after="0" w:line="59" w:lineRule="exact"/>
        <w:rPr>
          <w:rFonts w:ascii="Times New Roman" w:cs="Times New Roman" w:eastAsia="Times New Roman" w:hAnsi="Times New Roman"/>
          <w:sz w:val="17"/>
          <w:szCs w:val="17"/>
          <w:color w:val="auto"/>
        </w:rPr>
      </w:pPr>
    </w:p>
    <w:p>
      <w:pPr>
        <w:ind w:left="940" w:right="260" w:hanging="309"/>
        <w:spacing w:after="0" w:line="295" w:lineRule="auto"/>
        <w:tabs>
          <w:tab w:leader="none" w:pos="9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awards are scheduled to vest based on achievement of the actual cumulative “Free Cash Flow” target at the end of the three-year measuring period for the 2020 and 2021 grants. These figures assume 100% vesting of PBRS prior to any modification.</w:t>
      </w:r>
    </w:p>
    <w:p>
      <w:pPr>
        <w:spacing w:after="0" w:line="41" w:lineRule="exact"/>
        <w:rPr>
          <w:rFonts w:ascii="Times New Roman" w:cs="Times New Roman" w:eastAsia="Times New Roman" w:hAnsi="Times New Roman"/>
          <w:sz w:val="17"/>
          <w:szCs w:val="17"/>
          <w:color w:val="auto"/>
        </w:rPr>
      </w:pPr>
    </w:p>
    <w:p>
      <w:pPr>
        <w:jc w:val="both"/>
        <w:ind w:left="940" w:right="20" w:hanging="309"/>
        <w:spacing w:after="0" w:line="275" w:lineRule="auto"/>
        <w:tabs>
          <w:tab w:leader="none" w:pos="9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 awards are scheduled to vest based on achievement of the actual cumulative “Free Cash Flow” target at the end of the two-year measuring period the 2022 grants. These figures assume 90% vesting of PBRS prior to any modification. The performance metric for the 2023 performance year has not yet been set.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2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The following summaries set forth potential payments payable to our NEOs upon termination of their employment or a change in control of NCM, Inc. under their employment agreements, as amended, and under the Equity Incentive Plan. The following discussion is based on the assumption that the actual bonus amount would be the target amount reported as a non-equity incentive plan award in the Grants of Plan Based Awards table. Actual payments may be more or less than the amounts described below. In addition, the Company may enter into new arrangements or modify these arrangements, from time to time. Each employment agreement provides additional detail and definitions for the termination reasons, such as disability, cause and change in control, among others.</w:t>
      </w:r>
    </w:p>
    <w:p>
      <w:pPr>
        <w:spacing w:after="0" w:line="65" w:lineRule="exact"/>
        <w:rPr>
          <w:sz w:val="20"/>
          <w:szCs w:val="20"/>
          <w:color w:val="auto"/>
        </w:rPr>
      </w:pPr>
    </w:p>
    <w:p>
      <w:pPr>
        <w:ind w:right="220" w:firstLine="509"/>
        <w:spacing w:after="0" w:line="295" w:lineRule="auto"/>
        <w:rPr>
          <w:sz w:val="20"/>
          <w:szCs w:val="20"/>
          <w:color w:val="auto"/>
        </w:rPr>
      </w:pPr>
      <w:r>
        <w:rPr>
          <w:rFonts w:ascii="Times New Roman" w:cs="Times New Roman" w:eastAsia="Times New Roman" w:hAnsi="Times New Roman"/>
          <w:sz w:val="17"/>
          <w:szCs w:val="17"/>
          <w:color w:val="auto"/>
        </w:rPr>
        <w:t>The following table assumes the executive’s employment was terminated under each of these circumstances on December 29, 2022 and such payments and benefits have an estimated value of:</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Cash</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Medical</w:t>
            </w:r>
          </w:p>
        </w:tc>
        <w:tc>
          <w:tcPr>
            <w:tcW w:w="12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Term Life</w:t>
            </w:r>
          </w:p>
        </w:tc>
        <w:tc>
          <w:tcPr>
            <w:tcW w:w="120" w:type="dxa"/>
            <w:vAlign w:val="bottom"/>
          </w:tcPr>
          <w:p>
            <w:pPr>
              <w:spacing w:after="0"/>
              <w:rPr>
                <w:sz w:val="16"/>
                <w:szCs w:val="16"/>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Disability</w:t>
            </w:r>
          </w:p>
        </w:tc>
        <w:tc>
          <w:tcPr>
            <w:tcW w:w="100" w:type="dxa"/>
            <w:vAlign w:val="bottom"/>
          </w:tcPr>
          <w:p>
            <w:pPr>
              <w:spacing w:after="0"/>
              <w:rPr>
                <w:sz w:val="16"/>
                <w:szCs w:val="16"/>
                <w:color w:val="auto"/>
              </w:rPr>
            </w:pP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401(k)</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b w:val="1"/>
                <w:bCs w:val="1"/>
                <w:color w:val="auto"/>
                <w:w w:val="98"/>
              </w:rPr>
              <w:t>Accelerated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89"/>
              <w:spacing w:after="0" w:line="157" w:lineRule="exact"/>
              <w:rPr>
                <w:sz w:val="20"/>
                <w:szCs w:val="20"/>
                <w:color w:val="auto"/>
              </w:rPr>
            </w:pPr>
            <w:r>
              <w:rPr>
                <w:rFonts w:ascii="Times New Roman" w:cs="Times New Roman" w:eastAsia="Times New Roman" w:hAnsi="Times New Roman"/>
                <w:sz w:val="16"/>
                <w:szCs w:val="16"/>
                <w:b w:val="1"/>
                <w:bCs w:val="1"/>
                <w:color w:val="auto"/>
              </w:rPr>
              <w:t>Severance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6"/>
              </w:rPr>
              <w:t>Insurance</w:t>
            </w:r>
          </w:p>
        </w:tc>
        <w:tc>
          <w:tcPr>
            <w:tcW w:w="120" w:type="dxa"/>
            <w:vAlign w:val="bottom"/>
          </w:tcPr>
          <w:p>
            <w:pPr>
              <w:spacing w:after="0"/>
              <w:rPr>
                <w:sz w:val="13"/>
                <w:szCs w:val="13"/>
                <w:color w:val="auto"/>
              </w:rPr>
            </w:pPr>
          </w:p>
        </w:tc>
        <w:tc>
          <w:tcPr>
            <w:tcW w:w="104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6"/>
              </w:rPr>
              <w:t>Insurance</w:t>
            </w:r>
          </w:p>
        </w:tc>
        <w:tc>
          <w:tcPr>
            <w:tcW w:w="100" w:type="dxa"/>
            <w:vAlign w:val="bottom"/>
          </w:tcPr>
          <w:p>
            <w:pPr>
              <w:spacing w:after="0"/>
              <w:rPr>
                <w:sz w:val="13"/>
                <w:szCs w:val="13"/>
                <w:color w:val="auto"/>
              </w:rPr>
            </w:pPr>
          </w:p>
        </w:tc>
        <w:tc>
          <w:tcPr>
            <w:tcW w:w="1320" w:type="dxa"/>
            <w:vAlign w:val="bottom"/>
            <w:gridSpan w:val="2"/>
          </w:tcPr>
          <w:p>
            <w:pPr>
              <w:ind w:left="220"/>
              <w:spacing w:after="0" w:line="157" w:lineRule="exact"/>
              <w:rPr>
                <w:sz w:val="20"/>
                <w:szCs w:val="20"/>
                <w:color w:val="auto"/>
              </w:rPr>
            </w:pPr>
            <w:r>
              <w:rPr>
                <w:rFonts w:ascii="Times New Roman" w:cs="Times New Roman" w:eastAsia="Times New Roman" w:hAnsi="Times New Roman"/>
                <w:sz w:val="16"/>
                <w:szCs w:val="16"/>
                <w:b w:val="1"/>
                <w:bCs w:val="1"/>
                <w:color w:val="auto"/>
              </w:rPr>
              <w:t>Employer</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220" w:type="dxa"/>
            <w:vAlign w:val="bottom"/>
          </w:tcPr>
          <w:p>
            <w:pPr>
              <w:spacing w:after="0"/>
              <w:rPr>
                <w:sz w:val="13"/>
                <w:szCs w:val="13"/>
                <w:color w:val="auto"/>
              </w:rPr>
            </w:pPr>
          </w:p>
        </w:tc>
        <w:tc>
          <w:tcPr>
            <w:tcW w:w="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(1) (2)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Contribution (4)</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Awards (5)</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Thomas F. Lesinski (a)</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620" w:type="dxa"/>
            <w:vAlign w:val="bottom"/>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Without Cause or For Good Reason or Non-</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1,769,027</w:t>
            </w: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65,918</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1,854,550</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renewal by Company</w:t>
            </w: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2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Without Cause or For Good Reason in</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3,538,054</w:t>
            </w: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257,664</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3,815,323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connection with a Change of Control**</w:t>
            </w: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Death</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85,523</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Disability*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553,861</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Ronnie Y. Ng (b)</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color w:val="auto"/>
              </w:rPr>
              <w:t>Without Cause or For Good Reason or Non-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787,500</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17,202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25,869</w:t>
            </w:r>
          </w:p>
        </w:tc>
        <w:tc>
          <w:tcPr>
            <w:tcW w:w="100" w:type="dxa"/>
            <w:vAlign w:val="bottom"/>
          </w:tcPr>
          <w:p>
            <w:pPr>
              <w:spacing w:after="0"/>
              <w:rPr>
                <w:sz w:val="12"/>
                <w:szCs w:val="12"/>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830,571</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renewal by Company</w:t>
            </w:r>
          </w:p>
        </w:tc>
        <w:tc>
          <w:tcPr>
            <w:tcW w:w="2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26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Without Cause or For Good Reason in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787,500</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17,202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49,697</w:t>
            </w:r>
          </w:p>
        </w:tc>
        <w:tc>
          <w:tcPr>
            <w:tcW w:w="100" w:type="dxa"/>
            <w:vAlign w:val="bottom"/>
          </w:tcPr>
          <w:p>
            <w:pPr>
              <w:spacing w:after="0"/>
              <w:rPr>
                <w:sz w:val="12"/>
                <w:szCs w:val="12"/>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854,399</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connection with a Change of Control**</w:t>
            </w:r>
          </w:p>
        </w:tc>
        <w:tc>
          <w:tcPr>
            <w:tcW w:w="2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Death</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269,234</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Scott D. Felenstein (c)</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620" w:type="dxa"/>
            <w:vAlign w:val="bottom"/>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Without Cause or For Good Reason or Non-</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1,238,575</w:t>
            </w: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1,307,561</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renewal by Company</w:t>
            </w: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2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Without Cause or For Good Reason in</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1,238,575</w:t>
            </w: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114,111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1,352,686</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connection with a Change of Control**</w:t>
            </w: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Death</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68,986</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Disability*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334,750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406,024</w:t>
            </w:r>
          </w:p>
        </w:tc>
        <w:tc>
          <w:tcPr>
            <w:tcW w:w="0" w:type="dxa"/>
            <w:vAlign w:val="bottom"/>
          </w:tcPr>
          <w:p>
            <w:pPr>
              <w:spacing w:after="0"/>
              <w:rPr>
                <w:sz w:val="1"/>
                <w:szCs w:val="1"/>
                <w:color w:val="auto"/>
              </w:rPr>
            </w:pPr>
          </w:p>
        </w:tc>
      </w:tr>
      <w:tr>
        <w:trPr>
          <w:trHeight w:val="170"/>
        </w:trPr>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80" w:hanging="658"/>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amounts offset by disability insurance payments</w:t>
      </w:r>
    </w:p>
    <w:p>
      <w:pPr>
        <w:spacing w:after="0" w:line="32" w:lineRule="exact"/>
        <w:rPr>
          <w:sz w:val="20"/>
          <w:szCs w:val="20"/>
          <w:color w:val="auto"/>
        </w:rPr>
      </w:pPr>
    </w:p>
    <w:p>
      <w:pPr>
        <w:ind w:left="680" w:right="180" w:hanging="658"/>
        <w:spacing w:after="0" w:line="256"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is defined as 12 months following the change of control within the respective employee agreements and 3 months prior to or one year following a change of control within the respective equity agreements.</w:t>
      </w:r>
    </w:p>
    <w:p>
      <w:pPr>
        <w:spacing w:after="0" w:line="60" w:lineRule="exact"/>
        <w:rPr>
          <w:rFonts w:ascii="Times New Roman" w:cs="Times New Roman" w:eastAsia="Times New Roman" w:hAnsi="Times New Roman"/>
          <w:sz w:val="17"/>
          <w:szCs w:val="17"/>
          <w:color w:val="auto"/>
        </w:rPr>
      </w:pPr>
    </w:p>
    <w:p>
      <w:pPr>
        <w:ind w:left="940" w:hanging="309"/>
        <w:spacing w:after="0" w:line="261" w:lineRule="auto"/>
        <w:tabs>
          <w:tab w:leader="none" w:pos="93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employment of the NEO is terminated by NCM, Inc. for reasons other than disability, death or cause, or the executive resigns for good reason, as defined in the NEO's employment agreement, or the agreement is not renewed on substantially equal terms, the NEO will be entitled to severance for the period specified in the respective employment agreement. If the NEO’s employment terminates due to death, the NEO’s beneficiaries will receive the base salary paid through the end of the month of death. If Mr. Lesinski terminates his employment on account of his disability, in exchange for a release of claims against the Company, and if, and only if he is not eligible to receive benefits following the termination date under the Company’s long-term disability plan, he will be entitled to 50% of his base salary. If Mr. Ng or Mr. Felenstein terminates employment on account of his disability, in exchange for a release of claims against the Company, he will be entitled to 50% of his then base salary, offset by any disability benefits provided under a company sponsored benefit arrangement.</w:t>
      </w:r>
    </w:p>
    <w:p>
      <w:pPr>
        <w:spacing w:after="0" w:line="74" w:lineRule="exact"/>
        <w:rPr>
          <w:rFonts w:ascii="Times New Roman" w:cs="Times New Roman" w:eastAsia="Times New Roman" w:hAnsi="Times New Roman"/>
          <w:sz w:val="17"/>
          <w:szCs w:val="17"/>
          <w:color w:val="auto"/>
        </w:rPr>
      </w:pPr>
    </w:p>
    <w:p>
      <w:pPr>
        <w:ind w:left="1060" w:right="80" w:hanging="123"/>
        <w:spacing w:after="0" w:line="295" w:lineRule="auto"/>
        <w:tabs>
          <w:tab w:leader="none" w:pos="1245"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Lesinski's severance represents 100% of his base salary, plus 100% of his target bonus based on his salary in effect on December 29, 2022 paid over 12 months.</w:t>
      </w:r>
    </w:p>
    <w:p>
      <w:pPr>
        <w:spacing w:after="0" w:line="41" w:lineRule="exact"/>
        <w:rPr>
          <w:rFonts w:ascii="Times New Roman" w:cs="Times New Roman" w:eastAsia="Times New Roman" w:hAnsi="Times New Roman"/>
          <w:sz w:val="17"/>
          <w:szCs w:val="17"/>
          <w:color w:val="auto"/>
        </w:rPr>
      </w:pPr>
    </w:p>
    <w:p>
      <w:pPr>
        <w:ind w:left="1060" w:right="100" w:hanging="123"/>
        <w:spacing w:after="0" w:line="295" w:lineRule="auto"/>
        <w:tabs>
          <w:tab w:leader="none" w:pos="1255"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Ng’s severance represents 100% of his base salary, plus 100% of his target bonus based on his salary in effect on December 29, 2022 paid over 12 months.</w:t>
      </w:r>
    </w:p>
    <w:p>
      <w:pPr>
        <w:spacing w:after="0" w:line="41" w:lineRule="exact"/>
        <w:rPr>
          <w:rFonts w:ascii="Times New Roman" w:cs="Times New Roman" w:eastAsia="Times New Roman" w:hAnsi="Times New Roman"/>
          <w:sz w:val="17"/>
          <w:szCs w:val="17"/>
          <w:color w:val="auto"/>
        </w:rPr>
      </w:pPr>
    </w:p>
    <w:p>
      <w:pPr>
        <w:ind w:left="1060" w:right="400" w:hanging="123"/>
        <w:spacing w:after="0" w:line="295" w:lineRule="auto"/>
        <w:tabs>
          <w:tab w:leader="none" w:pos="1245"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Felenstein severance represents an amount equal to 100% of his base salary, plus 100% of his target bonus based on his base salary in effect on December 29, 2022 paid over 12 months.</w:t>
      </w:r>
    </w:p>
    <w:p>
      <w:pPr>
        <w:spacing w:after="0" w:line="41" w:lineRule="exact"/>
        <w:rPr>
          <w:rFonts w:ascii="Times New Roman" w:cs="Times New Roman" w:eastAsia="Times New Roman" w:hAnsi="Times New Roman"/>
          <w:sz w:val="17"/>
          <w:szCs w:val="17"/>
          <w:color w:val="auto"/>
        </w:rPr>
      </w:pPr>
    </w:p>
    <w:p>
      <w:pPr>
        <w:ind w:left="940" w:right="100" w:hanging="309"/>
        <w:spacing w:after="0" w:line="275" w:lineRule="auto"/>
        <w:tabs>
          <w:tab w:leader="none" w:pos="93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employment of Messrs. Lesinski, Ng or Felenstein is terminated by NCM, Inc. for any reason, the respective NEO is entitled to any annual, long-term or other incentive award that relates to a completed fiscal year or performance period, as applicable, and is payable (but not yet paid) on or before the date of termination or resignation.</w:t>
      </w:r>
    </w:p>
    <w:p>
      <w:pPr>
        <w:spacing w:after="0" w:line="59" w:lineRule="exact"/>
        <w:rPr>
          <w:rFonts w:ascii="Times New Roman" w:cs="Times New Roman" w:eastAsia="Times New Roman" w:hAnsi="Times New Roman"/>
          <w:sz w:val="17"/>
          <w:szCs w:val="17"/>
          <w:color w:val="auto"/>
        </w:rPr>
      </w:pPr>
    </w:p>
    <w:p>
      <w:pPr>
        <w:ind w:left="940" w:right="200" w:hanging="309"/>
        <w:spacing w:after="0" w:line="269" w:lineRule="auto"/>
        <w:tabs>
          <w:tab w:leader="none" w:pos="93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employment of Messrs. Lesinski, Ng or Felenstein is terminated by NCM, Inc. for reasons other than death or cause, or he resigns for good reason, as defined in the respective NEO's employment agreement, the applicable NEO is entitled to one year of continued coverage under the NCM, Inc. medical and health insurance plan pursuant to COBRA. The amount for Messrs. Lesinski, Ng and Felenstein represents an amount equal to 100% of the premium costs for a 12-month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10" w:name="page111"/>
    <w:bookmarkEnd w:id="110"/>
    <w:p>
      <w:pPr>
        <w:jc w:val="both"/>
        <w:ind w:left="940" w:right="40" w:hanging="309"/>
        <w:spacing w:after="0" w:line="275" w:lineRule="auto"/>
        <w:tabs>
          <w:tab w:leader="none" w:pos="93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employment of Mr. Felenstein or Mr. Ng is terminated by NCM, Inc. on account of disability, they are entitled to receive an amount equal to the cost that would be incurred by the NEO in obtaining individual benefits equivalent to the NCM, Inc. employee benefit plan or program that the NEO was participating in on the effective date of the termination for a period of up to one year.</w:t>
      </w:r>
    </w:p>
    <w:p>
      <w:pPr>
        <w:spacing w:after="0" w:line="59" w:lineRule="exact"/>
        <w:rPr>
          <w:rFonts w:ascii="Times New Roman" w:cs="Times New Roman" w:eastAsia="Times New Roman" w:hAnsi="Times New Roman"/>
          <w:sz w:val="17"/>
          <w:szCs w:val="17"/>
          <w:color w:val="auto"/>
        </w:rPr>
      </w:pPr>
    </w:p>
    <w:p>
      <w:pPr>
        <w:ind w:left="940" w:hanging="309"/>
        <w:spacing w:after="0" w:line="259" w:lineRule="auto"/>
        <w:tabs>
          <w:tab w:leader="none" w:pos="93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Equity Incentive Plan, if within three months prior to or one year after the consummation of a change of control, as defined in the Equity Incentive Plan and each NEO’s employment agreement, the NEO’s employment is terminated by NCM, Inc., its affiliate or a successor in interest without cause or by the NEO for good reason, both as defined in the Equity Incentive Plan and each NEO’s employment agreement, then all outstanding options and stock appreciation rights shall become immediately exercisable and all other awards shall become vested and any restrictions will lapse. Pursuant to the restricted stock agreements, in the case of involuntary terminations without cause, death and disability, each NEO would retain a prorated amount of shares of TBRS and PBRS equivalent to time employed during the vesting period. The retained shares would vest upon termination in the case of TBRS and upon the achievement of performance conditions in the case of PBRS. Amounts are based on the closing stock price, $0.24 per share, on December 29, 2022. Pursuant to the stock option agreements, in the case of involuntary terminations without cause, Mr. Ng’s vested stock options would expire after 90 days and Mr. Lesinski’s vested stock options would expire after 180 days. Vested stock options would expire after twelve months in the case of death or disability for either NEO. Mr. Lesinski’s and Mr. Ng’s unvested options would be forfeited on the termination date in the case of death or disability but will vest equal to the portion of the vesting period they served in their respective roles in the case of termination without cause.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following provides a discussion of the material terms of the employment agreements between NCM, Inc. and each of our NEOs. Our Compensation Committee believes these employment agreements are consistent with the standard in our industry for senior executives. The agreements provide for payments and benefits if each executive’s employment with the Company and its affiliates is terminated (i) without cause (as defined in the agreements), (ii) for good reason (as defined in the agreements), (iii) without cause or good reason three months prior to or within one year following a change of control (as defined in the agreements), (iv) in the event of death, and (v) in the event of disability. See “Potential Payments Upon Termination or Change in Control” for additional information about such payments and benefits.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Thomas F. Lesinski</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Mr. Lesinski’s employment agreement was amended on July 20, 2022 and provides that he will serve as Chief Executive Officer of NCM, Inc. The amended employment agreement became effective August 1, 2022 and shall expire on the earlier of (i) December 31, 2025 or (ii) the termination of Mr. Lesinski's employment under the agreement. Prior to this amendment, Mr. Lesinski’s original employment agreement was effective August 1, 2019, and would have expired on August 2, 2022. The amended employment agreement provides for an annual base salary of $925,000. In addition to base salary, Mr. Lesinski is eligible to receive an annual cash bonus pursuant to the Company’s annual non-equity incentive plan based upon attainment of performance goals determined by our Compensation Committee at a target of 100% of base salary. Mr. Lesinski shall also have the opportunity to receive long-term incentive awards with a grant date fair value of at least $1,000,000 plus $250,000 of premium priced options each year during the term, in such amounts and pursuant to such terms as may be determined in the sole discretion of the Board, subject to limitations in the Amended Employment Agreement related to the mix of equity awards.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If Mr. Lesinski's employment is involuntarily terminated by the Company, he will receive an amount equal to 100% of his annual base salary plus 100% of the target bonus. If Mr. Lesinski's employment is involuntarily terminated during the 12-month period following a change of control (as defined in the agreement), on the first payroll that occurs after the 55th day following the effective date of such termination he will receive a lump sum cash payment in an amount equal to 200% of his annual base salary plus 200% of the target bonus, payable in equal installments over a 12-month period. For up to 12 months following any such termination of employment, the Company will pay Mr. Lesinski an amount equal to 100% of the monthly premium paid by Mr. Lesinski for COBRA coverage under the Company’s group health and dental plans. Under the agreement, during his employment and for a one-year period following employment, Mr. Lesinski has agreed not to compete with NCM, Inc. or any of its affiliates or subsidiaries, or solicit any of the employees, officers or agents of these entities. Under the agreement, Mr. Lesinski has also agreed not to divulge or disclose customer lists or trade secrets of NCM, Inc. or its affiliates or subsidiaries except in the course of carrying out his duties under the agreement or as required by law.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Ronnie Y. Ng</w:t>
      </w:r>
    </w:p>
    <w:p>
      <w:pPr>
        <w:spacing w:after="0" w:line="122" w:lineRule="exact"/>
        <w:rPr>
          <w:sz w:val="20"/>
          <w:szCs w:val="20"/>
          <w:color w:val="auto"/>
        </w:rPr>
      </w:pPr>
    </w:p>
    <w:p>
      <w:pPr>
        <w:ind w:right="340" w:firstLine="509"/>
        <w:spacing w:after="0" w:line="269" w:lineRule="auto"/>
        <w:rPr>
          <w:sz w:val="20"/>
          <w:szCs w:val="20"/>
          <w:color w:val="auto"/>
        </w:rPr>
      </w:pPr>
      <w:r>
        <w:rPr>
          <w:rFonts w:ascii="Times New Roman" w:cs="Times New Roman" w:eastAsia="Times New Roman" w:hAnsi="Times New Roman"/>
          <w:sz w:val="17"/>
          <w:szCs w:val="17"/>
          <w:color w:val="auto"/>
        </w:rPr>
        <w:t>Mr. Ng’s employment agreement provides that he will serve as Chief Financial Officer of NCM, Inc. The employment agreement was effective September 15, 2021, and expires on September 15, 2024. The employment agreement provides for an annual base salary, subject to annual increases at the discretion of our Compensation Committee based on previous year performance, market conditions and other factors deemed relevant by our Compensation Committee. Our Compensation</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111" w:name="page112"/>
    <w:bookmarkEnd w:id="111"/>
    <w:p>
      <w:pPr>
        <w:ind w:right="340"/>
        <w:spacing w:after="0" w:line="275" w:lineRule="auto"/>
        <w:rPr>
          <w:sz w:val="20"/>
          <w:szCs w:val="20"/>
          <w:color w:val="auto"/>
        </w:rPr>
      </w:pPr>
      <w:r>
        <w:rPr>
          <w:rFonts w:ascii="Times New Roman" w:cs="Times New Roman" w:eastAsia="Times New Roman" w:hAnsi="Times New Roman"/>
          <w:sz w:val="17"/>
          <w:szCs w:val="17"/>
          <w:color w:val="auto"/>
        </w:rPr>
        <w:t>Committee set Mr. Ng’s base salary at $450,000 for 2022. In addition to base salary, Mr. Ng is eligible to receive an annual cash bonus pursuant to the Company’s annual non-equity incentive plan based upon attainment of performance goals determined by our Compensation Committee at a target of 75% of base salary. Mr. Ng shall also have the opportunity to receive long-term incentive awards of at least $300,000 annually as determined by our Board.</w:t>
      </w:r>
    </w:p>
    <w:p>
      <w:pPr>
        <w:spacing w:after="0" w:line="5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If Mr. Ng’s employment is involuntarily terminated by the Company, on the first payroll that occurs after the 55th day following the effective date of such termination he will receive an amount equal to 100% of his annual base salary plus 100% of the target bonus, payable in equal installments over a 12-month period. If Mr. Ng’s employment is involuntarily terminated during the 12-month period following a change of control (as defined in the agreement), on the first payroll that occurs after the 55th day following the effective date of such termination he will receive an amount equal to 100% of his annual base salary plus 100% of the target bonus, payable in equal installments over a 12-month period. For up to 12 months following any such termination of employment, the Company will pay Mr. Ng an amount equal to 100% of the monthly premium paid by Mr. Ng for COBRA coverage under the Company’s group health and dental plans. Under the agreement, during his employment and for a one-year period following employment, Mr. Ng has agreed not to compete with NCM, Inc. or any of its affiliates or subsidiaries, or solicit any of the employees, officers or agents of these entities. Under the agreement, Mr. Ng has also agreed not to divulge or disclose customer lists or trade secrets of NCM, Inc. or its affiliates or subsidiaries except in the course of carrying out his duties under the agreement or as required by law.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Scott D. Felenstein</w:t>
      </w:r>
    </w:p>
    <w:p>
      <w:pPr>
        <w:spacing w:after="0" w:line="16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Mr. Felenstein was promoted to President – Sales, Marketing &amp; Partnerships on July 2, 2021. Prior to this promotion, Mr. Felenstein served as Chief Revenue Officer of NCM, Inc. Mr. Felenstein’s original employment agreement was effective April 24, 2017 and his amended and restated employment agreement is effective July 2, 2021 and expires on June 30, 2024. The original and new employment agreements provide for an annual base salary, subject to annual increases at the discretion of our Compensation Committee based on previous year performance, market conditions and other factors deemed relevant by our Compensation Committee. Our Compensation Committee set Mr. Felenstein’s base salary at $669,500 for 2022. In addition to base salary, Mr. Felenstein is eligible to receive an annual cash bonus pursuant to the Company’s annual non-equity incentive plan based upon attainment of performance goals determined by our Compensation Committee at a target of base salary of 75% before his promotion and 85% upon his promotion of base salary and long-term incentive awards as determined by the Board. Mr. Felenstein shall also have the opportunity to receive long-term incentive awards of at least $600,000 annually as determined by our Board.</w:t>
      </w:r>
    </w:p>
    <w:p>
      <w:pPr>
        <w:spacing w:after="0" w:line="28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In his employee agreements, if Mr. Felenstein’s employment is involuntarily terminated by the Company, on the first payroll that occurs after the 55th day following the effective date of such termination he will receive an amount equal to 100% of his annual base salary plus 100% of the target bonus, payable in equal installments over a 12-month period. If Mr. Felenstein’s employment is involuntarily terminated during the 12-month period following a change of control (as defined in the employment agreement), on the first payroll that occurs after the 55th day following the effective date of such termination he will receive an amount equal to 100% of his annual base salary plus 100% of the target bonus, payable in equal installments over a 12-month period, and Mr. Felenstein will vest in full in any unvested shares of his initial sign-on equity grant. For up to 12 months following any such termination of employment, the Company will pay Mr. Felenstein an amount equal to 100% of the monthly premium paid by Mr. Felenstein for COBRA coverage under the Company’s group health and dental plans. Under the agreement, during his employment and for a one-year period following employment, Mr. Felenstein has agreed not to compete with NCM, Inc. or any of its affiliates or subsidiaries, or solicit any of the employees, officers or agents of these entities. Under the agreement, Mr. Felenstein has also agreed not to divulge or disclose customer lists or trade secrets of NCM, Inc. or its affiliates or subsidiaries except in the course of carrying out his duties under the agreement or as required by law.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p>
      <w:pPr>
        <w:spacing w:after="0" w:line="10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 xml:space="preserve">For our 2022 fiscal year, the base retainers and meeting fees for our directors who were not our employees, employees of our founding members, or </w:t>
      </w:r>
      <w:r>
        <w:rPr>
          <w:rFonts w:ascii="Times New Roman" w:cs="Times New Roman" w:eastAsia="Times New Roman" w:hAnsi="Times New Roman"/>
          <w:sz w:val="17"/>
          <w:szCs w:val="17"/>
          <w:color w:val="242424"/>
        </w:rPr>
        <w:t>employees of Standard General (</w:t>
      </w:r>
      <w:r>
        <w:rPr>
          <w:rFonts w:ascii="Times New Roman" w:cs="Times New Roman" w:eastAsia="Times New Roman" w:hAnsi="Times New Roman"/>
          <w:sz w:val="17"/>
          <w:szCs w:val="17"/>
          <w:color w:val="000000"/>
        </w:rPr>
        <w:t>“non-employee directors”) are as follows. In accordance with one of the Company’s cash preservation measures implemented in</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color w:val="000000"/>
        </w:rPr>
        <w:t>response to the COVID-19 pandemic, the non-employee directors were paid 80% of the 2021 retainer balances through the 2022 annual meeting date upon which the following retainers were approved by the Nominating and Governance Committee. The 2022 compensation was altered to include a larger mix of equity to retainer.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2" w:name="page113"/>
    <w:bookmarkEnd w:id="112"/>
    <w:tbl>
      <w:tblPr>
        <w:tblLayout w:type="fixed"/>
        <w:tblInd w:w="20" w:type="dxa"/>
        <w:tblCellMar>
          <w:top w:w="0" w:type="dxa"/>
          <w:left w:w="0" w:type="dxa"/>
          <w:bottom w:w="0" w:type="dxa"/>
          <w:right w:w="0" w:type="dxa"/>
        </w:tblCellMar>
      </w:tblP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$80,000 per annum</w:t>
            </w:r>
          </w:p>
        </w:tc>
        <w:tc>
          <w:tcPr>
            <w:tcW w:w="8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Retainer for non-employee director</w:t>
            </w:r>
          </w:p>
        </w:tc>
      </w:tr>
      <w:tr>
        <w:trPr>
          <w:trHeight w:val="22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$280,000 per annum</w:t>
            </w:r>
          </w:p>
        </w:tc>
        <w:tc>
          <w:tcPr>
            <w:tcW w:w="8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Retainer for serving as Non-Employee Chairman</w:t>
            </w: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$25,000 per annum</w:t>
            </w:r>
          </w:p>
        </w:tc>
        <w:tc>
          <w:tcPr>
            <w:tcW w:w="8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Chairman of the Audit Committee</w:t>
            </w:r>
          </w:p>
        </w:tc>
      </w:tr>
      <w:tr>
        <w:trPr>
          <w:trHeight w:val="22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$19,000 per annum</w:t>
            </w:r>
          </w:p>
        </w:tc>
        <w:tc>
          <w:tcPr>
            <w:tcW w:w="8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Chairman of the Compensation Committee</w:t>
            </w: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$15,000 per annum</w:t>
            </w:r>
          </w:p>
        </w:tc>
        <w:tc>
          <w:tcPr>
            <w:tcW w:w="8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Chairman of the Nominating and Governance Committee</w:t>
            </w:r>
          </w:p>
        </w:tc>
      </w:tr>
      <w:tr>
        <w:trPr>
          <w:trHeight w:val="22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$13,000 per annum</w:t>
            </w:r>
          </w:p>
        </w:tc>
        <w:tc>
          <w:tcPr>
            <w:tcW w:w="8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a member of the Audit Committee</w:t>
            </w: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$12,500 per annum</w:t>
            </w:r>
          </w:p>
        </w:tc>
        <w:tc>
          <w:tcPr>
            <w:tcW w:w="8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a member of the Compensation Committee</w:t>
            </w:r>
          </w:p>
        </w:tc>
      </w:tr>
      <w:tr>
        <w:trPr>
          <w:trHeight w:val="227"/>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$10,000 per annum</w:t>
            </w:r>
          </w:p>
        </w:tc>
        <w:tc>
          <w:tcPr>
            <w:tcW w:w="8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Additional retainer for serving as a member of the Nominating and Governance Committee</w:t>
            </w:r>
          </w:p>
        </w:tc>
      </w:tr>
    </w:tbl>
    <w:p>
      <w:pPr>
        <w:spacing w:after="0" w:line="170" w:lineRule="exact"/>
        <w:rPr>
          <w:sz w:val="20"/>
          <w:szCs w:val="20"/>
          <w:color w:val="auto"/>
        </w:rPr>
      </w:pPr>
    </w:p>
    <w:p>
      <w:pPr>
        <w:ind w:right="300" w:firstLine="509"/>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Non-Employee Chairman Cash Retainers. </w:t>
      </w:r>
      <w:r>
        <w:rPr>
          <w:rFonts w:ascii="Times New Roman" w:cs="Times New Roman" w:eastAsia="Times New Roman" w:hAnsi="Times New Roman"/>
          <w:sz w:val="17"/>
          <w:szCs w:val="17"/>
          <w:color w:val="auto"/>
        </w:rPr>
        <w:t>The compensation for the non-employee chairman is inclusive of all committee chair and member fees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reviewed by the Nominating and Governance Committee, with the assistance of FW Cook, and approved by the Board.</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Non-employee directors serving on the Board as of the annual meeting date of May 4, 2022, received a grant of equal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$120,000. Each of the RSUs vested on February 23, 2023 and had a value of $12,852 based on the closing price of the Company’s common stock on the vesting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The RSUs were settled in shares of the Company’s common stock. The RSU awards include the right to receive dividend equivalents, subject to vesting.</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reimburse all of our directors for reasonable travel, lodging and other expenses related to their service on our Board of Directors.</w:t>
      </w:r>
    </w:p>
    <w:p>
      <w:pPr>
        <w:spacing w:after="0" w:line="11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Stock in Lieu of Cash Compensation. </w:t>
      </w:r>
      <w:r>
        <w:rPr>
          <w:rFonts w:ascii="Times New Roman" w:cs="Times New Roman" w:eastAsia="Times New Roman" w:hAnsi="Times New Roman"/>
          <w:sz w:val="17"/>
          <w:szCs w:val="17"/>
          <w:color w:val="auto"/>
        </w:rPr>
        <w:t>Beginning with the first quarter of 2021 and in an effort to further preserve cash, non-employee directors may elect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receive shares of the Company’s common stock in lieu of all or a portion of their cash compensation (i.e. base retainers and additional retainers for serving as a Chair or member of a Committee) on a quarterly basis. A director can make the election to receive stock for each quarter of 2022 during the seven calendar day period immediately prior to the start of the respective quarter-end blackout period. The portion of his or her quarterly cash compensation designated by the director will then be converted into a number of shares of the Company’s common stock utilizing the fair market value of the common stock on the seventh calendar day of the respective election period. Once an election is made with respect to a particular calendar quarter, it may not be withdrawn or substituted.</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Employee Directors</w:t>
      </w:r>
    </w:p>
    <w:p>
      <w:pPr>
        <w:spacing w:after="0" w:line="12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Our employees, employees of our founding members and employees of Standard General who also serve as directors receive compensation for their services as employees from their respective employers, but they do not receive any additional compensation from us for their service as our directors or members or chairs of committees.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3" w:name="page114"/>
    <w:bookmarkEnd w:id="113"/>
    <w:tbl>
      <w:tblPr>
        <w:tblLayout w:type="fixed"/>
        <w:tblInd w:w="80" w:type="dxa"/>
        <w:tblCellMar>
          <w:top w:w="0" w:type="dxa"/>
          <w:left w:w="0" w:type="dxa"/>
          <w:bottom w:w="0" w:type="dxa"/>
          <w:right w:w="0" w:type="dxa"/>
        </w:tblCellMar>
      </w:tblPr>
      <w:tr>
        <w:trPr>
          <w:trHeight w:val="229"/>
        </w:trPr>
        <w:tc>
          <w:tcPr>
            <w:tcW w:w="2360" w:type="dxa"/>
            <w:vAlign w:val="bottom"/>
          </w:tcPr>
          <w:p>
            <w:pPr>
              <w:spacing w:after="0"/>
              <w:rPr>
                <w:sz w:val="19"/>
                <w:szCs w:val="19"/>
                <w:color w:val="auto"/>
              </w:rPr>
            </w:pPr>
          </w:p>
        </w:tc>
        <w:tc>
          <w:tcPr>
            <w:tcW w:w="5680" w:type="dxa"/>
            <w:vAlign w:val="bottom"/>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2022 NON-EMPLOYEE DIRECTOR COMPENSATION</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42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320" w:type="dxa"/>
            <w:vAlign w:val="bottom"/>
          </w:tcPr>
          <w:p>
            <w:pPr>
              <w:spacing w:after="0"/>
              <w:rPr>
                <w:sz w:val="24"/>
                <w:szCs w:val="24"/>
                <w:color w:val="auto"/>
              </w:rPr>
            </w:pPr>
          </w:p>
        </w:tc>
        <w:tc>
          <w:tcPr>
            <w:tcW w:w="1140" w:type="dxa"/>
            <w:vAlign w:val="bottom"/>
            <w:vMerge w:val="restart"/>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236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Paid in Cash (1)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103,678</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223,677</w:t>
            </w:r>
          </w:p>
        </w:tc>
        <w:tc>
          <w:tcPr>
            <w:tcW w:w="0" w:type="dxa"/>
            <w:vAlign w:val="bottom"/>
          </w:tcPr>
          <w:p>
            <w:pPr>
              <w:spacing w:after="0"/>
              <w:rPr>
                <w:sz w:val="1"/>
                <w:szCs w:val="1"/>
                <w:color w:val="auto"/>
              </w:rPr>
            </w:pPr>
          </w:p>
        </w:tc>
      </w:tr>
      <w:tr>
        <w:trPr>
          <w:trHeight w:val="222"/>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Kurt C. Hall</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101,024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2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221,023</w:t>
            </w: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100,558</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220,557</w:t>
            </w:r>
          </w:p>
        </w:tc>
        <w:tc>
          <w:tcPr>
            <w:tcW w:w="0" w:type="dxa"/>
            <w:vAlign w:val="bottom"/>
          </w:tcPr>
          <w:p>
            <w:pPr>
              <w:spacing w:after="0"/>
              <w:rPr>
                <w:sz w:val="1"/>
                <w:szCs w:val="1"/>
                <w:color w:val="auto"/>
              </w:rPr>
            </w:pPr>
          </w:p>
        </w:tc>
      </w:tr>
      <w:tr>
        <w:trPr>
          <w:trHeight w:val="222"/>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Donna Reisman</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101,631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2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221,630</w:t>
            </w: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B. Segall</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364,999</w:t>
            </w:r>
          </w:p>
        </w:tc>
        <w:tc>
          <w:tcPr>
            <w:tcW w:w="0" w:type="dxa"/>
            <w:vAlign w:val="bottom"/>
          </w:tcPr>
          <w:p>
            <w:pPr>
              <w:spacing w:after="0"/>
              <w:rPr>
                <w:sz w:val="1"/>
                <w:szCs w:val="1"/>
                <w:color w:val="auto"/>
              </w:rPr>
            </w:pPr>
          </w:p>
        </w:tc>
      </w:tr>
      <w:tr>
        <w:trPr>
          <w:trHeight w:val="227"/>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Zoradi</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3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66,428</w:t>
            </w:r>
          </w:p>
        </w:tc>
        <w:tc>
          <w:tcPr>
            <w:tcW w:w="12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15417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1780" cy="8255"/>
                    </a:xfrm>
                    <a:prstGeom prst="rect">
                      <a:avLst/>
                    </a:prstGeom>
                    <a:noFill/>
                  </pic:spPr>
                </pic:pic>
              </a:graphicData>
            </a:graphic>
          </wp:anchor>
        </w:drawing>
      </w:r>
    </w:p>
    <w:p>
      <w:pPr>
        <w:spacing w:after="0" w:line="348" w:lineRule="exact"/>
        <w:rPr>
          <w:sz w:val="20"/>
          <w:szCs w:val="20"/>
          <w:color w:val="auto"/>
        </w:rPr>
      </w:pPr>
    </w:p>
    <w:p>
      <w:pPr>
        <w:ind w:left="940" w:right="100" w:hanging="309"/>
        <w:spacing w:after="0" w:line="275" w:lineRule="auto"/>
        <w:tabs>
          <w:tab w:leader="none" w:pos="93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provides details about each component of the “Fees Earned or Paid in Cash” column from the Fiscal 2022 Director Compensation Table above. All of the Fees Earned or Paid in Cash shown above were reduced by 20% beginning in April 2020 and were returned to 100% on May 4, 2022 and reflect the prorated amounts paid for this increase or any prorated amounts due to change in positions.</w:t>
      </w:r>
    </w:p>
    <w:p>
      <w:pPr>
        <w:spacing w:after="0" w:line="78"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Annual</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200" w:type="dxa"/>
            <w:vAlign w:val="bottom"/>
          </w:tcPr>
          <w:p>
            <w:pPr>
              <w:spacing w:after="0"/>
              <w:rPr>
                <w:sz w:val="17"/>
                <w:szCs w:val="17"/>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8"/>
              </w:rPr>
              <w:t>Total Fees</w:t>
            </w:r>
          </w:p>
        </w:tc>
        <w:tc>
          <w:tcPr>
            <w:tcW w:w="0" w:type="dxa"/>
            <w:vAlign w:val="bottom"/>
          </w:tcPr>
          <w:p>
            <w:pPr>
              <w:spacing w:after="0"/>
              <w:rPr>
                <w:sz w:val="1"/>
                <w:szCs w:val="1"/>
                <w:color w:val="auto"/>
              </w:rPr>
            </w:pPr>
          </w:p>
        </w:tc>
      </w:tr>
      <w:tr>
        <w:trPr>
          <w:trHeight w:val="170"/>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600"/>
              <w:spacing w:after="0" w:line="170" w:lineRule="exact"/>
              <w:rPr>
                <w:sz w:val="20"/>
                <w:szCs w:val="20"/>
                <w:color w:val="auto"/>
              </w:rPr>
            </w:pPr>
            <w:r>
              <w:rPr>
                <w:rFonts w:ascii="Times New Roman" w:cs="Times New Roman" w:eastAsia="Times New Roman" w:hAnsi="Times New Roman"/>
                <w:sz w:val="17"/>
                <w:szCs w:val="17"/>
                <w:b w:val="1"/>
                <w:bCs w:val="1"/>
                <w:color w:val="auto"/>
              </w:rPr>
              <w:t>Chair</w:t>
            </w:r>
          </w:p>
        </w:tc>
        <w:tc>
          <w:tcPr>
            <w:tcW w:w="200" w:type="dxa"/>
            <w:vAlign w:val="bottom"/>
          </w:tcPr>
          <w:p>
            <w:pPr>
              <w:spacing w:after="0"/>
              <w:rPr>
                <w:sz w:val="14"/>
                <w:szCs w:val="14"/>
                <w:color w:val="auto"/>
              </w:rPr>
            </w:pPr>
          </w:p>
        </w:tc>
        <w:tc>
          <w:tcPr>
            <w:tcW w:w="1200" w:type="dxa"/>
            <w:vAlign w:val="bottom"/>
          </w:tcPr>
          <w:p>
            <w:pPr>
              <w:jc w:val="right"/>
              <w:ind w:right="293"/>
              <w:spacing w:after="0" w:line="170" w:lineRule="exact"/>
              <w:rPr>
                <w:sz w:val="20"/>
                <w:szCs w:val="20"/>
                <w:color w:val="auto"/>
              </w:rPr>
            </w:pPr>
            <w:r>
              <w:rPr>
                <w:rFonts w:ascii="Times New Roman" w:cs="Times New Roman" w:eastAsia="Times New Roman" w:hAnsi="Times New Roman"/>
                <w:sz w:val="17"/>
                <w:szCs w:val="17"/>
                <w:b w:val="1"/>
                <w:bCs w:val="1"/>
                <w:color w:val="auto"/>
              </w:rPr>
              <w:t>Member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Earned or Paid</w:t>
            </w:r>
          </w:p>
        </w:tc>
        <w:tc>
          <w:tcPr>
            <w:tcW w:w="0" w:type="dxa"/>
            <w:vAlign w:val="bottom"/>
          </w:tcPr>
          <w:p>
            <w:pPr>
              <w:spacing w:after="0"/>
              <w:rPr>
                <w:sz w:val="1"/>
                <w:szCs w:val="1"/>
                <w:color w:val="auto"/>
              </w:rPr>
            </w:pPr>
          </w:p>
        </w:tc>
      </w:tr>
      <w:tr>
        <w:trPr>
          <w:trHeight w:val="235"/>
        </w:trPr>
        <w:tc>
          <w:tcPr>
            <w:tcW w:w="3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Retainer</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Retainer</w:t>
            </w:r>
          </w:p>
        </w:tc>
        <w:tc>
          <w:tcPr>
            <w:tcW w:w="200" w:type="dxa"/>
            <w:vAlign w:val="bottom"/>
          </w:tcPr>
          <w:p>
            <w:pPr>
              <w:spacing w:after="0"/>
              <w:rPr>
                <w:sz w:val="20"/>
                <w:szCs w:val="20"/>
                <w:color w:val="auto"/>
              </w:rPr>
            </w:pPr>
          </w:p>
        </w:tc>
        <w:tc>
          <w:tcPr>
            <w:tcW w:w="12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Retainer</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in Cash</w:t>
            </w:r>
          </w:p>
        </w:tc>
        <w:tc>
          <w:tcPr>
            <w:tcW w:w="0" w:type="dxa"/>
            <w:vAlign w:val="bottom"/>
          </w:tcPr>
          <w:p>
            <w:pPr>
              <w:spacing w:after="0"/>
              <w:rPr>
                <w:sz w:val="1"/>
                <w:szCs w:val="1"/>
                <w:color w:val="auto"/>
              </w:rPr>
            </w:pPr>
          </w:p>
        </w:tc>
      </w:tr>
      <w:tr>
        <w:trPr>
          <w:trHeight w:val="215"/>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20,633</w:t>
            </w:r>
          </w:p>
        </w:tc>
        <w:tc>
          <w:tcPr>
            <w:tcW w:w="40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103,678</w:t>
            </w:r>
          </w:p>
        </w:tc>
        <w:tc>
          <w:tcPr>
            <w:tcW w:w="0" w:type="dxa"/>
            <w:vAlign w:val="bottom"/>
          </w:tcPr>
          <w:p>
            <w:pPr>
              <w:spacing w:after="0"/>
              <w:rPr>
                <w:sz w:val="1"/>
                <w:szCs w:val="1"/>
                <w:color w:val="auto"/>
              </w:rPr>
            </w:pPr>
          </w:p>
        </w:tc>
      </w:tr>
      <w:tr>
        <w:trPr>
          <w:trHeight w:val="22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Kurt C. Hall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23,758</w:t>
            </w:r>
          </w:p>
        </w:tc>
        <w:tc>
          <w:tcPr>
            <w:tcW w:w="4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101,024</w:t>
            </w:r>
          </w:p>
        </w:tc>
        <w:tc>
          <w:tcPr>
            <w:tcW w:w="0" w:type="dxa"/>
            <w:vAlign w:val="bottom"/>
          </w:tcPr>
          <w:p>
            <w:pPr>
              <w:spacing w:after="0"/>
              <w:rPr>
                <w:sz w:val="1"/>
                <w:szCs w:val="1"/>
                <w:color w:val="auto"/>
              </w:rPr>
            </w:pPr>
          </w:p>
        </w:tc>
      </w:tr>
      <w:tr>
        <w:trPr>
          <w:trHeight w:val="222"/>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23,292</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100,558</w:t>
            </w:r>
          </w:p>
        </w:tc>
        <w:tc>
          <w:tcPr>
            <w:tcW w:w="0" w:type="dxa"/>
            <w:vAlign w:val="bottom"/>
          </w:tcPr>
          <w:p>
            <w:pPr>
              <w:spacing w:after="0"/>
              <w:rPr>
                <w:sz w:val="1"/>
                <w:szCs w:val="1"/>
                <w:color w:val="auto"/>
              </w:rPr>
            </w:pPr>
          </w:p>
        </w:tc>
      </w:tr>
      <w:tr>
        <w:trPr>
          <w:trHeight w:val="22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Donna Reisman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44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11,413</w:t>
            </w: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101,631</w:t>
            </w:r>
          </w:p>
        </w:tc>
        <w:tc>
          <w:tcPr>
            <w:tcW w:w="0" w:type="dxa"/>
            <w:vAlign w:val="bottom"/>
          </w:tcPr>
          <w:p>
            <w:pPr>
              <w:spacing w:after="0"/>
              <w:rPr>
                <w:sz w:val="1"/>
                <w:szCs w:val="1"/>
                <w:color w:val="auto"/>
              </w:rPr>
            </w:pPr>
          </w:p>
        </w:tc>
      </w:tr>
      <w:tr>
        <w:trPr>
          <w:trHeight w:val="222"/>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B. Segall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0" w:type="dxa"/>
            <w:vAlign w:val="bottom"/>
          </w:tcPr>
          <w:p>
            <w:pPr>
              <w:spacing w:after="0"/>
              <w:rPr>
                <w:sz w:val="1"/>
                <w:szCs w:val="1"/>
                <w:color w:val="auto"/>
              </w:rPr>
            </w:pPr>
          </w:p>
        </w:tc>
      </w:tr>
      <w:tr>
        <w:trPr>
          <w:trHeight w:val="22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 Zoradi</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13925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18" w:lineRule="exact"/>
        <w:rPr>
          <w:sz w:val="20"/>
          <w:szCs w:val="20"/>
          <w:color w:val="auto"/>
        </w:rPr>
      </w:pPr>
    </w:p>
    <w:p>
      <w:pPr>
        <w:ind w:left="940" w:right="60" w:hanging="309"/>
        <w:spacing w:after="0" w:line="275" w:lineRule="auto"/>
        <w:tabs>
          <w:tab w:leader="none" w:pos="9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represent the aggregate grant date fair value of the restricted stock unit awards as computed under ASC 718 and do not represent cash payments made to the individuals or amounts realized. For a discussion of the assumptions and methodologies used in calculating the grant date fair value of these awards, please see Note 11 to the Company’s consolidated financial statements</w:t>
      </w:r>
      <w:r>
        <w:rPr>
          <w:rFonts w:ascii="Times New Roman" w:cs="Times New Roman" w:eastAsia="Times New Roman" w:hAnsi="Times New Roman"/>
          <w:sz w:val="17"/>
          <w:szCs w:val="17"/>
          <w:color w:val="EE2724"/>
        </w:rPr>
        <w:t>.</w:t>
      </w:r>
    </w:p>
    <w:p>
      <w:pPr>
        <w:spacing w:after="0" w:line="59" w:lineRule="exact"/>
        <w:rPr>
          <w:rFonts w:ascii="Times New Roman" w:cs="Times New Roman" w:eastAsia="Times New Roman" w:hAnsi="Times New Roman"/>
          <w:sz w:val="17"/>
          <w:szCs w:val="17"/>
          <w:color w:val="auto"/>
        </w:rPr>
      </w:pPr>
    </w:p>
    <w:p>
      <w:pPr>
        <w:ind w:left="940" w:right="200" w:hanging="309"/>
        <w:spacing w:after="0" w:line="295" w:lineRule="auto"/>
        <w:tabs>
          <w:tab w:leader="none" w:pos="9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Goodman’s compensation was prorated for his time served in each position, as he was appointed to be chair of the Compensation Committee effective August 3, 2022. Ms. Reisman’s compensation was prorated for her time served as committee chair until Mr. Goodman’s appointment.</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fee includes 17,861 shares received in lieu of cash payments in accordance with our stock in lieu of cash program.</w:t>
      </w:r>
    </w:p>
    <w:p>
      <w:pPr>
        <w:spacing w:after="0" w:line="117" w:lineRule="exact"/>
        <w:rPr>
          <w:rFonts w:ascii="Times New Roman" w:cs="Times New Roman" w:eastAsia="Times New Roman" w:hAnsi="Times New Roman"/>
          <w:sz w:val="17"/>
          <w:szCs w:val="17"/>
          <w:color w:val="auto"/>
        </w:rPr>
      </w:pPr>
    </w:p>
    <w:p>
      <w:pPr>
        <w:ind w:left="940" w:right="760" w:hanging="309"/>
        <w:spacing w:after="0" w:line="295" w:lineRule="auto"/>
        <w:tabs>
          <w:tab w:leader="none" w:pos="9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Segall temporarily recused himself from all board activities due to his conflict of interest as the Regal designee during the Cineworld Proceeding. Following his recusal, Mr. Segall received the non-employee director retainer in the fourth quarter of 2022.</w:t>
      </w:r>
    </w:p>
    <w:p>
      <w:pPr>
        <w:spacing w:after="0" w:line="42" w:lineRule="exact"/>
        <w:rPr>
          <w:sz w:val="20"/>
          <w:szCs w:val="20"/>
          <w:color w:val="auto"/>
        </w:rPr>
      </w:pPr>
    </w:p>
    <w:p>
      <w:pPr>
        <w:ind w:right="520" w:firstLine="509"/>
        <w:spacing w:after="0" w:line="295" w:lineRule="auto"/>
        <w:rPr>
          <w:sz w:val="20"/>
          <w:szCs w:val="20"/>
          <w:color w:val="auto"/>
        </w:rPr>
      </w:pPr>
      <w:r>
        <w:rPr>
          <w:rFonts w:ascii="Times New Roman" w:cs="Times New Roman" w:eastAsia="Times New Roman" w:hAnsi="Times New Roman"/>
          <w:sz w:val="17"/>
          <w:szCs w:val="17"/>
          <w:color w:val="auto"/>
        </w:rPr>
        <w:t>The RSUs are also subject to the terms and provisions of the Equity Incentive Plan. The following table provides details about the “Stock Awards” column from the Fiscal 2022 Director Compensation Table above and outstanding stock awards at December 29, 2022.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Fiscal 2022 Grants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gridSpan w:val="5"/>
          </w:tcPr>
          <w:p>
            <w:pPr>
              <w:ind w:left="880"/>
              <w:spacing w:after="0"/>
              <w:rPr>
                <w:sz w:val="20"/>
                <w:szCs w:val="20"/>
                <w:color w:val="auto"/>
              </w:rPr>
            </w:pPr>
            <w:r>
              <w:rPr>
                <w:rFonts w:ascii="Times New Roman" w:cs="Times New Roman" w:eastAsia="Times New Roman" w:hAnsi="Times New Roman"/>
                <w:sz w:val="17"/>
                <w:szCs w:val="17"/>
                <w:b w:val="1"/>
                <w:bCs w:val="1"/>
                <w:color w:val="auto"/>
              </w:rPr>
              <w:t>Outstanding Equity Awards at</w:t>
            </w: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Borders>
              <w:bottom w:val="single" w:sz="8" w:color="auto"/>
            </w:tcBorders>
            <w:gridSpan w:val="4"/>
          </w:tcPr>
          <w:p>
            <w:pPr>
              <w:jc w:val="right"/>
              <w:ind w:right="1213"/>
              <w:spacing w:after="0"/>
              <w:rPr>
                <w:sz w:val="20"/>
                <w:szCs w:val="20"/>
                <w:color w:val="auto"/>
              </w:rPr>
            </w:pPr>
            <w:r>
              <w:rPr>
                <w:rFonts w:ascii="Times New Roman" w:cs="Times New Roman" w:eastAsia="Times New Roman" w:hAnsi="Times New Roman"/>
                <w:sz w:val="17"/>
                <w:szCs w:val="17"/>
                <w:b w:val="1"/>
                <w:bCs w:val="1"/>
                <w:color w:val="auto"/>
              </w:rPr>
              <w:t>December 29, 2022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100" w:type="dxa"/>
            <w:vAlign w:val="bottom"/>
          </w:tcPr>
          <w:p>
            <w:pPr>
              <w:spacing w:after="0"/>
              <w:rPr>
                <w:sz w:val="14"/>
                <w:szCs w:val="14"/>
                <w:color w:val="auto"/>
              </w:rPr>
            </w:pPr>
          </w:p>
        </w:tc>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4"/>
                <w:szCs w:val="14"/>
                <w:color w:val="auto"/>
              </w:rPr>
            </w:pPr>
          </w:p>
        </w:tc>
        <w:tc>
          <w:tcPr>
            <w:tcW w:w="2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Market Value of Shares of</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Grant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w w:val="99"/>
              </w:rPr>
              <w:t>Fair Value of</w:t>
            </w:r>
          </w:p>
        </w:tc>
        <w:tc>
          <w:tcPr>
            <w:tcW w:w="1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7"/>
                <w:szCs w:val="17"/>
                <w:b w:val="1"/>
                <w:bCs w:val="1"/>
                <w:color w:val="auto"/>
              </w:rPr>
              <w:t>Stock Awards</w:t>
            </w:r>
          </w:p>
        </w:tc>
        <w:tc>
          <w:tcPr>
            <w:tcW w:w="180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rPr>
              <w:t>RSUs That Have</w:t>
            </w:r>
          </w:p>
        </w:tc>
        <w:tc>
          <w:tcPr>
            <w:tcW w:w="120" w:type="dxa"/>
            <w:vAlign w:val="bottom"/>
          </w:tcPr>
          <w:p>
            <w:pPr>
              <w:spacing w:after="0"/>
              <w:rPr>
                <w:sz w:val="15"/>
                <w:szCs w:val="15"/>
                <w:color w:val="auto"/>
              </w:rPr>
            </w:pPr>
          </w:p>
        </w:tc>
        <w:tc>
          <w:tcPr>
            <w:tcW w:w="2360" w:type="dxa"/>
            <w:vAlign w:val="bottom"/>
            <w:gridSpan w:val="2"/>
          </w:tcPr>
          <w:p>
            <w:pPr>
              <w:jc w:val="center"/>
              <w:ind w:right="380"/>
              <w:spacing w:after="0" w:line="183" w:lineRule="exact"/>
              <w:rPr>
                <w:sz w:val="20"/>
                <w:szCs w:val="20"/>
                <w:color w:val="auto"/>
              </w:rPr>
            </w:pPr>
            <w:r>
              <w:rPr>
                <w:rFonts w:ascii="Times New Roman" w:cs="Times New Roman" w:eastAsia="Times New Roman" w:hAnsi="Times New Roman"/>
                <w:sz w:val="17"/>
                <w:szCs w:val="17"/>
                <w:b w:val="1"/>
                <w:bCs w:val="1"/>
                <w:color w:val="auto"/>
              </w:rPr>
              <w:t>Stock That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RSUs</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Not Vested</w:t>
            </w:r>
          </w:p>
        </w:tc>
        <w:tc>
          <w:tcPr>
            <w:tcW w:w="120" w:type="dxa"/>
            <w:vAlign w:val="bottom"/>
          </w:tcPr>
          <w:p>
            <w:pPr>
              <w:spacing w:after="0"/>
              <w:rPr>
                <w:sz w:val="19"/>
                <w:szCs w:val="19"/>
                <w:color w:val="auto"/>
              </w:rPr>
            </w:pP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Have Not Vested (b)</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5/4/2022</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Kurt C. Hall</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Donna Reisman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B. Segall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 Zoradi</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8/24/2022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1013"/>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14" w:name="page115"/>
    <w:bookmarkEnd w:id="114"/>
    <w:p>
      <w:pPr>
        <w:ind w:left="940" w:right="220" w:hanging="309"/>
        <w:spacing w:after="0" w:line="295" w:lineRule="auto"/>
        <w:tabs>
          <w:tab w:leader="none" w:pos="93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677545</wp:posOffset>
            </wp:positionV>
            <wp:extent cx="13925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92555" cy="8255"/>
                    </a:xfrm>
                    <a:prstGeom prst="rect">
                      <a:avLst/>
                    </a:prstGeom>
                    <a:noFill/>
                  </pic:spPr>
                </pic:pic>
              </a:graphicData>
            </a:graphic>
          </wp:anchor>
        </w:drawing>
        <w:t>Calculated in accordance with ASC Topic 718 as described in footnote (1) to the Fiscal 2022 Director Compensation Table above and based on a stock price of $2.24.</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are based on the closing stock price, $0.24 per share, on December 29, 2022. The shares vested on February 23, 2023.</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w:t>
      </w:r>
    </w:p>
    <w:p>
      <w:pPr>
        <w:spacing w:after="0" w:line="12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As of April 10, 2023, the percentage of beneficial ownership for NCM, Inc. is based on 174,076,268 shares of common stock outstanding (including unvested restricted stock). Unless indicated below, the address of each individual listed below is 6300 South Syracuse Way, Suite 300, Centennial, Colorado 80111. The following table sets forth information regarding the beneficial ownership of our common stock as of April 10, 2023, by:</w:t>
      </w:r>
    </w:p>
    <w:p>
      <w:pPr>
        <w:spacing w:after="0" w:line="67" w:lineRule="exact"/>
        <w:rPr>
          <w:sz w:val="20"/>
          <w:szCs w:val="20"/>
          <w:color w:val="auto"/>
        </w:rPr>
      </w:pPr>
    </w:p>
    <w:p>
      <w:pPr>
        <w:ind w:left="620" w:hanging="302"/>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who is known by us to own beneficially more than 5% of our common stock;</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NEOs;</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nominees for director; and</w:t>
      </w:r>
    </w:p>
    <w:p>
      <w:pPr>
        <w:spacing w:after="0" w:line="11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current directors and executive officers as a group.</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NCM LLC</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Percent of</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b w:val="1"/>
                <w:bCs w:val="1"/>
                <w:color w:val="auto"/>
              </w:rPr>
              <w:t>NCM, Inc.</w:t>
            </w: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NCM, Inc.</w:t>
            </w:r>
          </w:p>
        </w:tc>
        <w:tc>
          <w:tcPr>
            <w:tcW w:w="0" w:type="dxa"/>
            <w:vAlign w:val="bottom"/>
          </w:tcPr>
          <w:p>
            <w:pPr>
              <w:spacing w:after="0"/>
              <w:rPr>
                <w:sz w:val="1"/>
                <w:szCs w:val="1"/>
                <w:color w:val="auto"/>
              </w:rPr>
            </w:pPr>
          </w:p>
        </w:tc>
      </w:tr>
      <w:tr>
        <w:trPr>
          <w:trHeight w:val="177"/>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80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rPr>
              <w:t>Common</w:t>
            </w:r>
          </w:p>
        </w:tc>
        <w:tc>
          <w:tcPr>
            <w:tcW w:w="182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rPr>
              <w:t>Membership</w:t>
            </w: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Common</w:t>
            </w:r>
          </w:p>
        </w:tc>
        <w:tc>
          <w:tcPr>
            <w:tcW w:w="0" w:type="dxa"/>
            <w:vAlign w:val="bottom"/>
          </w:tcPr>
          <w:p>
            <w:pPr>
              <w:spacing w:after="0"/>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Units (1)</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w:t>
            </w:r>
          </w:p>
        </w:tc>
        <w:tc>
          <w:tcPr>
            <w:tcW w:w="0" w:type="dxa"/>
            <w:vAlign w:val="bottom"/>
          </w:tcPr>
          <w:p>
            <w:pPr>
              <w:spacing w:after="0"/>
              <w:rPr>
                <w:sz w:val="1"/>
                <w:szCs w:val="1"/>
                <w:color w:val="auto"/>
              </w:rPr>
            </w:pPr>
          </w:p>
        </w:tc>
      </w:tr>
      <w:tr>
        <w:trPr>
          <w:trHeight w:val="215"/>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Five Percent Stockholders</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Cinemark Holdings, Inc. and Affiliates (“Cinemark”) (2)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43,690,797</w:t>
            </w:r>
          </w:p>
        </w:tc>
        <w:tc>
          <w:tcPr>
            <w:tcW w:w="100" w:type="dxa"/>
            <w:vAlign w:val="bottom"/>
          </w:tcPr>
          <w:p>
            <w:pPr>
              <w:spacing w:after="0"/>
              <w:rPr>
                <w:sz w:val="19"/>
                <w:szCs w:val="19"/>
                <w:color w:val="auto"/>
              </w:rPr>
            </w:pP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Regal Entertainment Group and Affiliates (“Regal”) (3)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40,683,797</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Standard General L.P. (4)</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12,932,382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F. Lesinski (5)</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1,388,387</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D. Felenstein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220,315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Ronnie Y. Ng (6)</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72,992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Maria V. Woods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Lawrence A. Goodman</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181,397</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E. Glazek</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Kurt C. Hall</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808,712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Juliana F. Hill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102,271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Donna Reisman</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108,626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B. Segall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85,530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Zoradi</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directors and executive officers as a group (11 persons) (5)(6)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3,057,760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80" w:hanging="558"/>
        <w:spacing w:after="0"/>
        <w:tabs>
          <w:tab w:leader="none" w:pos="5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104" w:lineRule="exact"/>
        <w:rPr>
          <w:rFonts w:ascii="Times New Roman" w:cs="Times New Roman" w:eastAsia="Times New Roman" w:hAnsi="Times New Roman"/>
          <w:sz w:val="17"/>
          <w:szCs w:val="17"/>
          <w:color w:val="auto"/>
        </w:rPr>
      </w:pPr>
    </w:p>
    <w:p>
      <w:pPr>
        <w:ind w:left="940" w:right="300" w:hanging="309"/>
        <w:spacing w:after="0" w:line="269" w:lineRule="auto"/>
        <w:tabs>
          <w:tab w:leader="none" w:pos="9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NCM LLC common membership units are redeemable at any time at the option of the holder. Upon any redemption, we may choose whether to redeem the units for shares of our common stock on a one-for-one basis or for a cash payment equal to the market price of shares of NCM, Inc. common stock. NCM LLC provided written notices effective as of March 29, 2023 setting forth the determination of 21,431,174 common membership units to two founding members. The common membership units have not been issued as of 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-601980</wp:posOffset>
            </wp:positionV>
            <wp:extent cx="17240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15" w:name="page116"/>
    <w:bookmarkEnd w:id="115"/>
    <w:p>
      <w:pPr>
        <w:ind w:left="940" w:right="80" w:hanging="309"/>
        <w:spacing w:after="0" w:line="295" w:lineRule="auto"/>
        <w:tabs>
          <w:tab w:leader="none" w:pos="9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Cinemark Holdings, Inc., Cinemark USA Inc. and Cinemark Media, Inc. The address of these stockholders is 3900 Dallas Parkway, Suite 500, Plano, Texas 75093. Represents beneficial ownership as of March 29, 2023 based on the Schedule 13D/A filed on April 3, 2023.</w:t>
      </w:r>
    </w:p>
    <w:p>
      <w:pPr>
        <w:spacing w:after="0" w:line="41" w:lineRule="exact"/>
        <w:rPr>
          <w:rFonts w:ascii="Times New Roman" w:cs="Times New Roman" w:eastAsia="Times New Roman" w:hAnsi="Times New Roman"/>
          <w:sz w:val="17"/>
          <w:szCs w:val="17"/>
          <w:color w:val="auto"/>
        </w:rPr>
      </w:pPr>
    </w:p>
    <w:p>
      <w:pPr>
        <w:ind w:left="940" w:hanging="309"/>
        <w:spacing w:after="0" w:line="269" w:lineRule="auto"/>
        <w:tabs>
          <w:tab w:leader="none" w:pos="9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Regal Entertainment Group, Regal Entertainment Holdings, Inc., Regal Cinemas Corporation, Regal Cinemas, Inc., Regal CineMedia Holdings, LLC and Regal CineMedia Corporation at 101 East Blount Avenue, Knoxville, Tennessee 37920 and Cineworld Group plc at 8th Floor, Vantage London, Great West Road, Brentford, United Kingdom TW8 9AG. Represents beneficial ownership as of December 28, 2022 based on the Schedule 13D/A filed on December 30, 2022.</w:t>
      </w:r>
    </w:p>
    <w:p>
      <w:pPr>
        <w:spacing w:after="0" w:line="63" w:lineRule="exact"/>
        <w:rPr>
          <w:rFonts w:ascii="Times New Roman" w:cs="Times New Roman" w:eastAsia="Times New Roman" w:hAnsi="Times New Roman"/>
          <w:sz w:val="17"/>
          <w:szCs w:val="17"/>
          <w:color w:val="auto"/>
        </w:rPr>
      </w:pPr>
    </w:p>
    <w:p>
      <w:pPr>
        <w:ind w:left="940" w:right="120" w:hanging="309"/>
        <w:spacing w:after="0" w:line="295" w:lineRule="auto"/>
        <w:tabs>
          <w:tab w:leader="none" w:pos="9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this stockholder is 767 Fifth Avenue, 12th Floor, New York, New York 10153. Represents beneficial ownership as of September 7, 2022 based on the Schedule 13D/A filed on September 9, 2022.</w:t>
      </w:r>
    </w:p>
    <w:p>
      <w:pPr>
        <w:spacing w:after="0" w:line="41"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1,057,264 stock options that were vested and exercisable within 60 days of April 10, 2023.</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35,365 stock options that were vested and exercisable within 60 days of April 10, 2023</w:t>
      </w:r>
      <w:r>
        <w:rPr>
          <w:rFonts w:ascii="Times New Roman" w:cs="Times New Roman" w:eastAsia="Times New Roman" w:hAnsi="Times New Roman"/>
          <w:sz w:val="17"/>
          <w:szCs w:val="17"/>
          <w:color w:val="EE2724"/>
        </w:rPr>
        <w:t>.</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34"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following table sets forth, as of December 29, 2022, information for all equity compensation plans under which our equity securities were authorized for issuance.</w:t>
      </w:r>
    </w:p>
    <w:p>
      <w:pPr>
        <w:sectPr>
          <w:pgSz w:w="11900" w:h="16838" w:orient="portrait"/>
          <w:cols w:equalWidth="0" w:num="1">
            <w:col w:w="11220"/>
          </w:cols>
          <w:pgMar w:left="320" w:top="9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41" w:lineRule="exact"/>
        <w:rPr>
          <w:sz w:val="20"/>
          <w:szCs w:val="20"/>
          <w:color w:val="auto"/>
        </w:rPr>
      </w:pPr>
    </w:p>
    <w:p>
      <w:pPr>
        <w:ind w:left="60" w:right="40"/>
        <w:spacing w:after="0" w:line="247" w:lineRule="auto"/>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2" w:lineRule="exact"/>
        <w:rPr>
          <w:sz w:val="20"/>
          <w:szCs w:val="20"/>
          <w:color w:val="auto"/>
        </w:rPr>
      </w:pPr>
    </w:p>
    <w:p>
      <w:pPr>
        <w:ind w:left="60"/>
        <w:spacing w:after="0" w:line="247" w:lineRule="auto"/>
        <w:rPr>
          <w:sz w:val="20"/>
          <w:szCs w:val="20"/>
          <w:color w:val="auto"/>
        </w:rPr>
      </w:pPr>
      <w:r>
        <w:rPr>
          <w:rFonts w:ascii="Times New Roman" w:cs="Times New Roman" w:eastAsia="Times New Roman" w:hAnsi="Times New Roman"/>
          <w:sz w:val="17"/>
          <w:szCs w:val="17"/>
          <w:color w:val="auto"/>
        </w:rPr>
        <w:t>Equity compensation plans not approved by security holders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13925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60" w:type="dxa"/>
            <w:vAlign w:val="bottom"/>
            <w:gridSpan w:val="2"/>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0" w:type="dxa"/>
            <w:vAlign w:val="bottom"/>
          </w:tcPr>
          <w:p>
            <w:pPr>
              <w:spacing w:after="0"/>
              <w:rPr>
                <w:sz w:val="1"/>
                <w:szCs w:val="1"/>
                <w:color w:val="auto"/>
              </w:rPr>
            </w:pPr>
          </w:p>
        </w:tc>
      </w:tr>
      <w:tr>
        <w:trPr>
          <w:trHeight w:val="183"/>
        </w:trPr>
        <w:tc>
          <w:tcPr>
            <w:tcW w:w="2260" w:type="dxa"/>
            <w:vAlign w:val="bottom"/>
            <w:gridSpan w:val="2"/>
          </w:tcPr>
          <w:p>
            <w:pPr>
              <w:jc w:val="center"/>
              <w:ind w:right="620"/>
              <w:spacing w:after="0" w:line="183" w:lineRule="exact"/>
              <w:rPr>
                <w:sz w:val="20"/>
                <w:szCs w:val="20"/>
                <w:color w:val="auto"/>
              </w:rPr>
            </w:pPr>
            <w:r>
              <w:rPr>
                <w:rFonts w:ascii="Times New Roman" w:cs="Times New Roman" w:eastAsia="Times New Roman" w:hAnsi="Times New Roman"/>
                <w:sz w:val="17"/>
                <w:szCs w:val="17"/>
                <w:b w:val="1"/>
                <w:bCs w:val="1"/>
                <w:color w:val="auto"/>
              </w:rPr>
              <w:t>to be</w:t>
            </w: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jc w:val="center"/>
              <w:ind w:right="620"/>
              <w:spacing w:after="0" w:line="170" w:lineRule="exact"/>
              <w:rPr>
                <w:sz w:val="20"/>
                <w:szCs w:val="20"/>
                <w:color w:val="auto"/>
              </w:rPr>
            </w:pPr>
            <w:r>
              <w:rPr>
                <w:rFonts w:ascii="Times New Roman" w:cs="Times New Roman" w:eastAsia="Times New Roman" w:hAnsi="Times New Roman"/>
                <w:sz w:val="17"/>
                <w:szCs w:val="17"/>
                <w:b w:val="1"/>
                <w:bCs w:val="1"/>
                <w:color w:val="auto"/>
              </w:rPr>
              <w:t>issued upon exercise</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7"/>
                <w:szCs w:val="17"/>
                <w:b w:val="1"/>
                <w:bCs w:val="1"/>
                <w:color w:val="auto"/>
              </w:rPr>
              <w:t>remaining available for</w:t>
            </w:r>
          </w:p>
        </w:tc>
        <w:tc>
          <w:tcPr>
            <w:tcW w:w="0" w:type="dxa"/>
            <w:vAlign w:val="bottom"/>
          </w:tcPr>
          <w:p>
            <w:pPr>
              <w:spacing w:after="0"/>
              <w:rPr>
                <w:sz w:val="1"/>
                <w:szCs w:val="1"/>
                <w:color w:val="auto"/>
              </w:rPr>
            </w:pPr>
          </w:p>
        </w:tc>
      </w:tr>
      <w:tr>
        <w:trPr>
          <w:trHeight w:val="183"/>
        </w:trPr>
        <w:tc>
          <w:tcPr>
            <w:tcW w:w="2260" w:type="dxa"/>
            <w:vAlign w:val="bottom"/>
            <w:gridSpan w:val="2"/>
          </w:tcPr>
          <w:p>
            <w:pPr>
              <w:jc w:val="center"/>
              <w:ind w:right="620"/>
              <w:spacing w:after="0" w:line="183" w:lineRule="exact"/>
              <w:rPr>
                <w:sz w:val="20"/>
                <w:szCs w:val="20"/>
                <w:color w:val="auto"/>
              </w:rPr>
            </w:pPr>
            <w:r>
              <w:rPr>
                <w:rFonts w:ascii="Times New Roman" w:cs="Times New Roman" w:eastAsia="Times New Roman" w:hAnsi="Times New Roman"/>
                <w:sz w:val="17"/>
                <w:szCs w:val="17"/>
                <w:b w:val="1"/>
                <w:bCs w:val="1"/>
                <w:color w:val="auto"/>
              </w:rPr>
              <w:t>of</w:t>
            </w:r>
          </w:p>
        </w:tc>
        <w:tc>
          <w:tcPr>
            <w:tcW w:w="200" w:type="dxa"/>
            <w:vAlign w:val="bottom"/>
          </w:tcPr>
          <w:p>
            <w:pPr>
              <w:spacing w:after="0"/>
              <w:rPr>
                <w:sz w:val="15"/>
                <w:szCs w:val="15"/>
                <w:color w:val="auto"/>
              </w:rPr>
            </w:pPr>
          </w:p>
        </w:tc>
        <w:tc>
          <w:tcPr>
            <w:tcW w:w="248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88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7"/>
                <w:szCs w:val="17"/>
                <w:b w:val="1"/>
                <w:bCs w:val="1"/>
                <w:color w:val="auto"/>
              </w:rPr>
              <w:t>future issuance under</w:t>
            </w:r>
          </w:p>
        </w:tc>
        <w:tc>
          <w:tcPr>
            <w:tcW w:w="0" w:type="dxa"/>
            <w:vAlign w:val="bottom"/>
          </w:tcPr>
          <w:p>
            <w:pPr>
              <w:spacing w:after="0"/>
              <w:rPr>
                <w:sz w:val="1"/>
                <w:szCs w:val="1"/>
                <w:color w:val="auto"/>
              </w:rPr>
            </w:pPr>
          </w:p>
        </w:tc>
      </w:tr>
      <w:tr>
        <w:trPr>
          <w:trHeight w:val="170"/>
        </w:trPr>
        <w:tc>
          <w:tcPr>
            <w:tcW w:w="2260" w:type="dxa"/>
            <w:vAlign w:val="bottom"/>
            <w:gridSpan w:val="2"/>
          </w:tcPr>
          <w:p>
            <w:pPr>
              <w:jc w:val="center"/>
              <w:ind w:right="660"/>
              <w:spacing w:after="0" w:line="170"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88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b w:val="1"/>
                <w:bCs w:val="1"/>
                <w:color w:val="auto"/>
              </w:rPr>
              <w:t>equity compensation</w:t>
            </w:r>
          </w:p>
        </w:tc>
        <w:tc>
          <w:tcPr>
            <w:tcW w:w="0" w:type="dxa"/>
            <w:vAlign w:val="bottom"/>
          </w:tcPr>
          <w:p>
            <w:pPr>
              <w:spacing w:after="0"/>
              <w:rPr>
                <w:sz w:val="1"/>
                <w:szCs w:val="1"/>
                <w:color w:val="auto"/>
              </w:rPr>
            </w:pPr>
          </w:p>
        </w:tc>
      </w:tr>
      <w:tr>
        <w:trPr>
          <w:trHeight w:val="170"/>
        </w:trPr>
        <w:tc>
          <w:tcPr>
            <w:tcW w:w="2260" w:type="dxa"/>
            <w:vAlign w:val="bottom"/>
            <w:gridSpan w:val="2"/>
          </w:tcPr>
          <w:p>
            <w:pPr>
              <w:jc w:val="center"/>
              <w:ind w:right="680"/>
              <w:spacing w:after="0" w:line="170" w:lineRule="exact"/>
              <w:rPr>
                <w:sz w:val="20"/>
                <w:szCs w:val="20"/>
                <w:color w:val="auto"/>
              </w:rPr>
            </w:pPr>
            <w:r>
              <w:rPr>
                <w:rFonts w:ascii="Times New Roman" w:cs="Times New Roman" w:eastAsia="Times New Roman" w:hAnsi="Times New Roman"/>
                <w:sz w:val="17"/>
                <w:szCs w:val="17"/>
                <w:b w:val="1"/>
                <w:bCs w:val="1"/>
                <w:color w:val="auto"/>
              </w:rPr>
              <w:t>options,</w:t>
            </w:r>
          </w:p>
        </w:tc>
        <w:tc>
          <w:tcPr>
            <w:tcW w:w="200" w:type="dxa"/>
            <w:vAlign w:val="bottom"/>
          </w:tcPr>
          <w:p>
            <w:pPr>
              <w:spacing w:after="0"/>
              <w:rPr>
                <w:sz w:val="14"/>
                <w:szCs w:val="14"/>
                <w:color w:val="auto"/>
              </w:rPr>
            </w:pPr>
          </w:p>
        </w:tc>
        <w:tc>
          <w:tcPr>
            <w:tcW w:w="2480" w:type="dxa"/>
            <w:vAlign w:val="bottom"/>
            <w:gridSpan w:val="2"/>
          </w:tcPr>
          <w:p>
            <w:pPr>
              <w:jc w:val="center"/>
              <w:ind w:right="800"/>
              <w:spacing w:after="0" w:line="170" w:lineRule="exact"/>
              <w:rPr>
                <w:sz w:val="20"/>
                <w:szCs w:val="20"/>
                <w:color w:val="auto"/>
              </w:rPr>
            </w:pPr>
            <w:r>
              <w:rPr>
                <w:rFonts w:ascii="Times New Roman" w:cs="Times New Roman" w:eastAsia="Times New Roman" w:hAnsi="Times New Roman"/>
                <w:sz w:val="17"/>
                <w:szCs w:val="17"/>
                <w:b w:val="1"/>
                <w:bCs w:val="1"/>
                <w:color w:val="auto"/>
              </w:rPr>
              <w:t>exercise price of</w:t>
            </w:r>
          </w:p>
        </w:tc>
        <w:tc>
          <w:tcPr>
            <w:tcW w:w="288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b w:val="1"/>
                <w:bCs w:val="1"/>
                <w:color w:val="auto"/>
              </w:rPr>
              <w:t>plans (excluding</w:t>
            </w:r>
          </w:p>
        </w:tc>
        <w:tc>
          <w:tcPr>
            <w:tcW w:w="0" w:type="dxa"/>
            <w:vAlign w:val="bottom"/>
          </w:tcPr>
          <w:p>
            <w:pPr>
              <w:spacing w:after="0"/>
              <w:rPr>
                <w:sz w:val="1"/>
                <w:szCs w:val="1"/>
                <w:color w:val="auto"/>
              </w:rPr>
            </w:pPr>
          </w:p>
        </w:tc>
      </w:tr>
      <w:tr>
        <w:trPr>
          <w:trHeight w:val="183"/>
        </w:trPr>
        <w:tc>
          <w:tcPr>
            <w:tcW w:w="2260" w:type="dxa"/>
            <w:vAlign w:val="bottom"/>
            <w:gridSpan w:val="2"/>
          </w:tcPr>
          <w:p>
            <w:pPr>
              <w:jc w:val="center"/>
              <w:ind w:right="660"/>
              <w:spacing w:after="0" w:line="183" w:lineRule="exact"/>
              <w:rPr>
                <w:sz w:val="20"/>
                <w:szCs w:val="20"/>
                <w:color w:val="auto"/>
              </w:rPr>
            </w:pPr>
            <w:r>
              <w:rPr>
                <w:rFonts w:ascii="Times New Roman" w:cs="Times New Roman" w:eastAsia="Times New Roman" w:hAnsi="Times New Roman"/>
                <w:sz w:val="17"/>
                <w:szCs w:val="17"/>
                <w:b w:val="1"/>
                <w:bCs w:val="1"/>
                <w:color w:val="auto"/>
              </w:rPr>
              <w:t>warrants and</w:t>
            </w:r>
          </w:p>
        </w:tc>
        <w:tc>
          <w:tcPr>
            <w:tcW w:w="200" w:type="dxa"/>
            <w:vAlign w:val="bottom"/>
          </w:tcPr>
          <w:p>
            <w:pPr>
              <w:spacing w:after="0"/>
              <w:rPr>
                <w:sz w:val="15"/>
                <w:szCs w:val="15"/>
                <w:color w:val="auto"/>
              </w:rPr>
            </w:pPr>
          </w:p>
        </w:tc>
        <w:tc>
          <w:tcPr>
            <w:tcW w:w="2480" w:type="dxa"/>
            <w:vAlign w:val="bottom"/>
            <w:gridSpan w:val="2"/>
          </w:tcPr>
          <w:p>
            <w:pPr>
              <w:jc w:val="center"/>
              <w:ind w:right="780"/>
              <w:spacing w:after="0" w:line="183"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288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7"/>
                <w:szCs w:val="17"/>
                <w:b w:val="1"/>
                <w:bCs w:val="1"/>
                <w:color w:val="auto"/>
              </w:rPr>
              <w:t>securities reflected in</w:t>
            </w:r>
          </w:p>
        </w:tc>
        <w:tc>
          <w:tcPr>
            <w:tcW w:w="0" w:type="dxa"/>
            <w:vAlign w:val="bottom"/>
          </w:tcPr>
          <w:p>
            <w:pPr>
              <w:spacing w:after="0"/>
              <w:rPr>
                <w:sz w:val="1"/>
                <w:szCs w:val="1"/>
                <w:color w:val="auto"/>
              </w:rPr>
            </w:pPr>
          </w:p>
        </w:tc>
      </w:tr>
      <w:tr>
        <w:trPr>
          <w:trHeight w:val="222"/>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60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first column)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2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7,273,378  (1)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4.34  (2)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8,868,249  (3)</w:t>
            </w:r>
          </w:p>
        </w:tc>
        <w:tc>
          <w:tcPr>
            <w:tcW w:w="0" w:type="dxa"/>
            <w:vAlign w:val="bottom"/>
          </w:tcPr>
          <w:p>
            <w:pPr>
              <w:spacing w:after="0"/>
              <w:rPr>
                <w:sz w:val="1"/>
                <w:szCs w:val="1"/>
                <w:color w:val="auto"/>
              </w:rPr>
            </w:pPr>
          </w:p>
        </w:tc>
      </w:tr>
      <w:tr>
        <w:trPr>
          <w:trHeight w:val="405"/>
        </w:trPr>
        <w:tc>
          <w:tcPr>
            <w:tcW w:w="22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248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7,273,378</w:t>
            </w: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600" w:type="dxa"/>
            <w:vAlign w:val="bottom"/>
          </w:tcPr>
          <w:p>
            <w:pPr>
              <w:spacing w:after="0"/>
              <w:rPr>
                <w:sz w:val="18"/>
                <w:szCs w:val="18"/>
                <w:color w:val="auto"/>
              </w:rPr>
            </w:pP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8,868,249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-181610</wp:posOffset>
            </wp:positionV>
            <wp:extent cx="7087235" cy="165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87235" cy="16573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-704215</wp:posOffset>
            </wp:positionV>
            <wp:extent cx="7087235" cy="265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8723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280"/>
            <w:col w:w="8040"/>
          </w:cols>
          <w:pgMar w:left="320" w:top="969" w:right="359" w:bottom="1440" w:gutter="0" w:footer="0" w:header="0"/>
          <w:type w:val="continuous"/>
        </w:sectPr>
      </w:pPr>
    </w:p>
    <w:p>
      <w:pPr>
        <w:spacing w:after="0" w:line="43" w:lineRule="exact"/>
        <w:rPr>
          <w:sz w:val="20"/>
          <w:szCs w:val="20"/>
          <w:color w:val="auto"/>
        </w:rPr>
      </w:pPr>
    </w:p>
    <w:p>
      <w:pPr>
        <w:ind w:left="940" w:right="260" w:hanging="309"/>
        <w:spacing w:after="0" w:line="275" w:lineRule="auto"/>
        <w:tabs>
          <w:tab w:leader="none" w:pos="9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2,097,818 stock option grants and 5,175,560 restricted stock and restricted stock units; 0 additional shares for the 2022, 2021 and 2020 PBRS grants, respectively, that may be issued as the highest level of performance possible is 100%. Actual results could vary from estimates, especially in the later years included in the two or three-year projections.</w:t>
      </w:r>
    </w:p>
    <w:p>
      <w:pPr>
        <w:spacing w:after="0" w:line="5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awards and restricted stock units are excluded as there is no exercise price for these awards.</w:t>
      </w:r>
    </w:p>
    <w:p>
      <w:pPr>
        <w:spacing w:after="0" w:line="117"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shares of our common stock available for issuance under the Equity Incentive Plan.</w:t>
      </w:r>
    </w:p>
    <w:p>
      <w:pPr>
        <w:spacing w:after="0" w:line="118" w:lineRule="exact"/>
        <w:rPr>
          <w:sz w:val="20"/>
          <w:szCs w:val="20"/>
          <w:color w:val="auto"/>
        </w:rPr>
      </w:pPr>
    </w:p>
    <w:p>
      <w:pPr>
        <w:ind w:right="20" w:firstLine="509"/>
        <w:spacing w:after="0" w:line="295" w:lineRule="auto"/>
        <w:rPr>
          <w:sz w:val="20"/>
          <w:szCs w:val="20"/>
          <w:color w:val="auto"/>
        </w:rPr>
      </w:pPr>
      <w:r>
        <w:rPr>
          <w:rFonts w:ascii="Times New Roman" w:cs="Times New Roman" w:eastAsia="Times New Roman" w:hAnsi="Times New Roman"/>
          <w:sz w:val="17"/>
          <w:szCs w:val="17"/>
          <w:color w:val="auto"/>
        </w:rPr>
        <w:t>The Equity Incentive Plan was approved by our stockholders on April 28, 2020, with additional shares authorized for issuance under the Equity Incentive Plan approved on May 4, 2022.</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Before the completion of our IPO in February 2007, NCM LLC was wholly owned by the founding members. After the IPO, NCM LLC was owned by us and the founding members. In connection with the IPO, we entered into several agreements to define and regulate the relationships among us, NCM LLC and the founding members. As of December 29, 2022, NCM, Inc. owned approximately 74.6% of the outstanding common membership units in NCM LLC. NCM LLC’s other member is Cinemark, one of the largest motion picture exhibition companies in the U.S., which held the remaining 25.4% of NCM LLC’s common membership units as of December 29, 2022. In December 2022, AMC and Regal each redeemed all of their outstanding membership units, 5,954,646 and 40,683,797, respectively, in exchange for shares of NCM, Inc. common stock, reducing AMC’s and Regal’s ownership to 0.0% as of December 29, 2022. In February and March of 2023, Cinemark redeemed a total of 43,690,797 of its outstanding common membership units, in exchange for shares of NCM, Inc. common stock, reducing Cinemark’s ownership interest to 0.0% as of March 23, 2023. NCM, Inc.’s primary source of cash flow from operations is distributions from NCM LLC pursuant to the NCM LLC Operating Agreement. NCM, Inc. also receives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management fees pursuant to a management services agreement with NCM LLC in exchange for providing specified management services to NCM LLC.</w:t>
      </w:r>
    </w:p>
    <w:p>
      <w:pPr>
        <w:spacing w:after="0" w:line="118"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Further transactions between NCM, Inc. and our founding members, if any, have been and will continue to be approved by our Audit Committee, which is composed of independent members of our Board of Directors, or another committee comprised entirely of independent members of our Board. Our Audit Committee charter authorizes our Audit Committee to hire financial advisors and other professionals to assist the committee in evaluating and approving any transaction between us and any related party, including our founding members.</w:t>
      </w:r>
    </w:p>
    <w:p>
      <w:pPr>
        <w:spacing w:after="0" w:line="6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color w:val="auto"/>
        </w:rPr>
        <w:t>On July 5, 2018, AMC sold 100.0% of its remaining NCM LLC membership units to Regal and Cinemark. Following the sale, AMC remains a party to the ESA, Common Unit Adjustment Agreement, TRA and certain other original agreements which are discussed further below. As such, AMC will continue to participate in the annual common unit adjustment, receive TRA payments, receive theater access fee payments, and make payments under the beverage concessionaire agreements, among other things. Further, the sale does not impact future integration payments and other encumbered theater payments owed to NCM LLC by AMC. As of December 29, 2022, AMC did not have any NCM LLC membership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Founding Members</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Exhibitor Services Agreements</w:t>
      </w:r>
    </w:p>
    <w:p>
      <w:pPr>
        <w:spacing w:after="0" w:line="122"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7"/>
          <w:szCs w:val="17"/>
          <w:color w:val="auto"/>
        </w:rPr>
        <w:t>In connection with the IPO, NCM LLC and each of AMC, Cinemark and Regal executed an amended and restated ESA, effective as of February 13, 2007, which replaced the exhibitor services agreements previously in effect. In connection with the sale of the Fathom Events business, on December 26, 2013, NCM LLC and each of AMC, Cinemark and Regal amended and restated the ESAs to remove those provisions addressing the rights and obligations related to the digital programming services of the Fathom Events business. In November 2019, NCM LLC and each of Cinemark and Regal amended the ESAs to extend the terms of the ESAs and modify the program distributed by NCM LLC through its Digital Content Network for exhibition in Cinemark and Regal theaters. Certain basic terms of the ESAs are discussed below:</w:t>
      </w:r>
    </w:p>
    <w:p>
      <w:pPr>
        <w:spacing w:after="0" w:line="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7"/>
          <w:szCs w:val="17"/>
          <w:u w:val="single" w:color="auto"/>
          <w:color w:val="auto"/>
        </w:rPr>
        <w:t>Advertising Services.</w:t>
      </w:r>
      <w:r>
        <w:rPr>
          <w:rFonts w:ascii="Times New Roman" w:cs="Times New Roman" w:eastAsia="Times New Roman" w:hAnsi="Times New Roman"/>
          <w:sz w:val="17"/>
          <w:szCs w:val="17"/>
          <w:color w:val="auto"/>
        </w:rPr>
        <w:t xml:space="preserve"> Under the ESAs, NCM LLC is the exclusive provider within the United States of advertising services in the founding members’ theaters (subject to pre-existing contractual obligations and other limited exceptions for the benefit of the founding members). Following the 2019 ESA Amendments, the ESAs with Regal and Cinemark have a term of 34 years from the completion of the IPO, and the ESA with AMC has a term of 30 years from the completion of the IPO, in each case with a five-year right of first refusal to enter into a services agreement for the services provided under the ESA with the applicable founding member on terms equivalent to those offered by a third-party.</w:t>
      </w:r>
    </w:p>
    <w:p>
      <w:pPr>
        <w:spacing w:after="0" w:line="6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 xml:space="preserve">The advertising services include the on-screen advertising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use of the lobby entertainment network or LEN and lobby promotions. The pre-show is generally 20 to 30 minutes long. Beginning on November 1, 2019 in accordance with the 2019 ESA Amendments, NCM LLC is entitled to display up to five minutes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after the advertised showtime of a feature film and the Platinum Spot in Cinemark and Regal theaters. The “attached” trailers are those provided by studios to Cinemark and Regal that are with the feature film, which is at least one trailer, but sometimes two trailers. The amount of time included in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displayed prior to showtime will be reduced by the sum of five minutes plus the aggregate length of time of any Platinum Spot.</w:t>
      </w:r>
    </w:p>
    <w:p>
      <w:pPr>
        <w:spacing w:after="0" w:line="67" w:lineRule="exact"/>
        <w:rPr>
          <w:sz w:val="20"/>
          <w:szCs w:val="20"/>
          <w:color w:val="auto"/>
        </w:rPr>
      </w:pPr>
    </w:p>
    <w:p>
      <w:pPr>
        <w:jc w:val="both"/>
        <w:ind w:right="380" w:firstLine="509"/>
        <w:spacing w:after="0" w:line="26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includes up to two minutes for the founding members to be used to promote various activities associated with operation of the theaters, including concessions, ticketing partners, gift card and loyalty programs, founding member special events and vendors of non-film related services provided to theaters, only if the promotion is incidental to the vendor’s service (called theater advertising). Under the ESAs, up to 90 seconds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program can be sold to NCM LLC’s founding members to satisfy their on-screen advertising commitments under their beverage concessionaire agreements.</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During 2022, we sold 60 seconds to Regal and Cinemark to satisfy their on-screen advertising commitments under their beverage concessionaire agreements. In accordance with the 2019 ESA Amendments beginning in 2020, the annual cost per thousand (“CPM”) charged to Regal and Cinemark increases at a fixed rate of 2.0%. Prior to the 2019 ESA Amendments in 2019, the CPM was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in the founding member’s theaters, limited to the highest advertising CPM being then-charged by NCM LLC pursuant to the ESAs.</w:t>
      </w:r>
    </w:p>
    <w:p>
      <w:pPr>
        <w:spacing w:after="0" w:line="74" w:lineRule="exact"/>
        <w:rPr>
          <w:sz w:val="20"/>
          <w:szCs w:val="20"/>
          <w:color w:val="auto"/>
        </w:rPr>
      </w:pPr>
    </w:p>
    <w:p>
      <w:pPr>
        <w:jc w:val="both"/>
        <w:ind w:right="20" w:firstLine="509"/>
        <w:spacing w:after="0" w:line="269" w:lineRule="auto"/>
        <w:rPr>
          <w:sz w:val="20"/>
          <w:szCs w:val="20"/>
          <w:color w:val="auto"/>
        </w:rPr>
      </w:pPr>
      <w:r>
        <w:rPr>
          <w:rFonts w:ascii="Times New Roman" w:cs="Times New Roman" w:eastAsia="Times New Roman" w:hAnsi="Times New Roman"/>
          <w:sz w:val="17"/>
          <w:szCs w:val="17"/>
          <w:color w:val="auto"/>
        </w:rPr>
        <w:t>In the lobby, the founding members are required to provide a specified number of LEN screens according to the number of auditoriums in the theater. The founding members have the right to install additional screens in their theater lobbies, but these screens can only be used for limited strategic programs, described below, concessions and theater advertising. NCM LLC’s founding members may conduct a limited number of lobby promotions at no charge in connection with the promotion of motion pictures and their strategic programs; however, such activities do not reduce the lobby promotions inventory available to us.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7" w:name="page118"/>
    <w:bookmarkEnd w:id="117"/>
    <w:p>
      <w:pPr>
        <w:ind w:firstLine="509"/>
        <w:spacing w:after="0" w:line="264" w:lineRule="auto"/>
        <w:rPr>
          <w:sz w:val="20"/>
          <w:szCs w:val="20"/>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In consideration for access to the founding members’ theater attendees for on-screen advertising and use of the founding members’ theaters for the LEN and lobby promotions, the founding members receive a monthly theater access fee. The theater access fee is composed of a fixed payment per patron and a fixed payment per digital screen, which may be adjusted for any advertising exhibited by some, but not all, theaters or founding members because of content objections or technical capacity. The theater access fee paid to founding members included an additional fee for digital cinema systems connected to our advertising network. The payment per digital screen and for the digital cinema systems increases annually by 5%. The payment per theater patron increased increase by 8% every five years with the next occurrence in 2027.</w:t>
      </w:r>
    </w:p>
    <w:p>
      <w:pPr>
        <w:spacing w:after="0" w:line="6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Pursuant to the 2019 ESA Amendments, Cinemark and Regal each received an additional monthly theater access fee beginning November 1, 2019 in consideration for NCM LLC’s access to certain on-screen advertising inventory after the advertised showtime of a feature film. These fees are also based upon a fixed payment per patron beginning at $0.0375 per patron beginning on November 1, 2020, (ii) $0.05 per patron beginning on November 1, 2021, (iii) $0.052 per patron beginning on November 1, 2022 and (iv) increasing 8% every five years beginning November 1, 2027.</w:t>
      </w:r>
    </w:p>
    <w:p>
      <w:pPr>
        <w:spacing w:after="0" w:line="63"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The theater access fee and revenue share aggregate payments to related parties totaled $59.4 million for the year ended December 29, 2022 as compared to $34.3 million for the year ended December, 30, 2021, when theater access fees were not incurred when theaters were temporarily closed in response to the COVID-19 pandemic and attendance-based fees were reduced for the period of the year that attendance was lower than historical levels. Also, in 2022, total revenue from related parties related to beverage concessionaire agreements totaled $14.4 million as compared to $8.8 million in 2021.</w:t>
      </w:r>
    </w:p>
    <w:p>
      <w:pPr>
        <w:spacing w:after="0" w:line="6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u w:val="single" w:color="auto"/>
          <w:color w:val="auto"/>
        </w:rPr>
        <w:t>Net Payments to Related Parties.</w:t>
      </w:r>
      <w:r>
        <w:rPr>
          <w:rFonts w:ascii="Times New Roman" w:cs="Times New Roman" w:eastAsia="Times New Roman" w:hAnsi="Times New Roman"/>
          <w:sz w:val="17"/>
          <w:szCs w:val="17"/>
          <w:color w:val="auto"/>
        </w:rPr>
        <w:t xml:space="preserve"> In 2022 the net payments to each related party for theater access fees and revenue share and payments for use of their screens, less the purchase from NCM LLC of advertising under the founding member’s beverage concessionaire agreements were $18.6 million to Regal and Cinemark as compared to $11.1 million in 2021. As of December 29, 2022 and December, 30, 2021, amounts payable to Regal and Cinemark were $15.2 million and $11.4 million, respectively. Refer to the ‘Common Unit Adjustment Agreement’ section for further discussion of the nature and magnitude of these payments in 2022 and 2021.</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NCM LLC Operating Agreement</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NCM, Inc., AMC, Cinemark and Regal executed the NCM LLC third amended and restated limited liability company operating agreement, effective as of February 13, 2007, which was amended on March 16, 2009 (to permit NCM LLC to provide advertising to a variety of out-of-home advertising venues), on August 6, 2010 and September 3, 2013 (in each case, to modify the timing of written notice should a founding member desire to exercise its option to redeem common membership units), and on January 23, 2019 (to update the member’s rights following changes within the tax partnership rules). Certain basic terms of the restated operating agreement are as follows:</w:t>
      </w:r>
    </w:p>
    <w:p>
      <w:pPr>
        <w:spacing w:after="0" w:line="6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u w:val="single" w:color="auto"/>
          <w:color w:val="auto"/>
        </w:rPr>
        <w:t>Manager of NCM LLC.</w:t>
      </w:r>
      <w:r>
        <w:rPr>
          <w:rFonts w:ascii="Times New Roman" w:cs="Times New Roman" w:eastAsia="Times New Roman" w:hAnsi="Times New Roman"/>
          <w:sz w:val="17"/>
          <w:szCs w:val="17"/>
          <w:color w:val="auto"/>
        </w:rPr>
        <w:t xml:space="preserve"> NCM, Inc. is a member and the sole manager of NCM LLC. As the sole manager, NCM, Inc. controls all of the day to day business affairs and decision-making of NCM LLC through our officers and directors without the approval of any other member. Furthermore, we cannot be removed as manager of NCM LLC. As long as we are the manager of NCM LLC, unless the founding members approve, our business will be limited to owning and managing the common units, managing the business of NCM LLC, fulfilling our obligations under the Exchange Act and activities incidental to the foregoing. We are not entitled to compensation for our services as manager except as provided in the Management Services Agreement described under “– Transactions with NCM LLC – Management Services Agreement” below or as otherwise approved by the members under the restated operating agreement.</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7"/>
          <w:szCs w:val="17"/>
          <w:u w:val="single" w:color="auto"/>
          <w:color w:val="auto"/>
        </w:rPr>
        <w:t>Issuance of Units upon Exercise or Vesting of Equity Compensation.</w:t>
      </w:r>
      <w:r>
        <w:rPr>
          <w:rFonts w:ascii="Times New Roman" w:cs="Times New Roman" w:eastAsia="Times New Roman" w:hAnsi="Times New Roman"/>
          <w:sz w:val="17"/>
          <w:szCs w:val="17"/>
          <w:color w:val="auto"/>
        </w:rPr>
        <w:t xml:space="preserve"> Upon the exercise of options we have issued or the vesting of shares for other types of equity compensation, we will have the right to acquire from NCM LLC a number of common units equal to the number of our shares being issued in connection with the exercise of options or vesting of shares for other types of equity compensation. In consideration for such units, we will contribute to NCM LLC the consideration we received for the exercise of options or vesting of shares for other types of equity compensation. In 2022 and 2021, we acquired 1,137,304 and 1,195,504 units, respectively, due to vesting of restricted stock and restricted stock units.</w:t>
      </w:r>
    </w:p>
    <w:p>
      <w:pPr>
        <w:spacing w:after="0" w:line="6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7"/>
          <w:szCs w:val="17"/>
          <w:u w:val="single" w:color="auto"/>
          <w:color w:val="auto"/>
        </w:rPr>
        <w:t>Founding Member Approval Rights.</w:t>
      </w:r>
      <w:r>
        <w:rPr>
          <w:rFonts w:ascii="Times New Roman" w:cs="Times New Roman" w:eastAsia="Times New Roman" w:hAnsi="Times New Roman"/>
          <w:sz w:val="17"/>
          <w:szCs w:val="17"/>
          <w:color w:val="auto"/>
        </w:rPr>
        <w:t xml:space="preserve"> If any director designee to our Board of Directors designated by Regal and Cinemark, under the Director Designation Agreement, described below, is not appointed to our Board, nominated by us or elected by our stockholders, as applicable, then each of the other members (so long as such other member continues to own 5% of NCM LLC’s issued and outstanding common membership units) will be entitled to approve certain actions of NCM LLC as identified in the restated operating agreement. AMC is currently a member under the terms of the NCM LLC Operating Agreement and no longer a founding member for purposes of this agreement, and thus, no longer has such approval rights.</w:t>
      </w:r>
    </w:p>
    <w:p>
      <w:pPr>
        <w:spacing w:after="0" w:line="65"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 xml:space="preserve"> We are required to make mandatory distributions to members of all “Available Cash,” as defined in the restated operating agreement. Available Cash does not include amounts drawn or paid under NCM LLC’s working capital line of credit. The mandatory distributions must occur quarterly. Following the third amendment to NCM LLC’s credit agreement, NCM LLC may not make any available cash distributions to its members (Cinemark, Regal and NCM, Inc.) until after NCM</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118" w:name="page119"/>
    <w:bookmarkEnd w:id="118"/>
    <w:p>
      <w:pPr>
        <w:ind w:right="120"/>
        <w:spacing w:after="0" w:line="269" w:lineRule="auto"/>
        <w:rPr>
          <w:sz w:val="20"/>
          <w:szCs w:val="20"/>
          <w:color w:val="auto"/>
        </w:rPr>
      </w:pPr>
      <w:r>
        <w:rPr>
          <w:rFonts w:ascii="Times New Roman" w:cs="Times New Roman" w:eastAsia="Times New Roman" w:hAnsi="Times New Roman"/>
          <w:sz w:val="17"/>
          <w:szCs w:val="17"/>
          <w:color w:val="auto"/>
        </w:rPr>
        <w:t>LLC delivers its compliance certificate to the lenders for the fourth quarter of 2023. After the delivery of the compliance certificate for the fourth quarter of 2023, NCM LLC may make available cash distributions to its members so long as NCM LLC’s consolidated net senior secured leverage ratio is equal to or less than 4.00 to 1.00, outstanding loans under the revolving credit facility are equal to or less than $39.0 million and no default or event of default under the Credit Agreement has occurred and is continuing.</w:t>
      </w:r>
    </w:p>
    <w:p>
      <w:pPr>
        <w:spacing w:after="0" w:line="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7"/>
          <w:szCs w:val="17"/>
          <w:color w:val="auto"/>
        </w:rPr>
        <w:t>In 2022 and 2021, positive available cash distributions to related parties totaled $19.3 million and $0.0 million, respectively. Of that amount in 2022, particularly the fourth quarter of 2022, the portion payable to NCM, Inc., Regal and Cinemark totaled $14.4 million, $0.0 million and $4.9 million, respectively. Due to the adverse impacts of the COVID-19 Pandemic on the Company’s operations, the Company generated negative available cash by NCM LLC to its related party founding members and NCM, Inc. for the nine months ended September 29, 2022 of $39.4 million (including negative $10.5 million for Cinemark, negative $9.3 million for Regal and negative $19.6 million for NCM, Inc.) and $93.7 million (including negative $24.3 million for Cinemark, negative $24.2 million for Regal and negative $45.2 million for NCM, Inc.) for the year ended December, 30, 2021. Under the terms of the NCM LLC Operating Agreement, these negative amounts will be netted against future positive available cash distributions in the second quarter of each fiscal year, contingent upon the Company's compliance with the covenants defined within Note 10</w:t>
      </w:r>
      <w:r>
        <w:rPr>
          <w:rFonts w:ascii="Calibri" w:cs="Calibri" w:eastAsia="Calibri" w:hAnsi="Calibri"/>
          <w:sz w:val="19"/>
          <w:szCs w:val="19"/>
          <w:color w:val="auto"/>
        </w:rPr>
        <w:t>—</w:t>
      </w:r>
      <w:r>
        <w:rPr>
          <w:rFonts w:ascii="Times New Roman" w:cs="Times New Roman" w:eastAsia="Times New Roman" w:hAnsi="Times New Roman"/>
          <w:sz w:val="17"/>
          <w:szCs w:val="17"/>
          <w:color w:val="auto"/>
        </w:rPr>
        <w:t>Borrowings and in accordance with the NCM LLC Operating Agreement.</w:t>
      </w:r>
    </w:p>
    <w:p>
      <w:pPr>
        <w:spacing w:after="0" w:line="10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u w:val="single" w:color="auto"/>
          <w:color w:val="auto"/>
        </w:rPr>
        <w:t>Common Unit Redemption Right.</w:t>
      </w:r>
      <w:r>
        <w:rPr>
          <w:rFonts w:ascii="Times New Roman" w:cs="Times New Roman" w:eastAsia="Times New Roman" w:hAnsi="Times New Roman"/>
          <w:sz w:val="17"/>
          <w:szCs w:val="17"/>
          <w:color w:val="auto"/>
        </w:rPr>
        <w:t xml:space="preserve"> Members have a redemption right to exchange common membership units of NCM LLC for newly issued shares of our common stock on a one-for-one basis (as adjusted for certain events), or at our option, a cash payment equal to the market price of one share of our common stock. Under our amended and restated certificate of incorporation, upon the surrender of the NCM LLC common units, we will then contribute cash or issue new shares of our common stock to NCM LLC in exchange for an amount of newly issued common units equal to the number of units surrendered by the redeeming member. NCM LLC will then distribute the cash or shares of common stock to the redeeming member to complete the redemption. AMC exercised the redemption right of an aggregate 200,000 common membership units in 2015, 15,600,000 common membership units in 2017, 197,118 common membership units in 2019, 1,390,567 common membership units in 2021 and 5,954,646 common membership units in 2022, whereby AMC surrendered 200,000, 15,600,000, 197,118, 1,390,567 and 5,954,646 common membership units, respectively, to NCM LLC for cancellation. The Company contributed an aggregate of 200,000, 15,600,000, 197,118 and 1,390,567 shares of its common stock to NCM LLC in exchange for a like number of newly issued common membership units. NCM LLC then distributed the shares of common stock to AMC to complete the redemptions.</w:t>
      </w:r>
    </w:p>
    <w:p>
      <w:pPr>
        <w:spacing w:after="0" w:line="75"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color w:val="auto"/>
        </w:rPr>
        <w:t>Regal exercised the redemption right of 40,683,797 common membership units in December 2022, where by Regal surrendered 40,683,797 common membership units to NCM LLC for cancellation. The Company contributed 40,683,797 shares of its common stock to NCM LLC in exchange for a like number of newly issued common membership units. NCM LLC then distributed the shares of common stock to Regal to complete the redemptions.</w:t>
      </w:r>
    </w:p>
    <w:p>
      <w:pPr>
        <w:spacing w:after="0" w:line="59" w:lineRule="exact"/>
        <w:rPr>
          <w:sz w:val="20"/>
          <w:szCs w:val="20"/>
          <w:color w:val="auto"/>
        </w:rPr>
      </w:pPr>
    </w:p>
    <w:p>
      <w:pPr>
        <w:ind w:right="260" w:firstLine="509"/>
        <w:spacing w:after="0" w:line="269" w:lineRule="auto"/>
        <w:rPr>
          <w:sz w:val="20"/>
          <w:szCs w:val="20"/>
          <w:color w:val="auto"/>
        </w:rPr>
      </w:pPr>
      <w:r>
        <w:rPr>
          <w:rFonts w:ascii="Times New Roman" w:cs="Times New Roman" w:eastAsia="Times New Roman" w:hAnsi="Times New Roman"/>
          <w:sz w:val="17"/>
          <w:szCs w:val="17"/>
          <w:color w:val="auto"/>
        </w:rPr>
        <w:t>Cinemark exercised the redemption right of 43,690,797 common membership units in February and March of 2023, where by Cinemark surrendered 43,690,797 common membership units to NCM LLC for cancellation. The Company contributed 43,690,797 shares of its common stock to NCM LLC in exchange for a like number of newly issued common membership units. NCM LLC then distributed the shares of common stock to Cinemark to complete the redemptions.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Common Unit Adjustment Agreement</w:t>
      </w:r>
    </w:p>
    <w:p>
      <w:pPr>
        <w:spacing w:after="0" w:line="12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7"/>
          <w:szCs w:val="17"/>
          <w:color w:val="auto"/>
        </w:rPr>
        <w:t>NCM, Inc., NCM LLC, AMC, Cinemark and Regal executed the common unit adjustment agreement, effective as of February 13, 2007. The common unit adjustment agreement provides a mechanism for adjusting membership units held by the founding members based on increases or decreases in the number of screens operated by each founding member. Increases in the number of screens are included in the unit adjustment if arising from acquisition of a theater or opening of a newly constructed theater (subject to certain exceptions). Decreases in the number of screens are included in the unit adjustment if arising from disposition of a theater (subject to certain exceptions).</w:t>
      </w:r>
    </w:p>
    <w:p>
      <w:pPr>
        <w:spacing w:after="0" w:line="6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7"/>
          <w:szCs w:val="17"/>
          <w:color w:val="auto"/>
        </w:rPr>
        <w:t>NCM LLC adjusts its membership units annually, except that an earlier adjustment will occur for a founding member if it acquires or disposes of theaters, in a single transaction or cumulatively that will result in a change of two percent or more in the total annual attendance of all founding members (called an extraordinary attendance increase or decrease). The changes in annual attendance are calculated based on attendance at the relevant theaters during the prior twelve fiscal months; however, if an acquired theater has not been operating during the twelve prior fiscal months, the change in annual attendance will be calculated based on 75% of the projected annual attendance for such theater, with a subsequent adjustment for the actual attendance.</w:t>
      </w:r>
    </w:p>
    <w:p>
      <w:pPr>
        <w:spacing w:after="0" w:line="65"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color w:val="auto"/>
        </w:rPr>
        <w:t>During the first quarter of 2022 and the first quarter of 2021, NCM LLC issued 4,140,896, net of 2,342,997 returned common membership units, and 3,047,582 common membership units to its founding members for the rights to exclusive access to the theater screens and attendees added, net of dispositions by the founding members to NCM LLC’s network during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9" w:name="page120"/>
    <w:bookmarkEnd w:id="119"/>
    <w:p>
      <w:pPr>
        <w:ind w:right="680"/>
        <w:spacing w:after="0" w:line="295" w:lineRule="auto"/>
        <w:rPr>
          <w:sz w:val="20"/>
          <w:szCs w:val="20"/>
          <w:color w:val="auto"/>
        </w:rPr>
      </w:pPr>
      <w:r>
        <w:rPr>
          <w:rFonts w:ascii="Times New Roman" w:cs="Times New Roman" w:eastAsia="Times New Roman" w:hAnsi="Times New Roman"/>
          <w:sz w:val="17"/>
          <w:szCs w:val="17"/>
          <w:color w:val="auto"/>
        </w:rPr>
        <w:t>the 2020 fiscal year and 2019 fiscal year, respectively. During the first quarter of 2021, NCM LLC also calculated a negative common membership unit adjustment for AMC for which NCM LLC received $9.3 million in cash.</w:t>
      </w:r>
    </w:p>
    <w:p>
      <w:pPr>
        <w:spacing w:after="0" w:line="4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If an existing on-screen advertising agreement with an alternative provider is in place with respect to any acquired theaters, the founding members may elect to receive common membership units related to those encumbered theaters in connection with the common unit adjustment. If the founding members make this election, then they are required to make integration payments. Founding members may also elect to delay receipt of the common unit membership units until such time as the acquired theaters are no longer encumbered and the theaters then join NCM LLC’s network. Because the AMC Carmike and Cinemark Paragon theaters were subject to an existing on-screen advertising agreement with an alternative provider during 2022 and 2021, and AMC and Cinemark elected to receive common membership units, AMC and Cinemark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 During the years ended December 29, 2022 and December, 30, 2021, the Company recorded a reduction to net intangible assets of $5.4 million and $1.6 million related to these Carmike and Paragon integration and encumbered theater payments, respectively. During the years ended December 29, 2022 and December, 30, 2021, AMC and Cinemark paid a total of $2.8 million and $0.5 million, respectively, related to the integration and other encumbered theater payments (as payments are made one quarter and one month in arrears, respectively).</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2" w:lineRule="exact"/>
        <w:rPr>
          <w:sz w:val="20"/>
          <w:szCs w:val="20"/>
          <w:color w:val="auto"/>
        </w:rPr>
      </w:pPr>
    </w:p>
    <w:p>
      <w:pPr>
        <w:ind w:right="200" w:firstLine="509"/>
        <w:spacing w:after="0" w:line="295" w:lineRule="auto"/>
        <w:rPr>
          <w:sz w:val="20"/>
          <w:szCs w:val="20"/>
          <w:color w:val="auto"/>
        </w:rPr>
      </w:pPr>
      <w:r>
        <w:rPr>
          <w:rFonts w:ascii="Times New Roman" w:cs="Times New Roman" w:eastAsia="Times New Roman" w:hAnsi="Times New Roman"/>
          <w:sz w:val="17"/>
          <w:szCs w:val="17"/>
          <w:color w:val="auto"/>
        </w:rPr>
        <w:t>NCM, Inc., NCM LLC, AMC, Cinemark, and Regal executed the tax receivable agreement, effective as of February 13, 2007, as amended on April 29, 2008 to permit NCM, Inc. to make estimated payments to each of the founding members or ESA parties.</w:t>
      </w:r>
    </w:p>
    <w:p>
      <w:pPr>
        <w:spacing w:after="0" w:line="4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The tax receivable agreement provides for the effective payment by us to the founding members of 90% of the amount of cash savings, if any, in U.S. federal, state, and local income tax or franchise tax that we actually realized as a result of certain increases in our proportionate share of tax basis in NCM LLC’s tangible and intangible assets resulting from our IPO and related transactions, including increases attributable to payments made under the tax receivable agreement. These tax benefit payments are not conditioned upon one or more of the founding members maintaining a continued ownership interest in either NCM LLC or NCM, Inc. We expect to benefit from the remaining 10% of cash savings, if any, that we may actually realize.</w:t>
      </w:r>
    </w:p>
    <w:p>
      <w:pPr>
        <w:spacing w:after="0" w:line="6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Under the tax receivable agreement, cash savings in income and franchise tax are computed by comparing our actual income and franchise tax liability to the amount of such taxes that we would have been required to pay had there been no increase in our proportionate share of tax basis in NCM LLC’s tangible and intangible assets and had the tax receivable agreement not been entered into. The tax receivable agreement generally applies to our taxable years up to and including the 30th anniversary date of our IPO and will continue until any utilized benefits are no longer subject to potential audit or examination by a taxing authority. The term of the tax receivable agreement may, however, be terminated at an earlier date in the event that we exercise our right to terminate the agreement pursuant to an early termination procedure that requires us to pay the founding members an agreed upon amount equal to the present value of the estimated remaining payments to be made under the revenue sharing agreement.</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Although the actual timing and amount of any payments that may be made under the tax receivable agreement varies depending upon a number of factors (including the timing of any redemptions of common membership units in NCM LLC by our founding members, the extent to which such redemptions are taxable, the trading price of shares of our common stock at the time of any such redemptions, and the amount and timing of our income), we expect the payments that we may effectively make to the founding members could be substantial. If the Internal Revenue Service or other taxing authority were to subsequently challenge any of our cash savings covered by the tax receivable agreement, and if such challenge were ultimately upheld, the terms of the tax receivable agreement require the founding members to repay to us an amount equal to the prior payments effectively made by us in respect of such disallowed cash savings, plus a proportionate share of any applicable interest and penalties. In such an event, and if a founding member is unable to make a timely repayment to us under the terms of the tax receivable agreement, we will have the ability to cause NCM LLC to offset against payments owed to the founding member. The repayment obligation is a several liability of each founding member and not a joint liability among the founding members.</w:t>
      </w:r>
    </w:p>
    <w:p>
      <w:pPr>
        <w:spacing w:after="0" w:line="71" w:lineRule="exact"/>
        <w:rPr>
          <w:sz w:val="20"/>
          <w:szCs w:val="20"/>
          <w:color w:val="auto"/>
        </w:rPr>
      </w:pPr>
    </w:p>
    <w:p>
      <w:pPr>
        <w:ind w:right="340" w:firstLine="509"/>
        <w:spacing w:after="0" w:line="295" w:lineRule="auto"/>
        <w:rPr>
          <w:sz w:val="20"/>
          <w:szCs w:val="20"/>
          <w:color w:val="auto"/>
        </w:rPr>
      </w:pPr>
      <w:r>
        <w:rPr>
          <w:rFonts w:ascii="Times New Roman" w:cs="Times New Roman" w:eastAsia="Times New Roman" w:hAnsi="Times New Roman"/>
          <w:sz w:val="17"/>
          <w:szCs w:val="17"/>
          <w:color w:val="auto"/>
        </w:rPr>
        <w:t>As of December 29, 2022 we had a balance recorded for the payable to our related parties under the tax receivable agreement of approximately $25.7 million. The Company does expect to owe a payment for the 2022 taxable year in 2023. As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20" w:name="page121"/>
    <w:bookmarkEnd w:id="120"/>
    <w:p>
      <w:pPr>
        <w:jc w:val="both"/>
        <w:ind w:right="240"/>
        <w:spacing w:after="0" w:line="275" w:lineRule="auto"/>
        <w:rPr>
          <w:sz w:val="20"/>
          <w:szCs w:val="20"/>
          <w:color w:val="auto"/>
        </w:rPr>
      </w:pPr>
      <w:r>
        <w:rPr>
          <w:rFonts w:ascii="Times New Roman" w:cs="Times New Roman" w:eastAsia="Times New Roman" w:hAnsi="Times New Roman"/>
          <w:sz w:val="17"/>
          <w:szCs w:val="17"/>
          <w:color w:val="auto"/>
        </w:rPr>
        <w:t>of December, 30, 2021 we had a balance recorded for the payable to our related parties under the tax receivable agreement of approximately $11.9 million. In 2022, the Company did not make a payment for the 2021 taxable year as the net operating loss generated during the year ended December, 30, 2021 exceeded the gross deductions related to the tax receivable agreement for the year ended December, 30, 2021.</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Software License Agreement</w:t>
      </w:r>
    </w:p>
    <w:p>
      <w:pPr>
        <w:spacing w:after="0" w:line="122"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7"/>
          <w:szCs w:val="17"/>
          <w:color w:val="auto"/>
        </w:rPr>
        <w:t>NCM LLC, AMC, Cinemark, Regal CineMedia Corporation (“RCM”) and Digital Cinema Implementation Partners, LLC, a company jointly owned by the founding members (“DCIP”), executed the Second Amended and Restated Software License Agreement effective as of February 13, 2007 (the “license agreement”). Certain basic terms of the license agreement are discussed below:</w:t>
      </w:r>
    </w:p>
    <w:p>
      <w:pPr>
        <w:spacing w:after="0" w:line="59"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color w:val="auto"/>
        </w:rPr>
        <w:t>AMC and RCM granted to NCM LLC an exclusive license (subject to certain exceptions) to identified technology for use in the United States with respect to the services provided under the ESAs. The founding members and DCIP each granted to NCM LLC a license, subject to certain limitations, to any existing and future developments of such party based on the licensed technology that has application to the services provided under the ESAs. NCM LLC granted to the founding members a license, subject to certain limitations, to any NCM LLC developments that existed at the IPO date based on licensed technology, solely for the founding members’ internal business purposes that are outside of the services that are defined in the ESAs (but not including digital cinema applications). NCM LLC granted DCIP a license, subject to certain exceptions, to any existing and future NCM LLC developments that may have digital cinema applications.</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Director Designation Agreement</w:t>
      </w:r>
    </w:p>
    <w:p>
      <w:pPr>
        <w:spacing w:after="0" w:line="122" w:lineRule="exact"/>
        <w:rPr>
          <w:sz w:val="20"/>
          <w:szCs w:val="20"/>
          <w:color w:val="auto"/>
        </w:rPr>
      </w:pPr>
    </w:p>
    <w:p>
      <w:pPr>
        <w:ind w:right="40" w:firstLine="509"/>
        <w:spacing w:after="0" w:line="295" w:lineRule="auto"/>
        <w:rPr>
          <w:sz w:val="20"/>
          <w:szCs w:val="20"/>
          <w:color w:val="auto"/>
        </w:rPr>
      </w:pPr>
      <w:r>
        <w:rPr>
          <w:rFonts w:ascii="Times New Roman" w:cs="Times New Roman" w:eastAsia="Times New Roman" w:hAnsi="Times New Roman"/>
          <w:sz w:val="17"/>
          <w:szCs w:val="17"/>
          <w:color w:val="auto"/>
        </w:rPr>
        <w:t>NCM, Inc., AMC, Cinemark and Regal executed the Director Designation Agreement effective as of February 13, 2007. AMC no longer has rights under this agreement.</w:t>
      </w:r>
    </w:p>
    <w:p>
      <w:pPr>
        <w:spacing w:after="0" w:line="4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So long as Regal or Cinemark, respectively, owns at least 5% of NCM LLC’s issued and outstanding common membership units, on an as-converted basis, such founding member has the right to designate two nominees to our Board of Directors who are voted upon by our stockholders. At least one of the designees of such founding member must qualify as an “independent director” at the time of designation so that a majority of the members of our Board are “independent directors” under the Nasdaq rules. We have agreed to include each director designee in our Board’s slate of nominees submitted to our stockholders for election of directors and in the proxy statement prepared by management for every meeting of our stockholders called with respect to the election of members of our Board, subject to certain exceptions.</w:t>
      </w:r>
    </w:p>
    <w:p>
      <w:pPr>
        <w:spacing w:after="0" w:line="6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If a vacancy occurs because of the death, disability, resignation or removal of a director designee, then our Board, or any Board committee, will not vote, fill the vacancy or take any action subject to the veto rights of the directors designated by Cinemark and Regal under our amended and restated certificate of incorporation until (i) the founding member has designated a successor director designee and our Board has appointed such successor director designee, (ii) the founding member fails to designate a successor director designee within 10 business days of such vacancy, or (iii) the founding member has waived its rights to designate a successor director designee and has consented to our Board, or any Board committee, taking a vote on the specified actions prior to our Board filling the vacancy with a successor director designee.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NCM, Inc., AMC, Cinemark and Regal executed the registration rights agreement effective as of February 13, 2007.</w:t>
      </w:r>
    </w:p>
    <w:p>
      <w:pPr>
        <w:spacing w:after="0" w:line="11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registration rights agreement requires us to use our reasonable efforts to file a registration statement on the first business day after the one-year anniversary of the closing of our IPO to register all registrable securities held by the founding members that are not already registered, if necessary, and to file resale registration statements after that time for any additional registrable securities that we issue to any founding member in the future, within 20 days after such issuance. Additionally, we must maintain effectiveness of these mandatory registration statements until the earlier of the time when the founding members have disposed of all their registrable securities and the time when all registrable securities held by the founding members are eligible for resale under specified securities regulations. We are responsible for the expenses in connection with the registration of securities pursuant to the registration rights agreement.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Joint Defense Agreements</w:t>
      </w:r>
    </w:p>
    <w:p>
      <w:pPr>
        <w:spacing w:after="0" w:line="122" w:lineRule="exact"/>
        <w:rPr>
          <w:sz w:val="20"/>
          <w:szCs w:val="20"/>
          <w:color w:val="auto"/>
        </w:rPr>
      </w:pPr>
    </w:p>
    <w:p>
      <w:pPr>
        <w:ind w:right="360" w:firstLine="509"/>
        <w:spacing w:after="0" w:line="295" w:lineRule="auto"/>
        <w:rPr>
          <w:sz w:val="20"/>
          <w:szCs w:val="20"/>
          <w:color w:val="auto"/>
        </w:rPr>
      </w:pPr>
      <w:r>
        <w:rPr>
          <w:rFonts w:ascii="Times New Roman" w:cs="Times New Roman" w:eastAsia="Times New Roman" w:hAnsi="Times New Roman"/>
          <w:sz w:val="17"/>
          <w:szCs w:val="17"/>
          <w:color w:val="auto"/>
        </w:rPr>
        <w:t>NCM, Inc., NCM LLC and the founding members from time to time may enter into a joint defense and common interest agreement, under which the parties agree to cooperate and share information in order to advance their shared interests in owning and operating NCM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Founding Members—Services</w:t>
      </w:r>
    </w:p>
    <w:p>
      <w:pPr>
        <w:spacing w:after="0" w:line="122" w:lineRule="exact"/>
        <w:rPr>
          <w:sz w:val="20"/>
          <w:szCs w:val="20"/>
          <w:color w:val="auto"/>
        </w:rPr>
      </w:pPr>
    </w:p>
    <w:p>
      <w:pPr>
        <w:ind w:right="240" w:firstLine="509"/>
        <w:spacing w:after="0" w:line="295" w:lineRule="auto"/>
        <w:rPr>
          <w:sz w:val="20"/>
          <w:szCs w:val="20"/>
          <w:color w:val="auto"/>
        </w:rPr>
      </w:pPr>
      <w:r>
        <w:rPr>
          <w:rFonts w:ascii="Times New Roman" w:cs="Times New Roman" w:eastAsia="Times New Roman" w:hAnsi="Times New Roman"/>
          <w:sz w:val="17"/>
          <w:szCs w:val="17"/>
          <w:color w:val="auto"/>
        </w:rPr>
        <w:t>In 2022 and 2021, NCM LLC incurred fees of approximately $0.1 million and $0.2 million to Cinemark and Regal for payments made to the founding members in the ordinary course of business, including the purchase of movie tickets,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concession products, rental of theater space primarily for marketing to NCM LLC’s advertising clients and other advertising operating costs,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Transactions</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Sale of Fathom Events Business to AC JV, LLC</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On December 26, 2013, NCM LLC sold the Fathom Events business to AC JV, LLC owned 32% by each of the founding members and 4% by us. In consideration for the sale, NCM LLC received a total of $25.0 million in promissory notes from our founding members (one-third or approximately $8.3 million from each founding member). The notes bear interest at a fixed rate of 5.0% per annum, compounded annually. Interest and principal payments are due annually in six equal installments commencing on December 26, 2014. Due to the related party nature of the transaction, we formed a committee of independent directors that hired a separate legal counsel and an investment banking firm who advised the committee and rendered an opinion as to the fairness of the transaction. NCM LLC’s investment in AC JV, LLC was $0.8 million as of December 29, 2022 and $0.7 million as of December, 30, 2021. During the years ended December 29, 2022 and December, 30, 2021, NCM LLC received cash distributions from AC JV, LLC of $0.4 million and $0.0 million, respectively. During the years ended December 29, 2022 and December, 30, 2021, NCM LLC recorded equity in earnings of $0.4 million and $0.0 million for AC JV, LLC, respectively. In connection with the sale, we entered into a transition services agreement and a services agreement.</w:t>
      </w:r>
    </w:p>
    <w:p>
      <w:pPr>
        <w:spacing w:after="0" w:line="7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u w:val="single" w:color="auto"/>
          <w:color w:val="auto"/>
        </w:rPr>
        <w:t>Services Agreement with AC JV, LLC.</w:t>
      </w:r>
      <w:r>
        <w:rPr>
          <w:rFonts w:ascii="Times New Roman" w:cs="Times New Roman" w:eastAsia="Times New Roman" w:hAnsi="Times New Roman"/>
          <w:sz w:val="17"/>
          <w:szCs w:val="17"/>
          <w:color w:val="auto"/>
        </w:rPr>
        <w:t xml:space="preserve"> NCM LLC entered into a services agreement with AC JV, LLC upon the closing of the sale of Fathom Events. The agreement grants AC JV, LLC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NCM LLC has also agreed to provide creative and media production services for a fee. The term of the agreement coincides with the ESAs, subject to certain exceptions.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Network Advertiser Transactions</w:t>
      </w:r>
    </w:p>
    <w:p>
      <w:pPr>
        <w:spacing w:after="0" w:line="122" w:lineRule="exact"/>
        <w:rPr>
          <w:sz w:val="20"/>
          <w:szCs w:val="20"/>
          <w:color w:val="auto"/>
        </w:rPr>
      </w:pPr>
    </w:p>
    <w:p>
      <w:pPr>
        <w:ind w:right="520" w:firstLine="509"/>
        <w:spacing w:after="0" w:line="295" w:lineRule="auto"/>
        <w:rPr>
          <w:sz w:val="20"/>
          <w:szCs w:val="20"/>
          <w:color w:val="auto"/>
        </w:rPr>
      </w:pPr>
      <w:r>
        <w:rPr>
          <w:rFonts w:ascii="Times New Roman" w:cs="Times New Roman" w:eastAsia="Times New Roman" w:hAnsi="Times New Roman"/>
          <w:sz w:val="17"/>
          <w:szCs w:val="17"/>
          <w:color w:val="auto"/>
        </w:rPr>
        <w:t>NCM LLC earned revenue from an advertiser for which Donna Reisman, director of the Company’s Board of Directors, serves as President, in the amount of $0.3 million during the year ended December 29, 2022 and $0.2 million during the year ended December, 30,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NCM LLC</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Management Services Agreement</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On February 13, 2007, NCM, Inc. and NCM LLC executed the management services agreement under which we provide certain management services to NCM LLC, including services typically provided by the individuals serving in the positions of chief executive officer, president, chief financial officer, and general counsel. In exchange for the services, NCM LLC reimburses us for compensation and other expenses of our officers and employees and for certain out-of-pocket costs. NCM LLC provides administrative and support services to us, such as office facilities, equipment, supplies, payroll and accounting and financial reporting. The management services agreement also provides that our employees may participate in NCM LLC’s benefit plans, and that NCM LLC employees may participate in the National CineMedia, Inc. 2007 Equity Incentive Plan, the National CineMedia, Inc. 2016 Equity Incentive Plan and the National CineMedia, Inc. 2020 Omnibus Incentive Plan. Pursuant to this agreement, NCM LLC incurred approximately $11.0 million during 2022 and $10.2 million in 2021.</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Receivables Sales Agreements</w:t>
      </w:r>
    </w:p>
    <w:p>
      <w:pPr>
        <w:spacing w:after="0" w:line="12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7"/>
          <w:szCs w:val="17"/>
          <w:color w:val="auto"/>
        </w:rPr>
        <w:t>On November 3, 2022, NCM LLC and NCM, Inc. entered into a Receivable Sales Agreement pursuant to which, NCM, Inc. acquired the right to approximately $5.0 million of NCM LLC’s accounts receivable at a purchase price equal to the book value of the accounts receivable in exchange for a cash payment. On December 28, 2022, NCM LLC and NCM, Inc. entered into an additional Receivables Sales Agreement pursuant to which, NCM, Inc. acquired the right to approximately $5.0 million of NCM LLC’s accounts receivable at a purchase price equal to the book value of the accounts receivable in exchange for a cash payment.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Independence of Our Board of Directors</w:t>
      </w:r>
    </w:p>
    <w:p>
      <w:pPr>
        <w:spacing w:after="0" w:line="120" w:lineRule="exact"/>
        <w:rPr>
          <w:sz w:val="20"/>
          <w:szCs w:val="20"/>
          <w:color w:val="auto"/>
        </w:rPr>
      </w:pPr>
    </w:p>
    <w:p>
      <w:pPr>
        <w:jc w:val="both"/>
        <w:ind w:right="80" w:firstLine="509"/>
        <w:spacing w:after="0" w:line="275" w:lineRule="auto"/>
        <w:rPr>
          <w:sz w:val="20"/>
          <w:szCs w:val="20"/>
          <w:color w:val="auto"/>
        </w:rPr>
      </w:pPr>
      <w:r>
        <w:rPr>
          <w:rFonts w:ascii="Times New Roman" w:cs="Times New Roman" w:eastAsia="Times New Roman" w:hAnsi="Times New Roman"/>
          <w:sz w:val="17"/>
          <w:szCs w:val="17"/>
          <w:color w:val="auto"/>
        </w:rPr>
        <w:t>Our Board of Directors has determined that David E. Glazek, Lawrence A. Goodman, Kurt C. Hall, Juliana F. Hill, Donna Reisman and Mark B. Segall, all current directors of the Company, qualify as “independent” directors under the rules promulgated by the SEC under the Exchange Act, and by Nasdaq. There are no family relationships among any of our executive officers, directors or nominees for director.</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2" w:name="page123"/>
    <w:bookmarkEnd w:id="122"/>
    <w:p>
      <w:pPr>
        <w:ind w:left="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Paid to Independent Auditors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paid Deloitte &amp; Touche LLP, the Company’s independent registered public accounting firm for fiscal years 2022 and 2021, the following amounts: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w:t>
            </w: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1,208,989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1,015,536</w:t>
            </w:r>
          </w:p>
        </w:tc>
      </w:tr>
      <w:tr>
        <w:trPr>
          <w:trHeight w:val="222"/>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 Related Fees</w:t>
            </w:r>
          </w:p>
        </w:tc>
        <w:tc>
          <w:tcPr>
            <w:tcW w:w="1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Audit and Related Fees</w:t>
            </w:r>
          </w:p>
        </w:tc>
        <w:tc>
          <w:tcPr>
            <w:tcW w:w="1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1,208,989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1,015,536</w:t>
            </w:r>
          </w:p>
        </w:tc>
      </w:tr>
      <w:tr>
        <w:trPr>
          <w:trHeight w:val="222"/>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Fees</w:t>
            </w:r>
          </w:p>
        </w:tc>
        <w:tc>
          <w:tcPr>
            <w:tcW w:w="1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Fees</w:t>
            </w: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1,208,989</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1,015,536</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5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73" w:lineRule="exact"/>
        <w:rPr>
          <w:sz w:val="20"/>
          <w:szCs w:val="20"/>
          <w:color w:val="auto"/>
        </w:rPr>
      </w:pPr>
    </w:p>
    <w:p>
      <w:pPr>
        <w:ind w:left="940" w:right="160" w:hanging="309"/>
        <w:spacing w:after="0" w:line="295" w:lineRule="auto"/>
        <w:tabs>
          <w:tab w:leader="none" w:pos="9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and 2021, audit fees included $182,500 and $20,000, respectively, of fees for the issuance of consents and other procedures in connection with registration statement filings and other finance transactions.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20"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 xml:space="preserve">All auditing services, internal control-related services, and permitted non-audit services (including the fees and terms thereof) to be performed for the Company by our independent auditors must be approved by our Audit Committee in advance, subject to the de minimis exceptions for non-audit services described in Section 10A(i)(l)(B) of the Exchange Act that are approved by our Audit Committee prior to the completion of the audit. Our Audit Committee may form and delegate authority to subcommittees consisting of one or more of its members or may delegate authority to one or more members, including the authority to grant pre-approvals of audit and permitted non-audit services,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decisions to grant pre-approvals pursuant to such delegated authority will be presented to the entire Audit Committee at its next scheduled meeting. Effective with the completion of our initial public offering in February 2007, all of our independent auditors’ services were pre-approved by our Audit Committee.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Financial Statement Schedules</w:t>
      </w:r>
    </w:p>
    <w:p>
      <w:pPr>
        <w:spacing w:after="0" w:line="198" w:lineRule="exact"/>
        <w:rPr>
          <w:sz w:val="20"/>
          <w:szCs w:val="20"/>
          <w:color w:val="auto"/>
        </w:rPr>
      </w:pPr>
    </w:p>
    <w:p>
      <w:pPr>
        <w:ind w:left="920" w:right="5660" w:hanging="426"/>
        <w:spacing w:after="0" w:line="384" w:lineRule="auto"/>
        <w:tabs>
          <w:tab w:leader="none" w:pos="72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and (a) (2) Financial statements and financial statement schedules Refer to Index to Financial Statements on page 64.</w:t>
      </w:r>
    </w:p>
    <w:p>
      <w:pPr>
        <w:spacing w:after="0" w:line="1" w:lineRule="exact"/>
        <w:rPr>
          <w:rFonts w:ascii="Times New Roman" w:cs="Times New Roman" w:eastAsia="Times New Roman" w:hAnsi="Times New Roman"/>
          <w:sz w:val="17"/>
          <w:szCs w:val="17"/>
          <w:color w:val="auto"/>
        </w:rPr>
      </w:pPr>
    </w:p>
    <w:p>
      <w:pPr>
        <w:ind w:left="780" w:hanging="286"/>
        <w:spacing w:after="0"/>
        <w:tabs>
          <w:tab w:leader="none" w:pos="7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Refer to Exhibit Index, beginning on page 125.</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 Financial Statement Schedules</w:t>
      </w:r>
    </w:p>
    <w:p>
      <w:pPr>
        <w:spacing w:after="0" w:line="118" w:lineRule="exact"/>
        <w:rPr>
          <w:sz w:val="20"/>
          <w:szCs w:val="20"/>
          <w:color w:val="auto"/>
        </w:rPr>
      </w:pPr>
    </w:p>
    <w:p>
      <w:pPr>
        <w:ind w:left="920"/>
        <w:spacing w:after="0" w:line="295" w:lineRule="auto"/>
        <w:rPr>
          <w:sz w:val="20"/>
          <w:szCs w:val="20"/>
          <w:color w:val="auto"/>
        </w:rPr>
      </w:pPr>
      <w:r>
        <w:rPr>
          <w:rFonts w:ascii="Times New Roman" w:cs="Times New Roman" w:eastAsia="Times New Roman" w:hAnsi="Times New Roman"/>
          <w:sz w:val="17"/>
          <w:szCs w:val="17"/>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6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56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Borders>
              <w:bottom w:val="single" w:sz="8" w:color="0000FF"/>
            </w:tcBorders>
            <w:gridSpan w:val="5"/>
          </w:tcPr>
          <w:p>
            <w:pPr>
              <w:ind w:left="40"/>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The Bylaws, as amended May 4, 2022</w:t>
              </w:r>
            </w:hyperlink>
          </w:p>
        </w:tc>
        <w:tc>
          <w:tcPr>
            <w:tcW w:w="1840" w:type="dxa"/>
            <w:vAlign w:val="bottom"/>
            <w:gridSpan w:val="26"/>
          </w:tcPr>
          <w:p>
            <w:pPr>
              <w:spacing w:after="0"/>
              <w:rPr>
                <w:sz w:val="16"/>
                <w:szCs w:val="16"/>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Second Amended and Restated Certificate of Incorporation of</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National CineMedia, Inc. as amended as of May 4, 2022</w:t>
              </w:r>
            </w:hyperlink>
          </w:p>
        </w:tc>
        <w:tc>
          <w:tcPr>
            <w:tcW w:w="4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Indenture, dated as of August 19, 2016, by and between National</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CineMedia, LLC and Wells Fargo Bank, National Association,</w:t>
              </w:r>
            </w:hyperlink>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w w:val="99"/>
              </w:rPr>
            </w:pPr>
            <w:hyperlink r:id="rId194">
              <w:r>
                <w:rPr>
                  <w:rFonts w:ascii="Times New Roman" w:cs="Times New Roman" w:eastAsia="Times New Roman" w:hAnsi="Times New Roman"/>
                  <w:sz w:val="17"/>
                  <w:szCs w:val="17"/>
                  <w:color w:val="0000FF"/>
                  <w:w w:val="99"/>
                </w:rPr>
                <w:t>as trustee.</w:t>
              </w:r>
            </w:hyperlink>
          </w:p>
        </w:tc>
        <w:tc>
          <w:tcPr>
            <w:tcW w:w="36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4.2</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Form of 5.750% Senior Unsecured Notes due 2026 (included in</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Exhibit 4.1).</w:t>
              </w:r>
            </w:hyperlink>
          </w:p>
        </w:tc>
        <w:tc>
          <w:tcPr>
            <w:tcW w:w="356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4.3</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Indenture, dated as of October 8, 2019, by and between NCM</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LLC and Wells Fargo Bank, National Association, as trustee.</w:t>
              </w:r>
            </w:hyperlink>
          </w:p>
        </w:tc>
        <w:tc>
          <w:tcPr>
            <w:tcW w:w="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4.4</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of 5.875% Senior Secured Notes due 2028 (included in</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Exhibit 4.3).</w:t>
              </w:r>
            </w:hyperlink>
          </w:p>
        </w:tc>
        <w:tc>
          <w:tcPr>
            <w:tcW w:w="33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4.5</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First Supplemental Indenture, dated as of March 15, 2023, by</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and between National CineMedia, LLC and Computershare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Trust Company, North America, as trustee.</w:t>
              </w:r>
            </w:hyperlink>
          </w:p>
        </w:tc>
        <w:tc>
          <w:tcPr>
            <w:tcW w:w="116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4.6</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Second Supplemental Indenture, dated as of March 31, 2023, by</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8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and between National CineMedia, LLC and Computershare</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4"/>
          </w:tcPr>
          <w:p>
            <w:pPr>
              <w:spacing w:after="0" w:line="16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Trust Company, as trustee.</w:t>
              </w:r>
            </w:hyperlink>
          </w:p>
        </w:tc>
        <w:tc>
          <w:tcPr>
            <w:tcW w:w="23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4.7</w:t>
            </w:r>
          </w:p>
        </w:tc>
        <w:tc>
          <w:tcPr>
            <w:tcW w:w="50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Description of the Registrant’s Securities</w:t>
            </w: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National CineMedia, LLC Third Amended and Restated Limited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Liability Company Operating Agreement dated as of February</w:t>
              </w:r>
            </w:hyperlink>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13, 2007, by and among American Multi-Cinema, Inc.,</w:t>
              </w:r>
            </w:hyperlink>
          </w:p>
        </w:tc>
        <w:tc>
          <w:tcPr>
            <w:tcW w:w="52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gridSpan w:val="31"/>
          </w:tcPr>
          <w:p>
            <w:pPr>
              <w:spacing w:after="0" w:line="150"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Cinemark Media, Inc., Regal CineMedia Holdings, LLC and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National CineMedia, Inc.</w:t>
              </w:r>
            </w:hyperlink>
          </w:p>
        </w:tc>
        <w:tc>
          <w:tcPr>
            <w:tcW w:w="24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First Amendment to Third Amended and Restated Limited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Liability Company Operating Agreement of National</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tcBorders>
              <w:top w:val="single" w:sz="8" w:color="0000FF"/>
            </w:tcBorders>
            <w:gridSpan w:val="8"/>
          </w:tcPr>
          <w:p>
            <w:pPr>
              <w:spacing w:after="0" w:line="16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CineMedia, LLC dated as of March 16, 2009, by and</w:t>
              </w:r>
            </w:hyperlink>
          </w:p>
        </w:tc>
        <w:tc>
          <w:tcPr>
            <w:tcW w:w="20" w:type="dxa"/>
            <w:vAlign w:val="bottom"/>
          </w:tcPr>
          <w:p>
            <w:pPr>
              <w:spacing w:after="0"/>
              <w:rPr>
                <w:sz w:val="14"/>
                <w:szCs w:val="14"/>
                <w:color w:val="auto"/>
              </w:rPr>
            </w:pPr>
          </w:p>
        </w:tc>
        <w:tc>
          <w:tcPr>
            <w:tcW w:w="840" w:type="dxa"/>
            <w:vAlign w:val="bottom"/>
            <w:gridSpan w:val="22"/>
          </w:tcPr>
          <w:p>
            <w:pPr>
              <w:ind w:left="20"/>
              <w:spacing w:after="0" w:line="16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among</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2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American Multi-Cinema, Inc., Cinemark Media, Inc., Regal</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CineMedia Holdings, LLC and National CineMedia, Inc.</w:t>
              </w:r>
            </w:hyperlink>
          </w:p>
        </w:tc>
        <w:tc>
          <w:tcPr>
            <w:tcW w:w="22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Second Amendment to Third Amended and Restated Limited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8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Liability Company Operating Agreement of National</w:t>
              </w:r>
            </w:hyperlink>
          </w:p>
        </w:tc>
        <w:tc>
          <w:tcPr>
            <w:tcW w:w="12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Borders>
              <w:top w:val="single" w:sz="8" w:color="0000FF"/>
            </w:tcBorders>
            <w:gridSpan w:val="9"/>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CineMedia, LLC dated as of August 6, 2010, by and</w:t>
              </w:r>
            </w:hyperlink>
          </w:p>
        </w:tc>
        <w:tc>
          <w:tcPr>
            <w:tcW w:w="840" w:type="dxa"/>
            <w:vAlign w:val="bottom"/>
            <w:gridSpan w:val="22"/>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among</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American Multi-Cinema, Inc., Cinemark Media, Inc., Regal</w:t>
              </w:r>
            </w:hyperlink>
          </w:p>
        </w:tc>
        <w:tc>
          <w:tcPr>
            <w:tcW w:w="220" w:type="dxa"/>
            <w:vAlign w:val="bottom"/>
            <w:gridSpan w:val="11"/>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CineMedia Holdings, LLC and National CineMedia, Inc.</w:t>
              </w:r>
            </w:hyperlink>
          </w:p>
        </w:tc>
        <w:tc>
          <w:tcPr>
            <w:tcW w:w="220" w:type="dxa"/>
            <w:vAlign w:val="bottom"/>
            <w:tcBorders>
              <w:top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10.1.3</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31"/>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Third Amendment to the Third Amended and Restated Limited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Liability Company Operating Agreement of National</w:t>
              </w:r>
            </w:hyperlink>
          </w:p>
        </w:tc>
        <w:tc>
          <w:tcPr>
            <w:tcW w:w="680" w:type="dxa"/>
            <w:vAlign w:val="bottom"/>
            <w:tcBorders>
              <w:top w:val="single" w:sz="8" w:color="0000FF"/>
            </w:tcBorders>
            <w:gridSpan w:val="17"/>
          </w:tcPr>
          <w:p>
            <w:pPr>
              <w:spacing w:after="0"/>
              <w:rPr>
                <w:sz w:val="13"/>
                <w:szCs w:val="13"/>
                <w:color w:val="auto"/>
              </w:rPr>
            </w:pPr>
          </w:p>
        </w:tc>
        <w:tc>
          <w:tcPr>
            <w:tcW w:w="160" w:type="dxa"/>
            <w:vAlign w:val="bottom"/>
            <w:gridSpan w:val="5"/>
          </w:tcPr>
          <w:p>
            <w:pPr>
              <w:spacing w:after="0"/>
              <w:rPr>
                <w:sz w:val="13"/>
                <w:szCs w:val="13"/>
                <w:color w:val="auto"/>
              </w:rPr>
            </w:pPr>
          </w:p>
        </w:tc>
      </w:tr>
    </w:tbl>
    <w:p>
      <w:pPr>
        <w:ind w:left="1820" w:right="120"/>
        <w:spacing w:after="0" w:line="214" w:lineRule="auto"/>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CineMedia, LLC dated September 3, 2013, by and among</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American Multi-Cinema, Inc., AMC ShowPlace Theatres, Inc.,</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Cinemark Media, Inc., Regal CineMedia Holdings, LLC, Regal</w:t>
        </w:r>
      </w:hyperlink>
    </w:p>
    <w:p>
      <w:pPr>
        <w:spacing w:after="0" w:line="1" w:lineRule="exact"/>
        <w:rPr>
          <w:rFonts w:ascii="Times New Roman" w:cs="Times New Roman" w:eastAsia="Times New Roman" w:hAnsi="Times New Roman"/>
          <w:sz w:val="17"/>
          <w:szCs w:val="17"/>
          <w:u w:val="single" w:color="auto"/>
          <w:color w:val="0000FF"/>
        </w:rPr>
      </w:pPr>
    </w:p>
    <w:p>
      <w:pPr>
        <w:ind w:left="1820"/>
        <w:spacing w:after="0"/>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Cinemas, Inc. and National CineMedia, Inc.</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77" w:lineRule="exact"/>
        <w:rPr>
          <w:rFonts w:ascii="Times New Roman" w:cs="Times New Roman" w:eastAsia="Times New Roman" w:hAnsi="Times New Roman"/>
          <w:sz w:val="17"/>
          <w:szCs w:val="17"/>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54"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5/9/2022</w:t>
            </w:r>
          </w:p>
        </w:tc>
        <w:tc>
          <w:tcPr>
            <w:tcW w:w="0" w:type="dxa"/>
            <w:vAlign w:val="bottom"/>
          </w:tcPr>
          <w:p>
            <w:pPr>
              <w:spacing w:after="0"/>
              <w:rPr>
                <w:sz w:val="1"/>
                <w:szCs w:val="1"/>
                <w:color w:val="auto"/>
              </w:rPr>
            </w:pPr>
          </w:p>
        </w:tc>
      </w:tr>
      <w:tr>
        <w:trPr>
          <w:trHeight w:val="274"/>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3"/>
                <w:szCs w:val="23"/>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tcPr>
          <w:p>
            <w:pPr>
              <w:spacing w:after="0"/>
              <w:rPr>
                <w:sz w:val="23"/>
                <w:szCs w:val="2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5/9/2022</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8/19/2016</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8/19/2016</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10/8/2019</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10/8/2019</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3/16/2023</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3/31/2023</w:t>
            </w:r>
          </w:p>
        </w:tc>
        <w:tc>
          <w:tcPr>
            <w:tcW w:w="0" w:type="dxa"/>
            <w:vAlign w:val="bottom"/>
          </w:tcPr>
          <w:p>
            <w:pPr>
              <w:spacing w:after="0"/>
              <w:rPr>
                <w:sz w:val="1"/>
                <w:szCs w:val="1"/>
                <w:color w:val="auto"/>
              </w:rPr>
            </w:pPr>
          </w:p>
        </w:tc>
      </w:tr>
      <w:tr>
        <w:trPr>
          <w:trHeight w:val="901"/>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979"/>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8"/>
              </w:rPr>
              <w:t>10.1.1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8/7/2009</w:t>
            </w:r>
          </w:p>
        </w:tc>
        <w:tc>
          <w:tcPr>
            <w:tcW w:w="0" w:type="dxa"/>
            <w:vAlign w:val="bottom"/>
          </w:tcPr>
          <w:p>
            <w:pPr>
              <w:spacing w:after="0"/>
              <w:rPr>
                <w:sz w:val="1"/>
                <w:szCs w:val="1"/>
                <w:color w:val="auto"/>
              </w:rPr>
            </w:pPr>
          </w:p>
        </w:tc>
      </w:tr>
      <w:tr>
        <w:trPr>
          <w:trHeight w:val="97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8/10/2010</w:t>
            </w:r>
          </w:p>
        </w:tc>
        <w:tc>
          <w:tcPr>
            <w:tcW w:w="0" w:type="dxa"/>
            <w:vAlign w:val="bottom"/>
          </w:tcPr>
          <w:p>
            <w:pPr>
              <w:spacing w:after="0"/>
              <w:rPr>
                <w:sz w:val="1"/>
                <w:szCs w:val="1"/>
                <w:color w:val="auto"/>
              </w:rPr>
            </w:pPr>
          </w:p>
        </w:tc>
      </w:tr>
      <w:tr>
        <w:trPr>
          <w:trHeight w:val="97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8"/>
              </w:rPr>
              <w:t>10.1.3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9/9/2013</w:t>
            </w:r>
          </w:p>
        </w:tc>
        <w:tc>
          <w:tcPr>
            <w:tcW w:w="0" w:type="dxa"/>
            <w:vAlign w:val="bottom"/>
          </w:tcPr>
          <w:p>
            <w:pPr>
              <w:spacing w:after="0"/>
              <w:rPr>
                <w:sz w:val="1"/>
                <w:szCs w:val="1"/>
                <w:color w:val="auto"/>
              </w:rPr>
            </w:pPr>
          </w:p>
        </w:tc>
      </w:tr>
    </w:tbl>
    <w:p>
      <w:pPr>
        <w:sectPr>
          <w:pgSz w:w="11900" w:h="16838" w:orient="portrait"/>
          <w:cols w:equalWidth="0" w:num="2">
            <w:col w:w="6360" w:space="20"/>
            <w:col w:w="4820"/>
          </w:cols>
          <w:pgMar w:left="320" w:top="968" w:right="379" w:bottom="1440" w:gutter="0" w:footer="0" w:header="0"/>
        </w:sectPr>
      </w:pPr>
    </w:p>
    <w:bookmarkStart w:id="125" w:name="page126"/>
    <w:bookmarkEnd w:id="125"/>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60" w:type="dxa"/>
            <w:vAlign w:val="bottom"/>
            <w:gridSpan w:val="32"/>
          </w:tcPr>
          <w:p>
            <w:pPr>
              <w:ind w:left="380"/>
              <w:spacing w:after="0"/>
              <w:rPr>
                <w:sz w:val="20"/>
                <w:szCs w:val="20"/>
                <w:color w:val="auto"/>
              </w:rPr>
            </w:pPr>
            <w:r>
              <w:rPr>
                <w:rFonts w:ascii="Times New Roman" w:cs="Times New Roman" w:eastAsia="Times New Roman" w:hAnsi="Times New Roman"/>
                <w:sz w:val="14"/>
                <w:szCs w:val="14"/>
                <w:b w:val="1"/>
                <w:bCs w:val="1"/>
                <w:color w:val="auto"/>
              </w:rPr>
              <w:t>Ref.   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10.1.4</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Fourth Amendment to the Third Amended and Restated Limited</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8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Liability Company Operating Agreement of National</w:t>
              </w:r>
            </w:hyperlink>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gridSpan w:val="29"/>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CineMedia, LLC dated January 23, 2019, by and among</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gridSpan w:val="29"/>
          </w:tcPr>
          <w:p>
            <w:pPr>
              <w:spacing w:after="0" w:line="150"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Cinemark Media, Inc., Cinemark USA, Inc., Regal Cinemedia</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Holdings, LLC, Regal Cinemas, Inc., and National CineMedia,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gridSpan w:val="26"/>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Inc.</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10.2</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Amended and Restated Exhibitor Services Agreement dated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of December 26, 2013, by and between National CineMedia,</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LLC and American Multi-Cinema, Inc. (Portions omitted</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pursuant to request for confidential treatment and filed</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top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separately with the Commission.)</w:t>
              </w:r>
            </w:hyperlink>
          </w:p>
        </w:tc>
        <w:tc>
          <w:tcPr>
            <w:tcW w:w="1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First Amendment to Amended and Restated Exhibitor Services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Agreement dated as of March 9, 2017, by and between National</w:t>
              </w:r>
            </w:hyperlink>
          </w:p>
        </w:tc>
        <w:tc>
          <w:tcPr>
            <w:tcW w:w="4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tcBorders>
              <w:bottom w:val="single" w:sz="8" w:color="0000FF"/>
            </w:tcBorders>
            <w:gridSpan w:val="6"/>
          </w:tcPr>
          <w:p>
            <w:pPr>
              <w:spacing w:after="0" w:line="16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CineMedia, LLC and American Multi-Cinema, Inc.</w:t>
              </w:r>
            </w:hyperlink>
          </w:p>
        </w:tc>
        <w:tc>
          <w:tcPr>
            <w:tcW w:w="86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10.3</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Amended and Restated Exhibitor Services Agreement dated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of December 26, 2013, by and between National CineMedia,</w:t>
              </w:r>
            </w:hyperlink>
          </w:p>
        </w:tc>
        <w:tc>
          <w:tcPr>
            <w:tcW w:w="100" w:type="dxa"/>
            <w:vAlign w:val="bottom"/>
            <w:gridSpan w:val="4"/>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LLC and Cinemark USA, Inc. (Portions omitted pursuant to</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request for confidential treatment and filed separately with</w:t>
              </w:r>
            </w:hyperlink>
          </w:p>
        </w:tc>
        <w:tc>
          <w:tcPr>
            <w:tcW w:w="320" w:type="dxa"/>
            <w:vAlign w:val="bottom"/>
            <w:gridSpan w:val="14"/>
          </w:tcPr>
          <w:p>
            <w:pPr>
              <w:jc w:val="right"/>
              <w:ind w:right="160"/>
              <w:spacing w:after="0" w:line="150" w:lineRule="exact"/>
              <w:rPr>
                <w:rFonts w:ascii="Times New Roman" w:cs="Times New Roman" w:eastAsia="Times New Roman" w:hAnsi="Times New Roman"/>
                <w:sz w:val="16"/>
                <w:szCs w:val="16"/>
                <w:color w:val="0000FF"/>
                <w:w w:val="71"/>
              </w:rPr>
            </w:pPr>
            <w:hyperlink r:id="rId206">
              <w:r>
                <w:rPr>
                  <w:rFonts w:ascii="Times New Roman" w:cs="Times New Roman" w:eastAsia="Times New Roman" w:hAnsi="Times New Roman"/>
                  <w:sz w:val="16"/>
                  <w:szCs w:val="16"/>
                  <w:color w:val="0000FF"/>
                  <w:w w:val="71"/>
                </w:rPr>
                <w:t>the</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Commission.)</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10.3.1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Waiver of Section 12.06 of the Exhibitor Services Agreement</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dated as of March 14, 2017, by and between National</w:t>
              </w:r>
            </w:hyperlink>
          </w:p>
        </w:tc>
        <w:tc>
          <w:tcPr>
            <w:tcW w:w="8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Borders>
              <w:top w:val="single" w:sz="8" w:color="0000FF"/>
            </w:tcBorders>
            <w:gridSpan w:val="8"/>
          </w:tcPr>
          <w:p>
            <w:pPr>
              <w:spacing w:after="0" w:line="16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CineMedia, LLC and Cinemark USA, Inc.</w:t>
              </w:r>
            </w:hyperlink>
          </w:p>
        </w:tc>
        <w:tc>
          <w:tcPr>
            <w:tcW w:w="24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4"/>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10.3.2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First Amendment to Amended and Restated Exhibitor Services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Agreement dated as of September 17, 2019, by and between</w:t>
              </w:r>
            </w:hyperlink>
          </w:p>
        </w:tc>
        <w:tc>
          <w:tcPr>
            <w:tcW w:w="8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0" w:type="dxa"/>
            <w:vAlign w:val="bottom"/>
            <w:tcBorders>
              <w:top w:val="single" w:sz="8" w:color="0000FF"/>
            </w:tcBorders>
            <w:gridSpan w:val="16"/>
          </w:tcPr>
          <w:p>
            <w:pPr>
              <w:spacing w:after="0" w:line="16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National CineMedia, LLC and Cinemark USA,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4"/>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10.3.3</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6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Second Amendment to Amended and Restated Exhibitor</w:t>
              </w:r>
            </w:hyperlink>
          </w:p>
        </w:tc>
        <w:tc>
          <w:tcPr>
            <w:tcW w:w="540" w:type="dxa"/>
            <w:vAlign w:val="bottom"/>
            <w:gridSpan w:val="18"/>
          </w:tcPr>
          <w:p>
            <w:pPr>
              <w:spacing w:after="0"/>
              <w:rPr>
                <w:sz w:val="22"/>
                <w:szCs w:val="22"/>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gridSpan w:val="29"/>
          </w:tcPr>
          <w:p>
            <w:pPr>
              <w:spacing w:after="0" w:line="150"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Services Agreement dated as of July 29, 2022, by and between</w:t>
              </w:r>
            </w:hyperlink>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Borders>
              <w:top w:val="single" w:sz="8" w:color="0000FF"/>
            </w:tcBorders>
            <w:gridSpan w:val="24"/>
          </w:tcPr>
          <w:p>
            <w:pPr>
              <w:spacing w:after="0" w:line="16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National CineMedia, LLC and Cinemark USA, Inc.</w:t>
              </w:r>
            </w:hyperlink>
          </w:p>
        </w:tc>
        <w:tc>
          <w:tcPr>
            <w:tcW w:w="120" w:type="dxa"/>
            <w:vAlign w:val="bottom"/>
            <w:gridSpan w:val="5"/>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10.4</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Amended and Restated Exhibitor Services Agreement dated as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of December 26, 2013, by and between National CineMedia,</w:t>
              </w:r>
            </w:hyperlink>
          </w:p>
        </w:tc>
        <w:tc>
          <w:tcPr>
            <w:tcW w:w="100" w:type="dxa"/>
            <w:vAlign w:val="bottom"/>
            <w:gridSpan w:val="4"/>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LLC and Regal Cinemas, Inc. (Portions omitted pursuant to</w:t>
              </w:r>
            </w:hyperlink>
          </w:p>
        </w:tc>
        <w:tc>
          <w:tcPr>
            <w:tcW w:w="10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request for confidential treatment and filed separately with</w:t>
              </w:r>
            </w:hyperlink>
          </w:p>
        </w:tc>
        <w:tc>
          <w:tcPr>
            <w:tcW w:w="340" w:type="dxa"/>
            <w:vAlign w:val="bottom"/>
            <w:gridSpan w:val="15"/>
          </w:tcPr>
          <w:p>
            <w:pPr>
              <w:jc w:val="right"/>
              <w:ind w:right="160"/>
              <w:spacing w:after="0" w:line="150" w:lineRule="exact"/>
              <w:rPr>
                <w:rFonts w:ascii="Times New Roman" w:cs="Times New Roman" w:eastAsia="Times New Roman" w:hAnsi="Times New Roman"/>
                <w:sz w:val="17"/>
                <w:szCs w:val="17"/>
                <w:color w:val="0000FF"/>
                <w:w w:val="76"/>
              </w:rPr>
            </w:pPr>
            <w:hyperlink r:id="rId210">
              <w:r>
                <w:rPr>
                  <w:rFonts w:ascii="Times New Roman" w:cs="Times New Roman" w:eastAsia="Times New Roman" w:hAnsi="Times New Roman"/>
                  <w:sz w:val="17"/>
                  <w:szCs w:val="17"/>
                  <w:color w:val="0000FF"/>
                  <w:w w:val="76"/>
                </w:rPr>
                <w:t>the</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Commission.)</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6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10.4.1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First Amendment to Amended and Restated Exhibitor Services</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Agreement dated as of March 9, 2017, by and between National</w:t>
              </w:r>
            </w:hyperlink>
          </w:p>
        </w:tc>
        <w:tc>
          <w:tcPr>
            <w:tcW w:w="80" w:type="dxa"/>
            <w:vAlign w:val="bottom"/>
            <w:gridSpan w:val="3"/>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CineMedia, LLC and Regal Cinemas, Inc.</w:t>
              </w:r>
            </w:hyperlink>
          </w:p>
        </w:tc>
        <w:tc>
          <w:tcPr>
            <w:tcW w:w="40" w:type="dxa"/>
            <w:vAlign w:val="bottom"/>
            <w:gridSpan w:val="2"/>
          </w:tcPr>
          <w:p>
            <w:pPr>
              <w:spacing w:after="0"/>
              <w:rPr>
                <w:sz w:val="14"/>
                <w:szCs w:val="14"/>
                <w:color w:val="auto"/>
              </w:rPr>
            </w:pP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93"/>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10.4.2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Second Amendment to the Amended and Restated Exhibitor</w:t>
              </w:r>
            </w:hyperlink>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Services Agreement dated as of September 17, 2019, by and</w:t>
              </w:r>
            </w:hyperlink>
          </w:p>
        </w:tc>
        <w:tc>
          <w:tcPr>
            <w:tcW w:w="12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between National CineMedia, LLC and Regal Cinemas, Inc.</w:t>
              </w:r>
            </w:hyperlink>
          </w:p>
        </w:tc>
        <w:tc>
          <w:tcPr>
            <w:tcW w:w="20" w:type="dxa"/>
            <w:vAlign w:val="bottom"/>
            <w:tcBorders>
              <w:bottom w:val="single" w:sz="8" w:color="0000FF"/>
            </w:tcBorders>
          </w:tcPr>
          <w:p>
            <w:pPr>
              <w:spacing w:after="0"/>
              <w:rPr>
                <w:sz w:val="14"/>
                <w:szCs w:val="14"/>
                <w:color w:val="auto"/>
              </w:rPr>
            </w:pPr>
          </w:p>
        </w:tc>
        <w:tc>
          <w:tcPr>
            <w:tcW w:w="140" w:type="dxa"/>
            <w:vAlign w:val="bottom"/>
            <w:gridSpan w:val="6"/>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93"/>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10.4.3</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29"/>
          </w:tcPr>
          <w:p>
            <w:pPr>
              <w:spacing w:after="0"/>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Third Amendment to the Amended and Restated Exhibitor</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13"/>
            <w:shd w:val="clear" w:color="auto" w:fill="0000FF"/>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bottom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Services Agreement dated as of July 29, 2022, by and between</w:t>
              </w:r>
            </w:hyperlink>
          </w:p>
        </w:tc>
        <w:tc>
          <w:tcPr>
            <w:tcW w:w="100" w:type="dxa"/>
            <w:vAlign w:val="bottom"/>
            <w:gridSpan w:val="4"/>
          </w:tcPr>
          <w:p>
            <w:pPr>
              <w:spacing w:after="0"/>
              <w:rPr>
                <w:sz w:val="13"/>
                <w:szCs w:val="13"/>
                <w:color w:val="auto"/>
              </w:rPr>
            </w:pPr>
          </w:p>
        </w:tc>
      </w:tr>
    </w:tbl>
    <w:p>
      <w:pPr>
        <w:ind w:left="1800"/>
        <w:spacing w:after="0"/>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National CineMedia, LLC and Regal Cinemas, Inc.</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98"/>
              </w:rPr>
              <w:t>10.1.4</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2/21/2019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
        <w:spacing w:after="0"/>
        <w:tabs>
          <w:tab w:leader="none" w:pos="1420" w:val="left"/>
          <w:tab w:leader="none" w:pos="2780" w:val="left"/>
          <w:tab w:leader="none" w:pos="384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001-33296</w:t>
      </w:r>
      <w:r>
        <w:rPr>
          <w:sz w:val="20"/>
          <w:szCs w:val="20"/>
          <w:color w:val="auto"/>
        </w:rPr>
        <w:tab/>
      </w:r>
      <w:r>
        <w:rPr>
          <w:rFonts w:ascii="Times New Roman" w:cs="Times New Roman" w:eastAsia="Times New Roman" w:hAnsi="Times New Roman"/>
          <w:sz w:val="17"/>
          <w:szCs w:val="17"/>
          <w:color w:val="auto"/>
        </w:rPr>
        <w:t>10.2.4</w:t>
      </w:r>
      <w:r>
        <w:rPr>
          <w:sz w:val="20"/>
          <w:szCs w:val="20"/>
          <w:color w:val="auto"/>
        </w:rPr>
        <w:tab/>
      </w:r>
      <w:r>
        <w:rPr>
          <w:rFonts w:ascii="Times New Roman" w:cs="Times New Roman" w:eastAsia="Times New Roman" w:hAnsi="Times New Roman"/>
          <w:sz w:val="17"/>
          <w:szCs w:val="17"/>
          <w:color w:val="auto"/>
        </w:rPr>
        <w:t>2/21/2014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3/15/2017</w:t>
            </w:r>
          </w:p>
        </w:tc>
      </w:tr>
      <w:tr>
        <w:trPr>
          <w:trHeight w:val="627"/>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2/21/2014</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2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3/15/2017</w:t>
            </w:r>
          </w:p>
        </w:tc>
      </w:tr>
      <w:tr>
        <w:trPr>
          <w:trHeight w:val="6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9/17/2019</w:t>
            </w:r>
          </w:p>
        </w:tc>
      </w:tr>
      <w:tr>
        <w:trPr>
          <w:trHeight w:val="627"/>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10-Q</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2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8/8/2022</w:t>
            </w:r>
          </w:p>
        </w:tc>
      </w:tr>
      <w:tr>
        <w:trPr>
          <w:trHeight w:val="627"/>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10-K</w:t>
            </w: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001-33296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10.4.4</w:t>
            </w:r>
          </w:p>
        </w:tc>
        <w:tc>
          <w:tcPr>
            <w:tcW w:w="102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2/21/2014</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10.2</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3/15/2017</w:t>
            </w:r>
          </w:p>
        </w:tc>
      </w:tr>
      <w:tr>
        <w:trPr>
          <w:trHeight w:val="666"/>
        </w:trPr>
        <w:tc>
          <w:tcPr>
            <w:tcW w:w="6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8-K</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10.2</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9/17/2019</w:t>
            </w:r>
          </w:p>
        </w:tc>
      </w:tr>
      <w:tr>
        <w:trPr>
          <w:trHeight w:val="666"/>
        </w:trPr>
        <w:tc>
          <w:tcPr>
            <w:tcW w:w="68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001-33296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10.5</w:t>
            </w:r>
          </w:p>
        </w:tc>
        <w:tc>
          <w:tcPr>
            <w:tcW w:w="10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8/8/2022</w:t>
            </w:r>
          </w:p>
        </w:tc>
      </w:tr>
    </w:tbl>
    <w:p>
      <w:pPr>
        <w:sectPr>
          <w:pgSz w:w="11900" w:h="16838" w:orient="portrait"/>
          <w:cols w:equalWidth="0" w:num="2">
            <w:col w:w="6280" w:space="80"/>
            <w:col w:w="4820"/>
          </w:cols>
          <w:pgMar w:left="340" w:top="1029" w:right="379" w:bottom="1440" w:gutter="0" w:footer="0" w:header="0"/>
        </w:sectPr>
      </w:pPr>
    </w:p>
    <w:bookmarkStart w:id="126" w:name="page127"/>
    <w:bookmarkEnd w:id="126"/>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80" w:type="dxa"/>
            <w:vAlign w:val="bottom"/>
            <w:gridSpan w:val="39"/>
          </w:tcPr>
          <w:p>
            <w:pPr>
              <w:ind w:left="340"/>
              <w:spacing w:after="0"/>
              <w:rPr>
                <w:sz w:val="20"/>
                <w:szCs w:val="20"/>
                <w:color w:val="auto"/>
              </w:rPr>
            </w:pPr>
            <w:r>
              <w:rPr>
                <w:rFonts w:ascii="Times New Roman" w:cs="Times New Roman" w:eastAsia="Times New Roman" w:hAnsi="Times New Roman"/>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10.5</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Common Unit Adjustment Agreement dated as of February 13,</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2007, by and among National CineMedia, Inc.,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Borders>
              <w:bottom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CineMedia, LLC, Regal CineMedia Holdings, LLC, American</w:t>
              </w:r>
            </w:hyperlink>
          </w:p>
        </w:tc>
        <w:tc>
          <w:tcPr>
            <w:tcW w:w="2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60" w:type="dxa"/>
            <w:vAlign w:val="bottom"/>
            <w:gridSpan w:val="36"/>
          </w:tcPr>
          <w:p>
            <w:pPr>
              <w:spacing w:after="0" w:line="150"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Multi-Cinema, Inc., Cinemark Media, Inc., Regal Cinemas, Inc.</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and Cinemark USA, Inc. (Confidential treatment granted as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certain portions, which portions were omitted and filed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20" w:type="dxa"/>
            <w:vAlign w:val="bottom"/>
            <w:tcBorders>
              <w:top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separately with the Commission.)</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10.6</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8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Tax Receivable Agreement dated as of February 13, 2007, by</w:t>
              </w:r>
            </w:hyperlink>
          </w:p>
        </w:tc>
        <w:tc>
          <w:tcPr>
            <w:tcW w:w="38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60" w:type="dxa"/>
            <w:vAlign w:val="bottom"/>
            <w:gridSpan w:val="36"/>
          </w:tcPr>
          <w:p>
            <w:pPr>
              <w:spacing w:after="0" w:line="150"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and among National CineMedia, Inc., National CineMedia, LLC,</w:t>
              </w:r>
            </w:hyperlink>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Borders>
              <w:top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Regal CineMedia Holdings, LLC, Cinemark Media, Inc., Regal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Cinemas, Inc., American Multi-Cinema, Inc. and Cinemark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USA,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10.6.1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Second Amendment to Tax Receivable Agreement effective as</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60" w:type="dxa"/>
            <w:vAlign w:val="bottom"/>
            <w:gridSpan w:val="36"/>
          </w:tcPr>
          <w:p>
            <w:pPr>
              <w:spacing w:after="0" w:line="150"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of April 29, 2008, by and by and among NCM, Inc. and National</w:t>
              </w:r>
            </w:hyperlink>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Borders>
              <w:top w:val="single" w:sz="8" w:color="0000FF"/>
            </w:tcBorders>
            <w:gridSpan w:val="31"/>
          </w:tcPr>
          <w:p>
            <w:pPr>
              <w:spacing w:after="0" w:line="16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CineMedia, LLC and the Founding Members and the ESA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Parties, amending the Tax Receivable Agreement dated as</w:t>
              </w:r>
            </w:hyperlink>
          </w:p>
        </w:tc>
        <w:tc>
          <w:tcPr>
            <w:tcW w:w="160" w:type="dxa"/>
            <w:vAlign w:val="bottom"/>
            <w:tcBorders>
              <w:bottom w:val="single" w:sz="8" w:color="0000FF"/>
            </w:tcBorders>
            <w:gridSpan w:val="6"/>
          </w:tcPr>
          <w:p>
            <w:pPr>
              <w:spacing w:after="0" w:line="150" w:lineRule="exact"/>
              <w:rPr>
                <w:rFonts w:ascii="Times New Roman" w:cs="Times New Roman" w:eastAsia="Times New Roman" w:hAnsi="Times New Roman"/>
                <w:sz w:val="17"/>
                <w:szCs w:val="17"/>
                <w:color w:val="0000FF"/>
                <w:w w:val="98"/>
              </w:rPr>
            </w:pPr>
            <w:hyperlink r:id="rId217">
              <w:r>
                <w:rPr>
                  <w:rFonts w:ascii="Times New Roman" w:cs="Times New Roman" w:eastAsia="Times New Roman" w:hAnsi="Times New Roman"/>
                  <w:sz w:val="17"/>
                  <w:szCs w:val="17"/>
                  <w:color w:val="0000FF"/>
                  <w:w w:val="98"/>
                </w:rPr>
                <w:t>of</w:t>
              </w:r>
            </w:hyperlink>
          </w:p>
        </w:tc>
        <w:tc>
          <w:tcPr>
            <w:tcW w:w="4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60" w:type="dxa"/>
            <w:vAlign w:val="bottom"/>
            <w:gridSpan w:val="36"/>
          </w:tcPr>
          <w:p>
            <w:pPr>
              <w:spacing w:after="0" w:line="150"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February 13, 2007 and as first amended by the First Amendment</w:t>
              </w:r>
            </w:hyperlink>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29"/>
          </w:tcPr>
          <w:p>
            <w:pPr>
              <w:spacing w:after="0" w:line="16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to the Tax Receivable Agreement effective as of August 7, 2007.</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Second Amended and Restated Software License Agreement</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dated as of February 13, 2007, by and among American Multi</w:t>
              </w:r>
            </w:hyperlink>
          </w:p>
        </w:tc>
        <w:tc>
          <w:tcPr>
            <w:tcW w:w="180" w:type="dxa"/>
            <w:vAlign w:val="bottom"/>
            <w:gridSpan w:val="6"/>
          </w:tcPr>
          <w:p>
            <w:pPr>
              <w:jc w:val="right"/>
              <w:ind w:right="60"/>
              <w:spacing w:after="0" w:line="150"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Cinema, Inc., Regal CineMedia Corporation, Cinemark USA,</w:t>
              </w:r>
            </w:hyperlink>
          </w:p>
        </w:tc>
        <w:tc>
          <w:tcPr>
            <w:tcW w:w="20" w:type="dxa"/>
            <w:vAlign w:val="bottom"/>
            <w:tcBorders>
              <w:top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60" w:type="dxa"/>
            <w:vAlign w:val="bottom"/>
            <w:gridSpan w:val="36"/>
          </w:tcPr>
          <w:p>
            <w:pPr>
              <w:spacing w:after="0" w:line="150"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Inc., Digital Cinema Implementation Partners, LLC and National</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CineMedia, LLC.</w:t>
              </w:r>
            </w:hyperlink>
          </w:p>
        </w:tc>
        <w:tc>
          <w:tcPr>
            <w:tcW w:w="33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10.8</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Director Designation Agreement dated as of February 13, 2007,</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8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by and among National CineMedia, Inc., American Multi-</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Borders>
              <w:top w:val="single" w:sz="8" w:color="0000FF"/>
              <w:bottom w:val="single" w:sz="8" w:color="0000FF"/>
            </w:tcBorders>
            <w:gridSpan w:val="11"/>
          </w:tcPr>
          <w:p>
            <w:pPr>
              <w:spacing w:after="0" w:line="16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Cinema, Inc., Cinemark Media, Inc. and Regal CineMedia</w:t>
              </w:r>
            </w:hyperlink>
          </w:p>
        </w:tc>
        <w:tc>
          <w:tcPr>
            <w:tcW w:w="20" w:type="dxa"/>
            <w:vAlign w:val="bottom"/>
            <w:tcBorders>
              <w:bottom w:val="single" w:sz="8" w:color="0000FF"/>
            </w:tcBorders>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gridSpan w:val="12"/>
          </w:tcPr>
          <w:p>
            <w:pPr>
              <w:spacing w:after="0" w:line="150"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Holdings, LLC.</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10.9</w:t>
            </w: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Registration Rights Agreement dated as of February 13, 2007, by</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and among National CineMedia, Inc., American Multi-Cinema,</w:t>
              </w:r>
            </w:hyperlink>
          </w:p>
        </w:tc>
        <w:tc>
          <w:tcPr>
            <w:tcW w:w="2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60" w:type="dxa"/>
            <w:vAlign w:val="bottom"/>
            <w:tcBorders>
              <w:bottom w:val="single" w:sz="8" w:color="0000FF"/>
            </w:tcBorders>
            <w:gridSpan w:val="36"/>
          </w:tcPr>
          <w:p>
            <w:pPr>
              <w:spacing w:after="0" w:line="16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Inc., Regal CineMedia Holdings, LLC and Cinemark Media, Inc.</w:t>
              </w:r>
            </w:hyperlink>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Management Services Agreement dated as of February 13, 2007,</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by and among National CineMedia, Inc. and National</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3"/>
          </w:tcPr>
          <w:p>
            <w:pPr>
              <w:spacing w:after="0" w:line="16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CineMedia, LLC.</w:t>
              </w:r>
            </w:hyperlink>
          </w:p>
        </w:tc>
        <w:tc>
          <w:tcPr>
            <w:tcW w:w="2500" w:type="dxa"/>
            <w:vAlign w:val="bottom"/>
            <w:tcBorders>
              <w:top w:val="single" w:sz="8" w:color="0000FF"/>
            </w:tcBorders>
            <w:gridSpan w:val="5"/>
          </w:tcPr>
          <w:p>
            <w:pPr>
              <w:spacing w:after="0"/>
              <w:rPr>
                <w:sz w:val="14"/>
                <w:szCs w:val="14"/>
                <w:color w:val="auto"/>
              </w:rPr>
            </w:pPr>
          </w:p>
        </w:tc>
        <w:tc>
          <w:tcPr>
            <w:tcW w:w="4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Credit Agreement dated as of June 20, 2018 among National</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CineMedia LLC, certain lenders party thereto and JPMorgan</w:t>
              </w:r>
            </w:hyperlink>
          </w:p>
        </w:tc>
        <w:tc>
          <w:tcPr>
            <w:tcW w:w="20" w:type="dxa"/>
            <w:vAlign w:val="bottom"/>
            <w:tcBorders>
              <w:bottom w:val="single" w:sz="8" w:color="0000FF"/>
            </w:tcBorders>
          </w:tcPr>
          <w:p>
            <w:pPr>
              <w:spacing w:after="0"/>
              <w:rPr>
                <w:sz w:val="13"/>
                <w:szCs w:val="13"/>
                <w:color w:val="auto"/>
              </w:rPr>
            </w:pPr>
          </w:p>
        </w:tc>
        <w:tc>
          <w:tcPr>
            <w:tcW w:w="360" w:type="dxa"/>
            <w:vAlign w:val="bottom"/>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Borders>
              <w:bottom w:val="single" w:sz="8" w:color="0000FF"/>
            </w:tcBorders>
            <w:gridSpan w:val="6"/>
          </w:tcPr>
          <w:p>
            <w:pPr>
              <w:spacing w:after="0" w:line="16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Chase Bank, N.A., as administrative agent.</w:t>
              </w:r>
            </w:hyperlink>
          </w:p>
        </w:tc>
        <w:tc>
          <w:tcPr>
            <w:tcW w:w="1240" w:type="dxa"/>
            <w:vAlign w:val="bottom"/>
            <w:gridSpan w:val="12"/>
          </w:tcPr>
          <w:p>
            <w:pPr>
              <w:spacing w:after="0"/>
              <w:rPr>
                <w:sz w:val="14"/>
                <w:szCs w:val="14"/>
                <w:color w:val="auto"/>
              </w:rPr>
            </w:pPr>
          </w:p>
        </w:tc>
        <w:tc>
          <w:tcPr>
            <w:tcW w:w="360" w:type="dxa"/>
            <w:vAlign w:val="bottom"/>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Amendment No. 1 to the Credit Agreement, dated as of April 30,</w:t>
              </w:r>
            </w:hyperlink>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2020, by and among National CineMedia, LLC, each lender</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Borders>
              <w:top w:val="single" w:sz="8" w:color="0000FF"/>
            </w:tcBorders>
            <w:gridSpan w:val="15"/>
          </w:tcPr>
          <w:p>
            <w:pPr>
              <w:spacing w:after="0" w:line="16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party thereto, and JPMorgan Chase Bank, N.A., as</w:t>
              </w:r>
            </w:hyperlink>
          </w:p>
        </w:tc>
        <w:tc>
          <w:tcPr>
            <w:tcW w:w="20" w:type="dxa"/>
            <w:vAlign w:val="bottom"/>
          </w:tcPr>
          <w:p>
            <w:pPr>
              <w:spacing w:after="0"/>
              <w:rPr>
                <w:sz w:val="14"/>
                <w:szCs w:val="14"/>
                <w:color w:val="auto"/>
              </w:rPr>
            </w:pPr>
          </w:p>
        </w:tc>
        <w:tc>
          <w:tcPr>
            <w:tcW w:w="4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Borders>
              <w:top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administrative agent.</w:t>
              </w:r>
            </w:hyperlink>
          </w:p>
        </w:tc>
        <w:tc>
          <w:tcPr>
            <w:tcW w:w="680" w:type="dxa"/>
            <w:vAlign w:val="bottom"/>
            <w:gridSpan w:val="9"/>
          </w:tcPr>
          <w:p>
            <w:pPr>
              <w:spacing w:after="0"/>
              <w:rPr>
                <w:sz w:val="13"/>
                <w:szCs w:val="13"/>
                <w:color w:val="auto"/>
              </w:rPr>
            </w:pPr>
          </w:p>
        </w:tc>
        <w:tc>
          <w:tcPr>
            <w:tcW w:w="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10.11.2</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740" w:type="dxa"/>
            <w:vAlign w:val="bottom"/>
            <w:gridSpan w:val="12"/>
          </w:tcPr>
          <w:p>
            <w:pPr>
              <w:spacing w:after="0" w:line="20" w:lineRule="exact"/>
              <w:rPr>
                <w:sz w:val="1"/>
                <w:szCs w:val="1"/>
                <w:color w:val="auto"/>
              </w:rPr>
            </w:pPr>
          </w:p>
        </w:tc>
        <w:tc>
          <w:tcPr>
            <w:tcW w:w="4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60" w:type="dxa"/>
            <w:vAlign w:val="bottom"/>
            <w:gridSpan w:val="36"/>
          </w:tcPr>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Amendment No. 2 to the Credit Agreement, dated as of March 8,</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16"/>
          </w:tcPr>
          <w:p>
            <w:pPr>
              <w:spacing w:after="0" w:line="176"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2021, by and among National CineMedia, LLC, each lender</w:t>
              </w:r>
            </w:hyperlink>
          </w:p>
        </w:tc>
        <w:tc>
          <w:tcPr>
            <w:tcW w:w="380" w:type="dxa"/>
            <w:vAlign w:val="bottom"/>
            <w:tcBorders>
              <w:top w:val="single" w:sz="8" w:color="0000FF"/>
            </w:tcBorders>
            <w:gridSpan w:val="16"/>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0" w:right="1040"/>
        <w:spacing w:after="0" w:line="279" w:lineRule="auto"/>
        <w:rPr>
          <w:rFonts w:ascii="Times New Roman" w:cs="Times New Roman" w:eastAsia="Times New Roman" w:hAnsi="Times New Roman"/>
          <w:sz w:val="17"/>
          <w:szCs w:val="17"/>
          <w:u w:val="single" w:color="auto"/>
          <w:color w:val="0000FF"/>
        </w:rPr>
      </w:pPr>
      <w:hyperlink r:id="rId224">
        <w:r>
          <w:rPr>
            <w:rFonts w:ascii="Times New Roman" w:cs="Times New Roman" w:eastAsia="Times New Roman" w:hAnsi="Times New Roman"/>
            <w:sz w:val="17"/>
            <w:szCs w:val="17"/>
            <w:u w:val="single" w:color="auto"/>
            <w:color w:val="0000FF"/>
          </w:rPr>
          <w:t>party thereto, and JPMorgan Chase Bank, N.A., as</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vMerge w:val="restart"/>
          </w:tcPr>
          <w:p>
            <w:pPr>
              <w:spacing w:after="0"/>
              <w:rPr>
                <w:sz w:val="13"/>
                <w:szCs w:val="13"/>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Borders>
              <w:top w:val="single" w:sz="8" w:color="auto"/>
            </w:tcBorders>
            <w:vMerge w:val="continue"/>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1318"/>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10.7</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97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5/5/2008</w:t>
            </w:r>
          </w:p>
        </w:tc>
        <w:tc>
          <w:tcPr>
            <w:tcW w:w="0" w:type="dxa"/>
            <w:vAlign w:val="bottom"/>
          </w:tcPr>
          <w:p>
            <w:pPr>
              <w:spacing w:after="0"/>
              <w:rPr>
                <w:sz w:val="1"/>
                <w:szCs w:val="1"/>
                <w:color w:val="auto"/>
              </w:rPr>
            </w:pPr>
          </w:p>
        </w:tc>
      </w:tr>
      <w:tr>
        <w:trPr>
          <w:trHeight w:val="114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979"/>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10.10</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w w:val="99"/>
              </w:rPr>
              <w:t>10.12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2/16/2007</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6/25/2018</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5/5/2020</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3/8/2021</w:t>
            </w:r>
          </w:p>
        </w:tc>
        <w:tc>
          <w:tcPr>
            <w:tcW w:w="0" w:type="dxa"/>
            <w:vAlign w:val="bottom"/>
          </w:tcPr>
          <w:p>
            <w:pPr>
              <w:spacing w:after="0"/>
              <w:rPr>
                <w:sz w:val="1"/>
                <w:szCs w:val="1"/>
                <w:color w:val="auto"/>
              </w:rPr>
            </w:pPr>
          </w:p>
        </w:tc>
      </w:tr>
    </w:tbl>
    <w:p>
      <w:pPr>
        <w:sectPr>
          <w:pgSz w:w="11900" w:h="16838" w:orient="portrait"/>
          <w:cols w:equalWidth="0" w:num="2">
            <w:col w:w="6360" w:space="0"/>
            <w:col w:w="4820"/>
          </w:cols>
          <w:pgMar w:left="340" w:top="1029" w:right="379" w:bottom="1440" w:gutter="0" w:footer="0" w:header="0"/>
        </w:sectPr>
      </w:pPr>
    </w:p>
    <w:bookmarkStart w:id="127" w:name="page128"/>
    <w:bookmarkEnd w:id="127"/>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gridSpan w:val="3"/>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58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Amendment No. 3 to the Credit Agreement, dated as of January</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5, 2022, by and among National CineMedia, LLC, each lender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6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party thereto, and JP Morgan Chase Bank, N.A.,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6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administrative agent.</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10.11.4</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Amendment No.4 to the Credit Agreement, dated as of January</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17, 2023, by and among National CineMedia, LLC, each lender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gridSpan w:val="28"/>
          </w:tcPr>
          <w:p>
            <w:pPr>
              <w:spacing w:after="0" w:line="16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party thereto, and JPMorgan Chase Bank, N.A., as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administrative agent.</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10.11.5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Amendment No. 5 to the Credit Agreement, dated as of March</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31, 2023, by and among National CineMedia, LLC, each lender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Borders>
              <w:top w:val="single" w:sz="8" w:color="0000FF"/>
            </w:tcBorders>
            <w:gridSpan w:val="28"/>
          </w:tcPr>
          <w:p>
            <w:pPr>
              <w:spacing w:after="0" w:line="16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party thereto, and JPMorgan Chase Bank, N.A., as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administrative agent</w:t>
              </w:r>
            </w:hyperlink>
          </w:p>
        </w:tc>
        <w:tc>
          <w:tcPr>
            <w:tcW w:w="2060" w:type="dxa"/>
            <w:vAlign w:val="bottom"/>
            <w:tcBorders>
              <w:top w:val="single" w:sz="8" w:color="0000FF"/>
            </w:tcBorders>
            <w:gridSpan w:val="7"/>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8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Revolving Credit Agreement, dated as of January 5, 2022, by</w:t>
              </w:r>
            </w:hyperlink>
          </w:p>
        </w:tc>
        <w:tc>
          <w:tcPr>
            <w:tcW w:w="300" w:type="dxa"/>
            <w:vAlign w:val="bottom"/>
            <w:gridSpan w:val="14"/>
          </w:tcPr>
          <w:p>
            <w:pPr>
              <w:spacing w:after="0"/>
              <w:rPr>
                <w:sz w:val="22"/>
                <w:szCs w:val="22"/>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34"/>
          </w:tcPr>
          <w:p>
            <w:pPr>
              <w:spacing w:after="0" w:line="150"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and among National CineMedia, LLC, each lender party thereto,</w:t>
              </w:r>
            </w:hyperlink>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Borders>
              <w:top w:val="single" w:sz="8" w:color="0000FF"/>
            </w:tcBorders>
            <w:gridSpan w:val="31"/>
          </w:tcPr>
          <w:p>
            <w:pPr>
              <w:spacing w:after="0" w:line="163"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and Wilmington Savings Fund Society, FSB, as administrative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agent and collateral agent</w:t>
              </w:r>
              <w:r>
                <w:rPr>
                  <w:rFonts w:ascii="Times New Roman" w:cs="Times New Roman" w:eastAsia="Times New Roman" w:hAnsi="Times New Roman"/>
                  <w:sz w:val="17"/>
                  <w:szCs w:val="17"/>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10.12.1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Amendment No. 1 to the Revolving Credit Agreement, dated as</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of January 17, 2023, by and among National CineMedia, LLC,</w:t>
              </w:r>
            </w:hyperlink>
          </w:p>
        </w:tc>
        <w:tc>
          <w:tcPr>
            <w:tcW w:w="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80" w:type="dxa"/>
            <w:vAlign w:val="bottom"/>
            <w:gridSpan w:val="34"/>
          </w:tcPr>
          <w:p>
            <w:pPr>
              <w:spacing w:after="0" w:line="163"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each lender party thereto, and Wilmington Savings Fund Society,</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FSB,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Standard General L.P. Registration Letter to National</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CineMedia, Inc., dated as of June 2, 2022.</w:t>
              </w:r>
            </w:hyperlink>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Restructuring Support Agreement, dated as of April 11, 2023,</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among the Company, NCM LLC and Consenting Secured</w:t>
              </w:r>
            </w:hyperlink>
          </w:p>
        </w:tc>
        <w:tc>
          <w:tcPr>
            <w:tcW w:w="10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Creditors.</w:t>
              </w:r>
            </w:hyperlink>
          </w:p>
        </w:tc>
        <w:tc>
          <w:tcPr>
            <w:tcW w:w="33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Employment Agreement dated as of August 1, 2022, by and</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between National CineMedia, Inc. and Thomas F. Lesinski.</w:t>
              </w:r>
            </w:hyperlink>
          </w:p>
        </w:tc>
        <w:tc>
          <w:tcPr>
            <w:tcW w:w="220" w:type="dxa"/>
            <w:vAlign w:val="bottom"/>
            <w:gridSpan w:val="6"/>
          </w:tcPr>
          <w:p>
            <w:pPr>
              <w:jc w:val="right"/>
              <w:ind w:right="120"/>
              <w:spacing w:after="0" w:line="150" w:lineRule="exact"/>
              <w:rPr>
                <w:rFonts w:ascii="Times New Roman" w:cs="Times New Roman" w:eastAsia="Times New Roman" w:hAnsi="Times New Roman"/>
                <w:sz w:val="17"/>
                <w:szCs w:val="17"/>
                <w:color w:val="0000FF"/>
                <w:w w:val="82"/>
              </w:rPr>
            </w:pPr>
            <w:hyperlink r:id="rId233">
              <w:r>
                <w:rPr>
                  <w:rFonts w:ascii="Times New Roman" w:cs="Times New Roman" w:eastAsia="Times New Roman" w:hAnsi="Times New Roman"/>
                  <w:sz w:val="17"/>
                  <w:szCs w:val="17"/>
                  <w:color w:val="0000FF"/>
                  <w:w w:val="82"/>
                </w:rPr>
                <w:t>+</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Amended and Restated Employment Agreement, dated June 9,</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2021, by and between National CineMedia, Inc. and Scott</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Felenstein.</w:t>
              </w:r>
            </w:hyperlink>
          </w:p>
        </w:tc>
        <w:tc>
          <w:tcPr>
            <w:tcW w:w="50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Employment Agreement dated August 25, 2021 between</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National CineMedia, Inc. and Ronnie Y. Ng.</w:t>
              </w:r>
            </w:hyperlink>
          </w:p>
        </w:tc>
        <w:tc>
          <w:tcPr>
            <w:tcW w:w="60" w:type="dxa"/>
            <w:vAlign w:val="bottom"/>
          </w:tcPr>
          <w:p>
            <w:pPr>
              <w:spacing w:after="0"/>
              <w:rPr>
                <w:sz w:val="13"/>
                <w:szCs w:val="13"/>
                <w:color w:val="auto"/>
              </w:rPr>
            </w:pPr>
          </w:p>
        </w:tc>
        <w:tc>
          <w:tcPr>
            <w:tcW w:w="54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10.17.1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3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Third Amendment to Employment Agreement</w:t>
            </w:r>
          </w:p>
        </w:tc>
        <w:tc>
          <w:tcPr>
            <w:tcW w:w="1340" w:type="dxa"/>
            <w:vAlign w:val="bottom"/>
            <w:gridSpan w:val="25"/>
          </w:tcPr>
          <w:p>
            <w:pPr>
              <w:spacing w:after="0"/>
              <w:rPr>
                <w:sz w:val="23"/>
                <w:szCs w:val="23"/>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3051F2"/>
              </w:rPr>
            </w:pPr>
            <w:hyperlink r:id="rId236">
              <w:r>
                <w:rPr>
                  <w:rFonts w:ascii="Times New Roman" w:cs="Times New Roman" w:eastAsia="Times New Roman" w:hAnsi="Times New Roman"/>
                  <w:sz w:val="17"/>
                  <w:szCs w:val="17"/>
                  <w:color w:val="3051F2"/>
                </w:rPr>
                <w:t>Form of Indemnification Agreement. +</w:t>
              </w:r>
            </w:hyperlink>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gridSpan w:val="6"/>
            <w:shd w:val="clear" w:color="auto" w:fill="3051F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10.19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70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Form of Indemnification Agreement (August 2018)+</w:t>
              </w:r>
            </w:hyperlink>
          </w:p>
        </w:tc>
        <w:tc>
          <w:tcPr>
            <w:tcW w:w="880" w:type="dxa"/>
            <w:vAlign w:val="bottom"/>
            <w:gridSpan w:val="22"/>
          </w:tcPr>
          <w:p>
            <w:pPr>
              <w:spacing w:after="0"/>
              <w:rPr>
                <w:sz w:val="22"/>
                <w:szCs w:val="22"/>
                <w:color w:val="auto"/>
              </w:rPr>
            </w:pPr>
          </w:p>
        </w:tc>
      </w:tr>
      <w:tr>
        <w:trPr>
          <w:trHeight w:val="293"/>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National CineMedia, Inc. 2007 Equity Incentive Plan. +</w:t>
              </w:r>
            </w:hyperlink>
          </w:p>
        </w:tc>
        <w:tc>
          <w:tcPr>
            <w:tcW w:w="680" w:type="dxa"/>
            <w:vAlign w:val="bottom"/>
            <w:gridSpan w:val="20"/>
          </w:tcPr>
          <w:p>
            <w:pPr>
              <w:spacing w:after="0"/>
              <w:rPr>
                <w:sz w:val="24"/>
                <w:szCs w:val="24"/>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0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National CineMedia, Inc. 2016 Equity Incentive Plan. +</w:t>
              </w:r>
            </w:hyperlink>
          </w:p>
        </w:tc>
        <w:tc>
          <w:tcPr>
            <w:tcW w:w="680" w:type="dxa"/>
            <w:vAlign w:val="bottom"/>
            <w:gridSpan w:val="20"/>
          </w:tcPr>
          <w:p>
            <w:pPr>
              <w:spacing w:after="0"/>
              <w:rPr>
                <w:sz w:val="22"/>
                <w:szCs w:val="22"/>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National CineMedia, Inc. 2020 Omnibus Incentive Plan.+</w:t>
              </w:r>
            </w:hyperlink>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gridSpan w:val="8"/>
            <w:shd w:val="clear" w:color="auto" w:fill="0000FF"/>
          </w:tcPr>
          <w:p>
            <w:pPr>
              <w:spacing w:after="0" w:line="20" w:lineRule="exact"/>
              <w:rPr>
                <w:sz w:val="1"/>
                <w:szCs w:val="1"/>
                <w:color w:val="auto"/>
              </w:rPr>
            </w:pPr>
          </w:p>
        </w:tc>
        <w:tc>
          <w:tcPr>
            <w:tcW w:w="920" w:type="dxa"/>
            <w:vAlign w:val="bottom"/>
            <w:tcBorders>
              <w:left w:val="single" w:sz="8" w:color="0000FF"/>
            </w:tcBorders>
            <w:gridSpan w:val="8"/>
            <w:shd w:val="clear" w:color="auto" w:fill="0000FF"/>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4"/>
          </w:tcPr>
          <w:p>
            <w:pPr>
              <w:spacing w:after="0"/>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First Amendment to the National CineMedia, Inc. 2020 Omnibus</w:t>
              </w:r>
            </w:hyperlink>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Incentive Plan effective as of May 4, 2022. +</w:t>
              </w:r>
            </w:hyperlink>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Borders>
              <w:top w:val="single" w:sz="8" w:color="auto"/>
            </w:tcBorders>
            <w:vMerge w:val="restart"/>
          </w:tcPr>
          <w:p>
            <w:pPr>
              <w:spacing w:after="0"/>
              <w:rPr>
                <w:sz w:val="13"/>
                <w:szCs w:val="13"/>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SEC File No.</w:t>
            </w:r>
          </w:p>
        </w:tc>
        <w:tc>
          <w:tcPr>
            <w:tcW w:w="3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vMerge w:val="restart"/>
          </w:tcPr>
          <w:p>
            <w:pPr>
              <w:spacing w:after="0"/>
              <w:rPr>
                <w:sz w:val="13"/>
                <w:szCs w:val="13"/>
                <w:color w:val="auto"/>
              </w:rPr>
            </w:pP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Borders>
              <w:top w:val="single" w:sz="8" w:color="auto"/>
            </w:tcBorders>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24"/>
        </w:trPr>
        <w:tc>
          <w:tcPr>
            <w:tcW w:w="440" w:type="dxa"/>
            <w:vAlign w:val="bottom"/>
            <w:tcBorders>
              <w:top w:val="single" w:sz="8" w:color="auto"/>
            </w:tcBorders>
            <w:vMerge w:val="continue"/>
          </w:tcPr>
          <w:p>
            <w:pPr>
              <w:spacing w:after="0"/>
              <w:rPr>
                <w:sz w:val="10"/>
                <w:szCs w:val="10"/>
                <w:color w:val="auto"/>
              </w:rPr>
            </w:pPr>
          </w:p>
        </w:tc>
        <w:tc>
          <w:tcPr>
            <w:tcW w:w="34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280" w:type="dxa"/>
            <w:vAlign w:val="bottom"/>
            <w:tcBorders>
              <w:top w:val="single" w:sz="8" w:color="auto"/>
            </w:tcBorders>
            <w:vMerge w:val="continue"/>
          </w:tcPr>
          <w:p>
            <w:pPr>
              <w:spacing w:after="0"/>
              <w:rPr>
                <w:sz w:val="10"/>
                <w:szCs w:val="10"/>
                <w:color w:val="auto"/>
              </w:rPr>
            </w:pPr>
          </w:p>
        </w:tc>
        <w:tc>
          <w:tcPr>
            <w:tcW w:w="460" w:type="dxa"/>
            <w:vAlign w:val="bottom"/>
            <w:tcBorders>
              <w:top w:val="single" w:sz="8" w:color="auto"/>
            </w:tcBorders>
            <w:vMerge w:val="continue"/>
          </w:tcPr>
          <w:p>
            <w:pPr>
              <w:spacing w:after="0"/>
              <w:rPr>
                <w:sz w:val="10"/>
                <w:szCs w:val="10"/>
                <w:color w:val="auto"/>
              </w:rPr>
            </w:pPr>
          </w:p>
        </w:tc>
        <w:tc>
          <w:tcPr>
            <w:tcW w:w="300" w:type="dxa"/>
            <w:vAlign w:val="bottom"/>
            <w:tcBorders>
              <w:top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0"/>
                <w:szCs w:val="20"/>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1/6/2022</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1/19/2023</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3/31/2023</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1/6/2022</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1/19/2023</w:t>
            </w:r>
          </w:p>
        </w:tc>
        <w:tc>
          <w:tcPr>
            <w:tcW w:w="0" w:type="dxa"/>
            <w:vAlign w:val="bottom"/>
          </w:tcPr>
          <w:p>
            <w:pPr>
              <w:spacing w:after="0"/>
              <w:rPr>
                <w:sz w:val="1"/>
                <w:szCs w:val="1"/>
                <w:color w:val="auto"/>
              </w:rPr>
            </w:pPr>
          </w:p>
        </w:tc>
      </w:tr>
      <w:tr>
        <w:trPr>
          <w:trHeight w:val="796"/>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4/12/2023</w:t>
            </w:r>
          </w:p>
        </w:tc>
        <w:tc>
          <w:tcPr>
            <w:tcW w:w="0" w:type="dxa"/>
            <w:vAlign w:val="bottom"/>
          </w:tcPr>
          <w:p>
            <w:pPr>
              <w:spacing w:after="0"/>
              <w:rPr>
                <w:sz w:val="1"/>
                <w:szCs w:val="1"/>
                <w:color w:val="auto"/>
              </w:rPr>
            </w:pPr>
          </w:p>
        </w:tc>
      </w:tr>
      <w:tr>
        <w:trPr>
          <w:trHeight w:val="627"/>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8/8/2022</w:t>
            </w:r>
          </w:p>
        </w:tc>
        <w:tc>
          <w:tcPr>
            <w:tcW w:w="0" w:type="dxa"/>
            <w:vAlign w:val="bottom"/>
          </w:tcPr>
          <w:p>
            <w:pPr>
              <w:spacing w:after="0"/>
              <w:rPr>
                <w:sz w:val="1"/>
                <w:szCs w:val="1"/>
                <w:color w:val="auto"/>
              </w:rPr>
            </w:pPr>
          </w:p>
        </w:tc>
      </w:tr>
      <w:tr>
        <w:trPr>
          <w:trHeight w:val="45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6/10/2021</w:t>
            </w:r>
          </w:p>
        </w:tc>
        <w:tc>
          <w:tcPr>
            <w:tcW w:w="0" w:type="dxa"/>
            <w:vAlign w:val="bottom"/>
          </w:tcPr>
          <w:p>
            <w:pPr>
              <w:spacing w:after="0"/>
              <w:rPr>
                <w:sz w:val="1"/>
                <w:szCs w:val="1"/>
                <w:color w:val="auto"/>
              </w:rPr>
            </w:pPr>
          </w:p>
        </w:tc>
      </w:tr>
      <w:tr>
        <w:trPr>
          <w:trHeight w:val="627"/>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9/27/2021</w:t>
            </w:r>
          </w:p>
        </w:tc>
        <w:tc>
          <w:tcPr>
            <w:tcW w:w="0" w:type="dxa"/>
            <w:vAlign w:val="bottom"/>
          </w:tcPr>
          <w:p>
            <w:pPr>
              <w:spacing w:after="0"/>
              <w:rPr>
                <w:sz w:val="1"/>
                <w:szCs w:val="1"/>
                <w:color w:val="auto"/>
              </w:rPr>
            </w:pPr>
          </w:p>
        </w:tc>
      </w:tr>
      <w:tr>
        <w:trPr>
          <w:trHeight w:val="731"/>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2/13/2007</w:t>
            </w:r>
          </w:p>
        </w:tc>
        <w:tc>
          <w:tcPr>
            <w:tcW w:w="0" w:type="dxa"/>
            <w:vAlign w:val="bottom"/>
          </w:tcPr>
          <w:p>
            <w:pPr>
              <w:spacing w:after="0"/>
              <w:rPr>
                <w:sz w:val="1"/>
                <w:szCs w:val="1"/>
                <w:color w:val="auto"/>
              </w:rPr>
            </w:pPr>
          </w:p>
        </w:tc>
      </w:tr>
      <w:tr>
        <w:trPr>
          <w:trHeight w:val="274"/>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3"/>
                <w:szCs w:val="23"/>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3"/>
                <w:szCs w:val="2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8/7/2018</w:t>
            </w: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5/2/2013</w:t>
            </w: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S-8</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3"/>
                <w:szCs w:val="23"/>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3"/>
                <w:szCs w:val="2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4/29/2016</w:t>
            </w: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3"/>
                <w:szCs w:val="23"/>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3"/>
                <w:szCs w:val="2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5/1/2020</w:t>
            </w: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300" w:type="dxa"/>
            <w:vAlign w:val="bottom"/>
          </w:tcPr>
          <w:p>
            <w:pPr>
              <w:spacing w:after="0"/>
              <w:rPr>
                <w:sz w:val="23"/>
                <w:szCs w:val="23"/>
                <w:color w:val="auto"/>
              </w:rPr>
            </w:pPr>
          </w:p>
        </w:tc>
        <w:tc>
          <w:tcPr>
            <w:tcW w:w="74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3"/>
                <w:szCs w:val="23"/>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5/9/2022</w:t>
            </w:r>
          </w:p>
        </w:tc>
        <w:tc>
          <w:tcPr>
            <w:tcW w:w="0" w:type="dxa"/>
            <w:vAlign w:val="bottom"/>
          </w:tcPr>
          <w:p>
            <w:pPr>
              <w:spacing w:after="0"/>
              <w:rPr>
                <w:sz w:val="1"/>
                <w:szCs w:val="1"/>
                <w:color w:val="auto"/>
              </w:rPr>
            </w:pPr>
          </w:p>
        </w:tc>
      </w:tr>
    </w:tbl>
    <w:p>
      <w:pPr>
        <w:sectPr>
          <w:pgSz w:w="11900" w:h="16838" w:orient="portrait"/>
          <w:cols w:equalWidth="0" w:num="2">
            <w:col w:w="6340" w:space="20"/>
            <w:col w:w="4820"/>
          </w:cols>
          <w:pgMar w:left="340" w:top="1029" w:right="37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vMerge w:val="restart"/>
          </w:tcPr>
          <w:p>
            <w:pPr>
              <w:spacing w:after="0"/>
              <w:rPr>
                <w:sz w:val="11"/>
                <w:szCs w:val="11"/>
                <w:color w:val="auto"/>
              </w:rPr>
            </w:pPr>
          </w:p>
        </w:tc>
        <w:tc>
          <w:tcPr>
            <w:tcW w:w="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5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1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1"/>
                <w:szCs w:val="11"/>
                <w:color w:val="auto"/>
              </w:rPr>
            </w:pPr>
          </w:p>
        </w:tc>
        <w:tc>
          <w:tcPr>
            <w:tcW w:w="780" w:type="dxa"/>
            <w:vAlign w:val="bottom"/>
            <w:gridSpan w:val="4"/>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11"/>
        </w:trPr>
        <w:tc>
          <w:tcPr>
            <w:tcW w:w="9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560" w:type="dxa"/>
            <w:vAlign w:val="bottom"/>
            <w:gridSpan w:val="26"/>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gridSpan w:val="2"/>
          </w:tcPr>
          <w:p>
            <w:pPr>
              <w:jc w:val="center"/>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9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Form of 2012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10.22.4</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2/24/2012</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10.24</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Form of 2019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10.4</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11/4/2019</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10.24</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Form of 2020 Stock Option Agreement. +</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10.5</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8/3/2020</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14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Form of 2019 Restricted Stock Agreement (Time Based). +</w:t>
              </w:r>
            </w:hyperlink>
          </w:p>
        </w:tc>
        <w:tc>
          <w:tcPr>
            <w:tcW w:w="420" w:type="dxa"/>
            <w:vAlign w:val="bottom"/>
            <w:gridSpan w:val="10"/>
          </w:tcPr>
          <w:p>
            <w:pPr>
              <w:spacing w:after="0"/>
              <w:rPr>
                <w:sz w:val="22"/>
                <w:szCs w:val="22"/>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10.28.9</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2/21/2019</w:t>
            </w:r>
          </w:p>
        </w:tc>
        <w:tc>
          <w:tcPr>
            <w:tcW w:w="0" w:type="dxa"/>
            <w:vAlign w:val="bottom"/>
          </w:tcPr>
          <w:p>
            <w:pPr>
              <w:spacing w:after="0"/>
              <w:rPr>
                <w:sz w:val="1"/>
                <w:szCs w:val="1"/>
                <w:color w:val="auto"/>
              </w:rPr>
            </w:pPr>
          </w:p>
        </w:tc>
      </w:tr>
      <w:tr>
        <w:trPr>
          <w:trHeight w:val="293"/>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Form of 2019 Restricted Stock Agreement (Performance Based).</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10.28.10</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2/21/2019</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82"/>
              </w:rPr>
            </w:pPr>
            <w:hyperlink r:id="rId247">
              <w:r>
                <w:rPr>
                  <w:rFonts w:ascii="Times New Roman" w:cs="Times New Roman" w:eastAsia="Times New Roman" w:hAnsi="Times New Roman"/>
                  <w:sz w:val="17"/>
                  <w:szCs w:val="17"/>
                  <w:color w:val="0000FF"/>
                  <w:w w:val="82"/>
                </w:rPr>
                <w:t>+</w:t>
              </w:r>
            </w:hyperlink>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Form of 2020 Restricted Stock Agreement (Time Based). +</w:t>
              </w:r>
            </w:hyperlink>
          </w:p>
        </w:tc>
        <w:tc>
          <w:tcPr>
            <w:tcW w:w="420" w:type="dxa"/>
            <w:vAlign w:val="bottom"/>
            <w:gridSpan w:val="10"/>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10.26.8</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2/20/2020</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Form of 2020 Restricted Stock Agreement (Performance Based).</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10.26.9</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2/20/2020</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82"/>
              </w:rPr>
            </w:pPr>
            <w:hyperlink r:id="rId249">
              <w:r>
                <w:rPr>
                  <w:rFonts w:ascii="Times New Roman" w:cs="Times New Roman" w:eastAsia="Times New Roman" w:hAnsi="Times New Roman"/>
                  <w:sz w:val="17"/>
                  <w:szCs w:val="17"/>
                  <w:color w:val="0000FF"/>
                  <w:w w:val="82"/>
                </w:rPr>
                <w:t>+</w:t>
              </w:r>
            </w:hyperlink>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Form of 2020 Restricted Stock Unit Agreement (Time Based). +</w:t>
              </w:r>
            </w:hyperlink>
          </w:p>
        </w:tc>
        <w:tc>
          <w:tcPr>
            <w:tcW w:w="60" w:type="dxa"/>
            <w:vAlign w:val="bottom"/>
            <w:gridSpan w:val="3"/>
          </w:tcPr>
          <w:p>
            <w:pPr>
              <w:spacing w:after="0"/>
              <w:rPr>
                <w:sz w:val="23"/>
                <w:szCs w:val="23"/>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3"/>
                <w:szCs w:val="23"/>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10.6</w:t>
            </w:r>
          </w:p>
        </w:tc>
        <w:tc>
          <w:tcPr>
            <w:tcW w:w="340" w:type="dxa"/>
            <w:vAlign w:val="bottom"/>
          </w:tcPr>
          <w:p>
            <w:pPr>
              <w:spacing w:after="0"/>
              <w:rPr>
                <w:sz w:val="23"/>
                <w:szCs w:val="23"/>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8/3/2020</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10.25.5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Form of 2020 Restricted Stock Unit Agreement (Performance</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11/2/2020</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Based). +</w:t>
              </w:r>
            </w:hyperlink>
          </w:p>
        </w:tc>
        <w:tc>
          <w:tcPr>
            <w:tcW w:w="36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2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Form of Restricted Stock Unit Agreement. +</w:t>
              </w:r>
            </w:hyperlink>
          </w:p>
        </w:tc>
        <w:tc>
          <w:tcPr>
            <w:tcW w:w="1440" w:type="dxa"/>
            <w:vAlign w:val="bottom"/>
            <w:gridSpan w:val="15"/>
          </w:tcPr>
          <w:p>
            <w:pPr>
              <w:spacing w:after="0"/>
              <w:rPr>
                <w:sz w:val="23"/>
                <w:szCs w:val="23"/>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3"/>
                <w:szCs w:val="23"/>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w w:val="99"/>
              </w:rPr>
              <w:t>10.34</w:t>
            </w:r>
          </w:p>
        </w:tc>
        <w:tc>
          <w:tcPr>
            <w:tcW w:w="340" w:type="dxa"/>
            <w:vAlign w:val="bottom"/>
          </w:tcPr>
          <w:p>
            <w:pPr>
              <w:spacing w:after="0"/>
              <w:rPr>
                <w:sz w:val="23"/>
                <w:szCs w:val="23"/>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3/6/2009</w:t>
            </w: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Form of Restricted Stock Unit Agreement under the National</w:t>
              </w:r>
            </w:hyperlink>
          </w:p>
        </w:tc>
        <w:tc>
          <w:tcPr>
            <w:tcW w:w="440" w:type="dxa"/>
            <w:vAlign w:val="bottom"/>
          </w:tcPr>
          <w:p>
            <w:pPr>
              <w:spacing w:after="0"/>
              <w:rPr>
                <w:sz w:val="22"/>
                <w:szCs w:val="22"/>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auto"/>
              </w:rPr>
              <w:t>S-8</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4/29/2016</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8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CineMedia, Inc. 2016 Equity Plan.</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Form of Restricted Stock Unit Agreement under the National</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3"/>
                <w:szCs w:val="23"/>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10.27.2</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2/24/2017</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CineMedia, Inc. 2016 Equity Plan, amended.</w:t>
              </w:r>
            </w:hyperlink>
          </w:p>
        </w:tc>
        <w:tc>
          <w:tcPr>
            <w:tcW w:w="114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10.26.3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Form of Restricted Stock Unit Agreement under the National</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3"/>
                <w:szCs w:val="23"/>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10.7</w:t>
            </w:r>
          </w:p>
        </w:tc>
        <w:tc>
          <w:tcPr>
            <w:tcW w:w="340" w:type="dxa"/>
            <w:vAlign w:val="bottom"/>
          </w:tcPr>
          <w:p>
            <w:pPr>
              <w:spacing w:after="0"/>
              <w:rPr>
                <w:sz w:val="23"/>
                <w:szCs w:val="23"/>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8/3/2020</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8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CineMedia, Inc. 2020 Omnibus Incentive Plan - Director</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10.27</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First Modification to the National CineMedia, Inc. 2016 Equity</w:t>
              </w:r>
            </w:hyperlink>
          </w:p>
        </w:tc>
        <w:tc>
          <w:tcPr>
            <w:tcW w:w="440" w:type="dxa"/>
            <w:vAlign w:val="bottom"/>
          </w:tcPr>
          <w:p>
            <w:pPr>
              <w:spacing w:after="0"/>
              <w:rPr>
                <w:sz w:val="23"/>
                <w:szCs w:val="23"/>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3"/>
                <w:szCs w:val="23"/>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23"/>
                <w:szCs w:val="23"/>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3/4/2021</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Incentive Plan 2018 Restricted Stock Agreement dated February</w:t>
              </w:r>
            </w:hyperlink>
          </w:p>
        </w:tc>
        <w:tc>
          <w:tcPr>
            <w:tcW w:w="6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0000FF"/>
            </w:tcBorders>
            <w:gridSpan w:val="5"/>
          </w:tcPr>
          <w:p>
            <w:pPr>
              <w:spacing w:after="0" w:line="163"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28, 2021.</w:t>
              </w:r>
            </w:hyperlink>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10.27.1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4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First Modification to the National CineMedia, Inc. 2016 Equity</w:t>
              </w:r>
            </w:hyperlink>
          </w:p>
        </w:tc>
        <w:tc>
          <w:tcPr>
            <w:tcW w:w="120" w:type="dxa"/>
            <w:vAlign w:val="bottom"/>
            <w:gridSpan w:val="4"/>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10.2</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3/4/2021</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gridSpan w:val="26"/>
          </w:tcPr>
          <w:p>
            <w:pPr>
              <w:spacing w:after="0" w:line="150"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Incentive Plan 2019 Restricted Stock Agreement dated March 2,</w:t>
              </w:r>
            </w:hyperlink>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4"/>
          </w:tcPr>
          <w:p>
            <w:pPr>
              <w:spacing w:after="0" w:line="163"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2021.</w:t>
              </w:r>
            </w:hyperlink>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10.27.2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4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First Modification to the National CineMedia, Inc. 2016 Equity</w:t>
              </w:r>
            </w:hyperlink>
          </w:p>
        </w:tc>
        <w:tc>
          <w:tcPr>
            <w:tcW w:w="120" w:type="dxa"/>
            <w:vAlign w:val="bottom"/>
            <w:gridSpan w:val="4"/>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10.3</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3/4/2021</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gridSpan w:val="26"/>
          </w:tcPr>
          <w:p>
            <w:pPr>
              <w:spacing w:after="0" w:line="150"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Incentive Plan 2020 Restricted Stock Agreement dated March 2,</w:t>
              </w:r>
            </w:hyperlink>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4"/>
          </w:tcPr>
          <w:p>
            <w:pPr>
              <w:spacing w:after="0" w:line="163"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2021.</w:t>
              </w:r>
            </w:hyperlink>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10.27.3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First Modification to the National CineMedia, Inc. 2020 Equity</w:t>
              </w:r>
            </w:hyperlink>
          </w:p>
        </w:tc>
        <w:tc>
          <w:tcPr>
            <w:tcW w:w="440" w:type="dxa"/>
            <w:vAlign w:val="bottom"/>
          </w:tcPr>
          <w:p>
            <w:pPr>
              <w:spacing w:after="0"/>
              <w:rPr>
                <w:sz w:val="22"/>
                <w:szCs w:val="22"/>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8"/>
              </w:rPr>
              <w:t>8-K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5/9/2022</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Incentive Plan 2020 Restricted Stock Agreement dated May 4,</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0000FF"/>
              <w:bottom w:val="single" w:sz="8" w:color="0000FF"/>
            </w:tcBorders>
            <w:gridSpan w:val="3"/>
          </w:tcPr>
          <w:p>
            <w:pPr>
              <w:spacing w:after="0" w:line="163" w:lineRule="exact"/>
              <w:rPr>
                <w:rFonts w:ascii="Times New Roman" w:cs="Times New Roman" w:eastAsia="Times New Roman" w:hAnsi="Times New Roman"/>
                <w:sz w:val="17"/>
                <w:szCs w:val="17"/>
                <w:color w:val="0000FF"/>
                <w:w w:val="99"/>
              </w:rPr>
            </w:pPr>
            <w:hyperlink r:id="rId241">
              <w:r>
                <w:rPr>
                  <w:rFonts w:ascii="Times New Roman" w:cs="Times New Roman" w:eastAsia="Times New Roman" w:hAnsi="Times New Roman"/>
                  <w:sz w:val="17"/>
                  <w:szCs w:val="17"/>
                  <w:color w:val="0000FF"/>
                  <w:w w:val="99"/>
                </w:rPr>
                <w:t>2022.</w:t>
              </w:r>
            </w:hyperlink>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26"/>
          </w:tcPr>
          <w:p>
            <w:pPr>
              <w:spacing w:after="0"/>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Form of Receivables Sales Agreement, dated November 3, 2022,</w:t>
              </w:r>
            </w:hyperlink>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001-33296</w:t>
            </w:r>
          </w:p>
        </w:tc>
        <w:tc>
          <w:tcPr>
            <w:tcW w:w="240" w:type="dxa"/>
            <w:vAlign w:val="bottom"/>
          </w:tcPr>
          <w:p>
            <w:pPr>
              <w:spacing w:after="0"/>
              <w:rPr>
                <w:sz w:val="22"/>
                <w:szCs w:val="22"/>
                <w:color w:val="auto"/>
              </w:rPr>
            </w:pPr>
          </w:p>
        </w:tc>
        <w:tc>
          <w:tcPr>
            <w:tcW w:w="80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10.2</w:t>
            </w:r>
          </w:p>
        </w:tc>
        <w:tc>
          <w:tcPr>
            <w:tcW w:w="340" w:type="dxa"/>
            <w:vAlign w:val="bottom"/>
          </w:tcPr>
          <w:p>
            <w:pPr>
              <w:spacing w:after="0"/>
              <w:rPr>
                <w:sz w:val="22"/>
                <w:szCs w:val="22"/>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11/7/2022</w:t>
            </w: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between National CineMedia, LLC and National CineMedia,</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Inc.</w:t>
              </w:r>
            </w:hyperlink>
          </w:p>
        </w:tc>
        <w:tc>
          <w:tcPr>
            <w:tcW w:w="300" w:type="dxa"/>
            <w:vAlign w:val="bottom"/>
            <w:gridSpan w:val="9"/>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21.1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List of Subsidiaries.</w:t>
            </w:r>
          </w:p>
        </w:tc>
        <w:tc>
          <w:tcPr>
            <w:tcW w:w="3160" w:type="dxa"/>
            <w:vAlign w:val="bottom"/>
            <w:gridSpan w:val="19"/>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23.1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24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Consent of Deloitte &amp; Touche LLP.</w:t>
            </w:r>
          </w:p>
        </w:tc>
        <w:tc>
          <w:tcPr>
            <w:tcW w:w="2080" w:type="dxa"/>
            <w:vAlign w:val="bottom"/>
            <w:gridSpan w:val="17"/>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24.1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Powers of Attorney of National CineMedia, Inc.</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60" w:type="dxa"/>
            <w:vAlign w:val="bottom"/>
            <w:gridSpan w:val="1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31.1</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45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Pr>
          <w:p>
            <w:pPr>
              <w:spacing w:after="0"/>
              <w:rPr>
                <w:sz w:val="22"/>
                <w:szCs w:val="22"/>
                <w:color w:val="auto"/>
              </w:rPr>
            </w:pPr>
          </w:p>
        </w:tc>
        <w:tc>
          <w:tcPr>
            <w:tcW w:w="58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38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00" w:type="dxa"/>
            <w:vAlign w:val="bottom"/>
            <w:tcBorders>
              <w:top w:val="single" w:sz="8" w:color="0000FF"/>
            </w:tcBorders>
          </w:tcPr>
          <w:p>
            <w:pPr>
              <w:spacing w:after="0"/>
              <w:rPr>
                <w:sz w:val="22"/>
                <w:szCs w:val="22"/>
                <w:color w:val="auto"/>
              </w:rPr>
            </w:pPr>
          </w:p>
        </w:tc>
        <w:tc>
          <w:tcPr>
            <w:tcW w:w="600" w:type="dxa"/>
            <w:vAlign w:val="bottom"/>
            <w:gridSpan w:val="11"/>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73660</wp:posOffset>
            </wp:positionV>
            <wp:extent cx="716216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40" w:top="1029" w:right="379" w:bottom="1440" w:gutter="0" w:footer="0" w:header="0"/>
        </w:sectPr>
      </w:pPr>
    </w:p>
    <w:bookmarkStart w:id="129" w:name="page130"/>
    <w:bookmarkEnd w:id="129"/>
    <w:tbl>
      <w:tblPr>
        <w:tblLayout w:type="fixed"/>
        <w:tblInd w:w="2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Ref.</w:t>
            </w:r>
          </w:p>
        </w:tc>
        <w:tc>
          <w:tcPr>
            <w:tcW w:w="4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5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gridSpan w:val="4"/>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0" w:type="dxa"/>
            <w:vAlign w:val="bottom"/>
          </w:tcPr>
          <w:p>
            <w:pPr>
              <w:spacing w:after="0"/>
              <w:rPr>
                <w:sz w:val="1"/>
                <w:szCs w:val="1"/>
                <w:color w:val="auto"/>
              </w:rPr>
            </w:pPr>
          </w:p>
        </w:tc>
      </w:tr>
      <w:tr>
        <w:trPr>
          <w:trHeight w:val="111"/>
        </w:trPr>
        <w:tc>
          <w:tcPr>
            <w:tcW w:w="98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560" w:type="dxa"/>
            <w:vAlign w:val="bottom"/>
            <w:gridSpan w:val="6"/>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gridSpan w:val="2"/>
          </w:tcPr>
          <w:p>
            <w:pPr>
              <w:jc w:val="center"/>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Pursuant to 18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7"/>
                <w:szCs w:val="17"/>
                <w:color w:val="0000FF"/>
              </w:rPr>
              <w:t>U.S.C. Section 1350.</w:t>
            </w:r>
          </w:p>
        </w:tc>
        <w:tc>
          <w:tcPr>
            <w:tcW w:w="26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Pr>
          <w:p>
            <w:pPr>
              <w:spacing w:after="0"/>
              <w:rPr>
                <w:sz w:val="23"/>
                <w:szCs w:val="23"/>
                <w:color w:val="auto"/>
              </w:rPr>
            </w:pP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Section 1350.</w:t>
            </w:r>
          </w:p>
        </w:tc>
        <w:tc>
          <w:tcPr>
            <w:tcW w:w="334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58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20" w:right="4880" w:hanging="1798"/>
        <w:spacing w:after="0" w:line="247" w:lineRule="auto"/>
        <w:tabs>
          <w:tab w:leader="none" w:pos="142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18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31" w:lineRule="exact"/>
        <w:rPr>
          <w:rFonts w:ascii="Times New Roman" w:cs="Times New Roman" w:eastAsia="Times New Roman" w:hAnsi="Times New Roman"/>
          <w:sz w:val="17"/>
          <w:szCs w:val="17"/>
          <w:color w:val="auto"/>
        </w:rPr>
      </w:pPr>
    </w:p>
    <w:p>
      <w:pPr>
        <w:ind w:left="400" w:hanging="396"/>
        <w:spacing w:after="0"/>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3" w:lineRule="exact"/>
        <w:rPr>
          <w:sz w:val="20"/>
          <w:szCs w:val="20"/>
          <w:color w:val="auto"/>
        </w:rPr>
      </w:pPr>
    </w:p>
    <w:p>
      <w:pPr>
        <w:ind w:left="320" w:hanging="316"/>
        <w:spacing w:after="0"/>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w:t>
      </w:r>
    </w:p>
    <w:p>
      <w:pPr>
        <w:spacing w:after="0" w:line="372"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029" w:right="37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right="140" w:firstLine="509"/>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NATIONAL CINEMEDIA, INC.</w:t>
            </w:r>
          </w:p>
        </w:tc>
      </w:tr>
      <w:tr>
        <w:trPr>
          <w:trHeight w:val="227"/>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(Registrant)</w:t>
            </w:r>
          </w:p>
        </w:tc>
      </w:tr>
      <w:tr>
        <w:trPr>
          <w:trHeight w:val="48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13, 2023</w:t>
            </w: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/s/ Thomas F. Lesinski</w:t>
            </w:r>
          </w:p>
        </w:tc>
      </w:tr>
      <w:tr>
        <w:trPr>
          <w:trHeight w:val="208"/>
        </w:trPr>
        <w:tc>
          <w:tcPr>
            <w:tcW w:w="96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Thomas F. Lesinski</w:t>
            </w:r>
          </w:p>
        </w:tc>
      </w:tr>
      <w:tr>
        <w:trPr>
          <w:trHeight w:val="222"/>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Director</w:t>
            </w:r>
          </w:p>
        </w:tc>
      </w:tr>
      <w:tr>
        <w:trPr>
          <w:trHeight w:val="229"/>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sectPr>
      </w:pPr>
    </w:p>
    <w:bookmarkStart w:id="131" w:name="page132"/>
    <w:bookmarkEnd w:id="131"/>
    <w:p>
      <w:pPr>
        <w:ind w:firstLine="509"/>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on the 13th day of April, 2023.</w:t>
      </w: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00" w:type="dxa"/>
            <w:vAlign w:val="bottom"/>
          </w:tcPr>
          <w:p>
            <w:pPr>
              <w:spacing w:after="0"/>
              <w:rPr>
                <w:sz w:val="19"/>
                <w:szCs w:val="19"/>
                <w:color w:val="auto"/>
              </w:rPr>
            </w:pPr>
          </w:p>
        </w:tc>
        <w:tc>
          <w:tcPr>
            <w:tcW w:w="4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372"/>
        </w:trPr>
        <w:tc>
          <w:tcPr>
            <w:tcW w:w="4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Thomas F. Lesinski</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0"/>
        </w:trPr>
        <w:tc>
          <w:tcPr>
            <w:tcW w:w="4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F. Lesinski</w:t>
            </w: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373"/>
        </w:trPr>
        <w:tc>
          <w:tcPr>
            <w:tcW w:w="4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Ronnie Ng</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0"/>
        </w:trPr>
        <w:tc>
          <w:tcPr>
            <w:tcW w:w="4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Ronnie Ng</w:t>
            </w: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r>
      <w:tr>
        <w:trPr>
          <w:trHeight w:val="373"/>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David E. Glazek</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Lawrence A. Goodman</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Kurt C. Hall</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Juliana F. Hill</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Donna Reisman</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2"/>
        </w:trPr>
        <w:tc>
          <w:tcPr>
            <w:tcW w:w="4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B. Segall</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65"/>
        </w:trPr>
        <w:tc>
          <w:tcPr>
            <w:tcW w:w="5160" w:type="dxa"/>
            <w:vAlign w:val="bottom"/>
            <w:gridSpan w:val="2"/>
          </w:tcPr>
          <w:p>
            <w:pPr>
              <w:jc w:val="center"/>
              <w:ind w:lef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Mark Zoradi</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Maria Woods</w:t>
            </w: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Attorney-in-fact</w:t>
            </w:r>
          </w:p>
        </w:tc>
      </w:tr>
      <w:tr>
        <w:trPr>
          <w:trHeight w:val="220"/>
        </w:trPr>
        <w:tc>
          <w:tcPr>
            <w:tcW w:w="420" w:type="dxa"/>
            <w:vAlign w:val="bottom"/>
          </w:tcPr>
          <w:p>
            <w:pPr>
              <w:spacing w:after="0"/>
              <w:rPr>
                <w:sz w:val="19"/>
                <w:szCs w:val="19"/>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Maria Woods</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600"/>
          </w:cols>
          <w:pgMar w:left="320" w:top="969" w:right="979" w:bottom="1440" w:gutter="0" w:footer="0" w:header="0"/>
        </w:sectPr>
      </w:pPr>
    </w:p>
    <w:bookmarkStart w:id="132" w:name="page133"/>
    <w:bookmarkEnd w:id="132"/>
    <w:p>
      <w:pPr>
        <w:jc w:val="right"/>
        <w:spacing w:after="0"/>
        <w:rPr>
          <w:sz w:val="20"/>
          <w:szCs w:val="20"/>
          <w:color w:val="auto"/>
        </w:rPr>
      </w:pPr>
      <w:r>
        <w:rPr>
          <w:rFonts w:ascii="Cambria" w:cs="Cambria" w:eastAsia="Cambria" w:hAnsi="Cambria"/>
          <w:sz w:val="17"/>
          <w:szCs w:val="17"/>
          <w:b w:val="1"/>
          <w:bCs w:val="1"/>
          <w:color w:val="auto"/>
        </w:rPr>
        <w:t>Exhibit 4.5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mbria" w:cs="Cambria" w:eastAsia="Cambria" w:hAnsi="Cambria"/>
          <w:sz w:val="17"/>
          <w:szCs w:val="17"/>
          <w:b w:val="1"/>
          <w:bCs w:val="1"/>
          <w:color w:val="auto"/>
        </w:rPr>
        <w:t>DESCRIPTION OF NATIONAL CINEMEDIA, INC.’S SECURITIES</w:t>
      </w:r>
    </w:p>
    <w:p>
      <w:pPr>
        <w:spacing w:after="0" w:line="114" w:lineRule="exact"/>
        <w:rPr>
          <w:sz w:val="20"/>
          <w:szCs w:val="20"/>
          <w:color w:val="auto"/>
        </w:rPr>
      </w:pPr>
    </w:p>
    <w:p>
      <w:pPr>
        <w:ind w:right="40"/>
        <w:spacing w:after="0" w:line="252" w:lineRule="auto"/>
        <w:rPr>
          <w:sz w:val="20"/>
          <w:szCs w:val="20"/>
          <w:color w:val="auto"/>
        </w:rPr>
      </w:pPr>
      <w:r>
        <w:rPr>
          <w:rFonts w:ascii="Cambria" w:cs="Cambria" w:eastAsia="Cambria" w:hAnsi="Cambria"/>
          <w:sz w:val="17"/>
          <w:szCs w:val="17"/>
          <w:i w:val="1"/>
          <w:iCs w:val="1"/>
          <w:color w:val="auto"/>
        </w:rPr>
        <w:t>The following is a description of National CineMedia, Inc.’s (the “Company,” “we,” “us” or “our”) securities that are registered under Section 12 of the Securities Exchange Act of 1934, as amended, and does not purport to be complete. For a complete description of the terms and provisions of such securities, refer to the Company’s Second Amended and Restated Certificate of Incorporation (the “Certificate”) and the Amended and Restated Bylaws, as amended May 4, 2022 (the “Bylaws”), each of which is included as an exhibit to the Annual Report on Form 10-K of which this exhibit is a part. This summary is qualified in its entirety by reference to these documents.</w:t>
      </w:r>
    </w:p>
    <w:p>
      <w:pPr>
        <w:spacing w:after="0" w:line="102"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Authorized Capital Stock</w:t>
      </w:r>
    </w:p>
    <w:p>
      <w:pPr>
        <w:spacing w:after="0" w:line="114" w:lineRule="exact"/>
        <w:rPr>
          <w:sz w:val="20"/>
          <w:szCs w:val="20"/>
          <w:color w:val="auto"/>
        </w:rPr>
      </w:pPr>
    </w:p>
    <w:p>
      <w:pPr>
        <w:ind w:right="20"/>
        <w:spacing w:after="0" w:line="253" w:lineRule="auto"/>
        <w:rPr>
          <w:sz w:val="20"/>
          <w:szCs w:val="20"/>
          <w:color w:val="auto"/>
        </w:rPr>
      </w:pPr>
      <w:r>
        <w:rPr>
          <w:rFonts w:ascii="Cambria" w:cs="Cambria" w:eastAsia="Cambria" w:hAnsi="Cambria"/>
          <w:sz w:val="17"/>
          <w:szCs w:val="17"/>
          <w:b w:val="1"/>
          <w:bCs w:val="1"/>
          <w:color w:val="auto"/>
        </w:rPr>
        <w:t>Under the Certificate of Incorporation, the Company’s authorized share capital consists of two hundred and sixty million (260,000,000) shares of common stock, par value $0.01 per share (“Common Stock”), and ten million (10,000,000) shares of preferred stock, par value $0.01 per share (“Preferred Stock”).</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Description of Common Stock and Preferred Stock</w:t>
      </w:r>
    </w:p>
    <w:p>
      <w:pPr>
        <w:spacing w:after="0" w:line="62"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Common Stock and Preferred Stock Voting Rights</w:t>
      </w:r>
    </w:p>
    <w:p>
      <w:pPr>
        <w:spacing w:after="0" w:line="114"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Each holder of Common Stock is entitled to one vote per share.</w:t>
      </w:r>
    </w:p>
    <w:p>
      <w:pPr>
        <w:spacing w:after="0" w:line="62" w:lineRule="exact"/>
        <w:rPr>
          <w:sz w:val="20"/>
          <w:szCs w:val="20"/>
          <w:color w:val="auto"/>
        </w:rPr>
      </w:pPr>
    </w:p>
    <w:p>
      <w:pPr>
        <w:ind w:right="40"/>
        <w:spacing w:after="0" w:line="252" w:lineRule="auto"/>
        <w:rPr>
          <w:sz w:val="20"/>
          <w:szCs w:val="20"/>
          <w:color w:val="auto"/>
        </w:rPr>
      </w:pPr>
      <w:r>
        <w:rPr>
          <w:rFonts w:ascii="Cambria" w:cs="Cambria" w:eastAsia="Cambria" w:hAnsi="Cambria"/>
          <w:sz w:val="17"/>
          <w:szCs w:val="17"/>
          <w:b w:val="1"/>
          <w:bCs w:val="1"/>
          <w:color w:val="auto"/>
        </w:rPr>
        <w:t>Generally, all matters to be voted on by stockholders must be approved by a majority (or, in the case of election of directors, by a plurality) of our outstanding voting power. Except as otherwise required by the General Corporation Law of the State of Delaware (“DGCL”), the Certificate or the voting rights granted to any Preferred Stock we subsequently issue, the holders of outstanding shares of Common Stock and Preferred Stock entitled to vote thereon, if any, vote as one class with respect to all matters to be voted on by our stockholders. Holders of shares of common stock are not entitled to cumulate their votes in the election of directors.</w:t>
      </w:r>
    </w:p>
    <w:p>
      <w:pPr>
        <w:spacing w:after="0" w:line="50"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below, is required to amend or repeal our Certificate. In addition, under the DGCL, an amendment to our Certificate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Dividends</w:t>
      </w:r>
    </w:p>
    <w:p>
      <w:pPr>
        <w:spacing w:after="0" w:line="114" w:lineRule="exact"/>
        <w:rPr>
          <w:sz w:val="20"/>
          <w:szCs w:val="20"/>
          <w:color w:val="auto"/>
        </w:rPr>
      </w:pPr>
    </w:p>
    <w:p>
      <w:pPr>
        <w:ind w:right="660"/>
        <w:spacing w:after="0" w:line="256" w:lineRule="auto"/>
        <w:rPr>
          <w:sz w:val="20"/>
          <w:szCs w:val="20"/>
          <w:color w:val="auto"/>
        </w:rPr>
      </w:pPr>
      <w:r>
        <w:rPr>
          <w:rFonts w:ascii="Cambria" w:cs="Cambria" w:eastAsia="Cambria" w:hAnsi="Cambria"/>
          <w:sz w:val="17"/>
          <w:szCs w:val="17"/>
          <w:b w:val="1"/>
          <w:bCs w:val="1"/>
          <w:color w:val="auto"/>
        </w:rPr>
        <w:t>Holders of Common Stock share ratably (based on the number of shares of Common Stock held) in any dividend declared by our board of directors, subject to any preferential rights of any outstanding Preferred Stock.</w:t>
      </w:r>
    </w:p>
    <w:p>
      <w:pPr>
        <w:spacing w:after="0" w:line="97"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Other Rights</w:t>
      </w:r>
    </w:p>
    <w:p>
      <w:pPr>
        <w:spacing w:after="0" w:line="114" w:lineRule="exact"/>
        <w:rPr>
          <w:sz w:val="20"/>
          <w:szCs w:val="20"/>
          <w:color w:val="auto"/>
        </w:rPr>
      </w:pPr>
    </w:p>
    <w:p>
      <w:pPr>
        <w:ind w:right="100"/>
        <w:spacing w:after="0" w:line="253" w:lineRule="auto"/>
        <w:rPr>
          <w:sz w:val="20"/>
          <w:szCs w:val="20"/>
          <w:color w:val="auto"/>
        </w:rPr>
      </w:pPr>
      <w:r>
        <w:rPr>
          <w:rFonts w:ascii="Cambria" w:cs="Cambria" w:eastAsia="Cambria" w:hAnsi="Cambria"/>
          <w:sz w:val="17"/>
          <w:szCs w:val="17"/>
          <w:b w:val="1"/>
          <w:bCs w:val="1"/>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99" w:lineRule="exact"/>
        <w:rPr>
          <w:sz w:val="20"/>
          <w:szCs w:val="20"/>
          <w:color w:val="auto"/>
        </w:rPr>
      </w:pPr>
    </w:p>
    <w:p>
      <w:pPr>
        <w:spacing w:after="0"/>
        <w:rPr>
          <w:sz w:val="20"/>
          <w:szCs w:val="20"/>
          <w:color w:val="auto"/>
        </w:rPr>
      </w:pPr>
      <w:r>
        <w:rPr>
          <w:rFonts w:ascii="Cambria" w:cs="Cambria" w:eastAsia="Cambria" w:hAnsi="Cambria"/>
          <w:sz w:val="17"/>
          <w:szCs w:val="17"/>
          <w:b w:val="1"/>
          <w:bCs w:val="1"/>
          <w:color w:val="auto"/>
        </w:rPr>
        <w:t>Anti-Takeover Effects of Certain Provisions of Delaware Law, the Certificate of Incorporation and the Bylaws</w:t>
      </w:r>
    </w:p>
    <w:p>
      <w:pPr>
        <w:spacing w:after="0" w:line="114" w:lineRule="exact"/>
        <w:rPr>
          <w:sz w:val="20"/>
          <w:szCs w:val="20"/>
          <w:color w:val="auto"/>
        </w:rPr>
      </w:pPr>
    </w:p>
    <w:p>
      <w:pPr>
        <w:ind w:right="200"/>
        <w:spacing w:after="0" w:line="252" w:lineRule="auto"/>
        <w:rPr>
          <w:sz w:val="20"/>
          <w:szCs w:val="20"/>
          <w:color w:val="auto"/>
        </w:rPr>
      </w:pPr>
      <w:r>
        <w:rPr>
          <w:rFonts w:ascii="Cambria" w:cs="Cambria" w:eastAsia="Cambria" w:hAnsi="Cambria"/>
          <w:sz w:val="17"/>
          <w:szCs w:val="17"/>
          <w:b w:val="1"/>
          <w:bCs w:val="1"/>
          <w:color w:val="auto"/>
        </w:rPr>
        <w:t>We have elected in the Certificate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w:t>
      </w:r>
    </w:p>
    <w:p>
      <w:pPr>
        <w:spacing w:after="0" w:line="50" w:lineRule="exact"/>
        <w:rPr>
          <w:sz w:val="20"/>
          <w:szCs w:val="20"/>
          <w:color w:val="auto"/>
        </w:rPr>
      </w:pPr>
    </w:p>
    <w:p>
      <w:pPr>
        <w:ind w:right="60"/>
        <w:spacing w:after="0" w:line="252" w:lineRule="auto"/>
        <w:rPr>
          <w:sz w:val="20"/>
          <w:szCs w:val="20"/>
          <w:color w:val="auto"/>
        </w:rPr>
      </w:pPr>
      <w:r>
        <w:rPr>
          <w:rFonts w:ascii="Cambria" w:cs="Cambria" w:eastAsia="Cambria" w:hAnsi="Cambria"/>
          <w:sz w:val="17"/>
          <w:szCs w:val="17"/>
          <w:b w:val="1"/>
          <w:bCs w:val="1"/>
          <w:color w:val="auto"/>
        </w:rPr>
        <w:t>Certain other provisions of the Certificate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and Bylaws:</w:t>
      </w:r>
    </w:p>
    <w:p>
      <w:pPr>
        <w:sectPr>
          <w:pgSz w:w="11900" w:h="16838" w:orient="portrait"/>
          <w:cols w:equalWidth="0" w:num="1">
            <w:col w:w="11240"/>
          </w:cols>
          <w:pgMar w:left="320" w:top="770" w:right="339" w:bottom="1440" w:gutter="0" w:footer="0" w:header="0"/>
        </w:sectPr>
      </w:pPr>
    </w:p>
    <w:bookmarkStart w:id="133" w:name="page134"/>
    <w:bookmarkEnd w:id="133"/>
    <w:p>
      <w:pPr>
        <w:ind w:left="720" w:right="360" w:hanging="698"/>
        <w:spacing w:after="0" w:line="272" w:lineRule="auto"/>
        <w:tabs>
          <w:tab w:leader="none" w:pos="720" w:val="left"/>
        </w:tabs>
        <w:numPr>
          <w:ilvl w:val="0"/>
          <w:numId w:val="88"/>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provide veto rights to the directors designated by Cinemark and Regal over certain actions specified in our Certificate, as described below under “-Special Approval Rights for Certain Matters”;</w:t>
      </w:r>
    </w:p>
    <w:p>
      <w:pPr>
        <w:spacing w:after="0" w:line="200" w:lineRule="exact"/>
        <w:rPr>
          <w:rFonts w:ascii="Cambria" w:cs="Cambria" w:eastAsia="Cambria" w:hAnsi="Cambria"/>
          <w:sz w:val="17"/>
          <w:szCs w:val="17"/>
          <w:b w:val="1"/>
          <w:bCs w:val="1"/>
          <w:color w:val="auto"/>
        </w:rPr>
      </w:pPr>
    </w:p>
    <w:p>
      <w:pPr>
        <w:ind w:left="720" w:right="600" w:hanging="698"/>
        <w:spacing w:after="0" w:line="256" w:lineRule="auto"/>
        <w:tabs>
          <w:tab w:leader="none" w:pos="720" w:val="left"/>
        </w:tabs>
        <w:numPr>
          <w:ilvl w:val="0"/>
          <w:numId w:val="88"/>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authorize the issuance of “blank check” preferred stock that could be issued by our board of directors to increase the number of outstanding shares, making a takeover more difficult and expensive;</w:t>
      </w:r>
    </w:p>
    <w:p>
      <w:pPr>
        <w:spacing w:after="0" w:line="21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88"/>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prohibit stockholder action by written consent;</w:t>
      </w:r>
    </w:p>
    <w:p>
      <w:pPr>
        <w:spacing w:after="0" w:line="24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88"/>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provide that special meetings of our stockholders may be called only by a majority of our directors; and</w:t>
      </w:r>
    </w:p>
    <w:p>
      <w:pPr>
        <w:spacing w:after="0" w:line="244" w:lineRule="exact"/>
        <w:rPr>
          <w:rFonts w:ascii="Cambria" w:cs="Cambria" w:eastAsia="Cambria" w:hAnsi="Cambria"/>
          <w:sz w:val="17"/>
          <w:szCs w:val="17"/>
          <w:b w:val="1"/>
          <w:bCs w:val="1"/>
          <w:color w:val="auto"/>
        </w:rPr>
      </w:pPr>
    </w:p>
    <w:p>
      <w:pPr>
        <w:ind w:left="720" w:right="160" w:hanging="698"/>
        <w:spacing w:after="0" w:line="256" w:lineRule="auto"/>
        <w:tabs>
          <w:tab w:leader="none" w:pos="720" w:val="left"/>
        </w:tabs>
        <w:numPr>
          <w:ilvl w:val="0"/>
          <w:numId w:val="88"/>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do not permit cumulative voting in the election of directors, which would otherwise allow less than a majority of stockholders to elect director candidates.</w:t>
      </w:r>
    </w:p>
    <w:p>
      <w:pPr>
        <w:spacing w:after="0" w:line="162" w:lineRule="exact"/>
        <w:rPr>
          <w:sz w:val="20"/>
          <w:szCs w:val="20"/>
          <w:color w:val="auto"/>
        </w:rPr>
      </w:pPr>
    </w:p>
    <w:p>
      <w:pPr>
        <w:jc w:val="both"/>
        <w:ind w:right="100"/>
        <w:spacing w:after="0" w:line="253" w:lineRule="auto"/>
        <w:rPr>
          <w:sz w:val="20"/>
          <w:szCs w:val="20"/>
          <w:color w:val="auto"/>
        </w:rPr>
      </w:pPr>
      <w:r>
        <w:rPr>
          <w:rFonts w:ascii="Cambria" w:cs="Cambria" w:eastAsia="Cambria" w:hAnsi="Cambria"/>
          <w:sz w:val="17"/>
          <w:szCs w:val="17"/>
          <w:b w:val="1"/>
          <w:bCs w:val="1"/>
          <w:color w:val="auto"/>
        </w:rPr>
        <w:t>The operating agreement of National CineMedia, LLC (“NCM LLC”)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w:t>
      </w:r>
    </w:p>
    <w:p>
      <w:pPr>
        <w:spacing w:after="0" w:line="101"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Special Approval Rights for Certain Matters</w:t>
      </w:r>
    </w:p>
    <w:p>
      <w:pPr>
        <w:spacing w:after="0" w:line="114"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Under the Certificate, so long as either of Regal or Cinemark owns at least 5% of NCM LLC’s issued and outstanding common membership units, if the two directors appointed by Cinemark or the two directors appointed by Regal pursuant to the Director Designation Agreement dated February 13, 2007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of the following actions:</w:t>
      </w:r>
    </w:p>
    <w:p>
      <w:pPr>
        <w:spacing w:after="0" w:line="102" w:lineRule="exact"/>
        <w:rPr>
          <w:sz w:val="20"/>
          <w:szCs w:val="20"/>
          <w:color w:val="auto"/>
        </w:rPr>
      </w:pPr>
    </w:p>
    <w:p>
      <w:pPr>
        <w:ind w:left="720" w:hanging="698"/>
        <w:spacing w:after="0"/>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assign, transfer, sell or pledge all or a portion of the membership interests of NCM LLC beneficially owned by the Company;</w:t>
      </w:r>
    </w:p>
    <w:p>
      <w:pPr>
        <w:spacing w:after="0" w:line="244" w:lineRule="exact"/>
        <w:rPr>
          <w:rFonts w:ascii="Cambria" w:cs="Cambria" w:eastAsia="Cambria" w:hAnsi="Cambria"/>
          <w:sz w:val="17"/>
          <w:szCs w:val="17"/>
          <w:b w:val="1"/>
          <w:bCs w:val="1"/>
          <w:color w:val="auto"/>
        </w:rPr>
      </w:pPr>
    </w:p>
    <w:p>
      <w:pPr>
        <w:ind w:left="720" w:right="400" w:hanging="698"/>
        <w:spacing w:after="0" w:line="272"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acquire, dispose, lease or license assets with an aggregate value exceeding 20% of the fair market value of the business of NCM LLC operating as a going concern;</w:t>
      </w:r>
    </w:p>
    <w:p>
      <w:pPr>
        <w:spacing w:after="0" w:line="200"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merge, reorganize, recapitalize, reclassify, consolidate, dissolve, liquidate or enter into a similar transaction;</w:t>
      </w:r>
    </w:p>
    <w:p>
      <w:pPr>
        <w:spacing w:after="0" w:line="231" w:lineRule="exact"/>
        <w:rPr>
          <w:rFonts w:ascii="Cambria" w:cs="Cambria" w:eastAsia="Cambria" w:hAnsi="Cambria"/>
          <w:sz w:val="17"/>
          <w:szCs w:val="17"/>
          <w:b w:val="1"/>
          <w:bCs w:val="1"/>
          <w:color w:val="auto"/>
        </w:rPr>
      </w:pPr>
    </w:p>
    <w:p>
      <w:pPr>
        <w:ind w:left="720" w:right="340" w:hanging="698"/>
        <w:spacing w:after="0" w:line="272"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incur any funded indebtedness or repay, before due, any funded indebtedness with a fixed term in an aggregate amount in excess of $15.0 million per year;</w:t>
      </w:r>
    </w:p>
    <w:p>
      <w:pPr>
        <w:spacing w:after="0" w:line="200" w:lineRule="exact"/>
        <w:rPr>
          <w:rFonts w:ascii="Cambria" w:cs="Cambria" w:eastAsia="Cambria" w:hAnsi="Cambria"/>
          <w:sz w:val="17"/>
          <w:szCs w:val="17"/>
          <w:b w:val="1"/>
          <w:bCs w:val="1"/>
          <w:color w:val="auto"/>
        </w:rPr>
      </w:pPr>
    </w:p>
    <w:p>
      <w:pPr>
        <w:ind w:left="720" w:hanging="698"/>
        <w:spacing w:after="0" w:line="272"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issue, grant or sell shares of our Common Stock, Preferred Stock or rights with respect to Common Stock or Preferred Stock, or NCM LLC membership units or rights with respect to membership units, except under specified circumstances;</w:t>
      </w:r>
    </w:p>
    <w:p>
      <w:pPr>
        <w:spacing w:after="0" w:line="200" w:lineRule="exact"/>
        <w:rPr>
          <w:rFonts w:ascii="Cambria" w:cs="Cambria" w:eastAsia="Cambria" w:hAnsi="Cambria"/>
          <w:sz w:val="17"/>
          <w:szCs w:val="17"/>
          <w:b w:val="1"/>
          <w:bCs w:val="1"/>
          <w:color w:val="auto"/>
        </w:rPr>
      </w:pPr>
    </w:p>
    <w:p>
      <w:pPr>
        <w:ind w:left="720" w:right="40" w:hanging="698"/>
        <w:spacing w:after="0" w:line="256"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authorize, issue, grant or sell additional membership interests or rights with respect to membership interests of NCM LLC (with certain exceptions);</w:t>
      </w:r>
    </w:p>
    <w:p>
      <w:pPr>
        <w:spacing w:after="0" w:line="214"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amend, modify, restate or repeal any provision of our Certificate or Bylaws or the NCM LLC operating agreement;</w:t>
      </w:r>
    </w:p>
    <w:p>
      <w:pPr>
        <w:spacing w:after="0" w:line="244" w:lineRule="exact"/>
        <w:rPr>
          <w:rFonts w:ascii="Cambria" w:cs="Cambria" w:eastAsia="Cambria" w:hAnsi="Cambria"/>
          <w:sz w:val="17"/>
          <w:szCs w:val="17"/>
          <w:b w:val="1"/>
          <w:bCs w:val="1"/>
          <w:color w:val="auto"/>
        </w:rPr>
      </w:pPr>
    </w:p>
    <w:p>
      <w:pPr>
        <w:ind w:left="720" w:right="60" w:hanging="698"/>
        <w:spacing w:after="0" w:line="272"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enter into, modify or terminate certain material contracts not in the ordinary course of business as defined under applicable securities laws;</w:t>
      </w:r>
    </w:p>
    <w:p>
      <w:pPr>
        <w:spacing w:after="0" w:line="200" w:lineRule="exact"/>
        <w:rPr>
          <w:rFonts w:ascii="Cambria" w:cs="Cambria" w:eastAsia="Cambria" w:hAnsi="Cambria"/>
          <w:sz w:val="17"/>
          <w:szCs w:val="17"/>
          <w:b w:val="1"/>
          <w:bCs w:val="1"/>
          <w:color w:val="auto"/>
        </w:rPr>
      </w:pPr>
    </w:p>
    <w:p>
      <w:pPr>
        <w:ind w:left="720" w:right="460" w:hanging="698"/>
        <w:spacing w:after="0" w:line="256"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except as specifically set forth in the NCM LLC operating agreement, declare, set aside or pay any redemption of, or dividends with respect to membership interests;</w:t>
      </w:r>
    </w:p>
    <w:p>
      <w:pPr>
        <w:spacing w:after="0" w:line="214" w:lineRule="exact"/>
        <w:rPr>
          <w:rFonts w:ascii="Cambria" w:cs="Cambria" w:eastAsia="Cambria" w:hAnsi="Cambria"/>
          <w:sz w:val="17"/>
          <w:szCs w:val="17"/>
          <w:b w:val="1"/>
          <w:bCs w:val="1"/>
          <w:color w:val="auto"/>
        </w:rPr>
      </w:pPr>
    </w:p>
    <w:p>
      <w:pPr>
        <w:ind w:left="720" w:right="460" w:hanging="698"/>
        <w:spacing w:after="0" w:line="272"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amend any material terms or provisions (as defined in the Nasdaq rules) of our equity incentive plan or enter into any new equity incentive compensation plan;</w:t>
      </w:r>
    </w:p>
    <w:p>
      <w:pPr>
        <w:spacing w:after="0" w:line="200" w:lineRule="exact"/>
        <w:rPr>
          <w:rFonts w:ascii="Cambria" w:cs="Cambria" w:eastAsia="Cambria" w:hAnsi="Cambria"/>
          <w:sz w:val="17"/>
          <w:szCs w:val="17"/>
          <w:b w:val="1"/>
          <w:bCs w:val="1"/>
          <w:color w:val="auto"/>
        </w:rPr>
      </w:pPr>
    </w:p>
    <w:p>
      <w:pPr>
        <w:ind w:left="720" w:hanging="698"/>
        <w:spacing w:after="0"/>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make any change in the current business purpose of the Company to serve solely as the manager of NCM LLC or any change in the</w:t>
      </w:r>
    </w:p>
    <w:p>
      <w:pPr>
        <w:spacing w:after="0" w:line="22" w:lineRule="exact"/>
        <w:rPr>
          <w:rFonts w:ascii="Cambria" w:cs="Cambria" w:eastAsia="Cambria" w:hAnsi="Cambria"/>
          <w:sz w:val="17"/>
          <w:szCs w:val="17"/>
          <w:b w:val="1"/>
          <w:bCs w:val="1"/>
          <w:color w:val="auto"/>
        </w:rPr>
      </w:pPr>
    </w:p>
    <w:p>
      <w:pPr>
        <w:ind w:left="720" w:right="280"/>
        <w:spacing w:after="0" w:line="256" w:lineRule="auto"/>
        <w:rPr>
          <w:rFonts w:ascii="Cambria" w:cs="Cambria" w:eastAsia="Cambria" w:hAnsi="Cambria"/>
          <w:sz w:val="17"/>
          <w:szCs w:val="17"/>
          <w:b w:val="1"/>
          <w:bCs w:val="1"/>
          <w:color w:val="auto"/>
        </w:rPr>
      </w:pPr>
      <w:r>
        <w:rPr>
          <w:rFonts w:ascii="Cambria" w:cs="Cambria" w:eastAsia="Cambria" w:hAnsi="Cambria"/>
          <w:sz w:val="17"/>
          <w:szCs w:val="17"/>
          <w:b w:val="1"/>
          <w:bCs w:val="1"/>
          <w:color w:val="auto"/>
        </w:rPr>
        <w:t>current business purpose of NCM LLC to provide the services as set forth in the exhibitor services agreements between NCM LLC and each of the founding members; and</w:t>
      </w:r>
    </w:p>
    <w:p>
      <w:pPr>
        <w:spacing w:after="0" w:line="227" w:lineRule="exact"/>
        <w:rPr>
          <w:rFonts w:ascii="Cambria" w:cs="Cambria" w:eastAsia="Cambria" w:hAnsi="Cambria"/>
          <w:sz w:val="17"/>
          <w:szCs w:val="17"/>
          <w:b w:val="1"/>
          <w:bCs w:val="1"/>
          <w:color w:val="auto"/>
        </w:rPr>
      </w:pPr>
    </w:p>
    <w:p>
      <w:pPr>
        <w:ind w:left="720" w:right="620" w:hanging="698"/>
        <w:spacing w:after="0" w:line="256" w:lineRule="auto"/>
        <w:tabs>
          <w:tab w:leader="none" w:pos="720" w:val="left"/>
        </w:tabs>
        <w:numPr>
          <w:ilvl w:val="0"/>
          <w:numId w:val="89"/>
        </w:numPr>
        <w:rPr>
          <w:rFonts w:ascii="Cambria" w:cs="Cambria" w:eastAsia="Cambria" w:hAnsi="Cambria"/>
          <w:sz w:val="17"/>
          <w:szCs w:val="17"/>
          <w:b w:val="1"/>
          <w:bCs w:val="1"/>
          <w:color w:val="auto"/>
        </w:rPr>
      </w:pPr>
      <w:r>
        <w:rPr>
          <w:rFonts w:ascii="Cambria" w:cs="Cambria" w:eastAsia="Cambria" w:hAnsi="Cambria"/>
          <w:sz w:val="17"/>
          <w:szCs w:val="17"/>
          <w:b w:val="1"/>
          <w:bCs w:val="1"/>
          <w:color w:val="auto"/>
        </w:rPr>
        <w:t>approve any actions relating to NCM LLC that could reasonably be expected to have a material adverse tax effect on the founding members.</w:t>
      </w:r>
    </w:p>
    <w:p>
      <w:pPr>
        <w:spacing w:after="0" w:line="214"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Authorized but Unissued Shares</w:t>
      </w:r>
    </w:p>
    <w:p>
      <w:pPr>
        <w:spacing w:after="0" w:line="114" w:lineRule="exact"/>
        <w:rPr>
          <w:sz w:val="20"/>
          <w:szCs w:val="20"/>
          <w:color w:val="auto"/>
        </w:rPr>
      </w:pPr>
    </w:p>
    <w:p>
      <w:pPr>
        <w:ind w:right="20"/>
        <w:spacing w:after="0" w:line="256" w:lineRule="auto"/>
        <w:rPr>
          <w:sz w:val="20"/>
          <w:szCs w:val="20"/>
          <w:color w:val="auto"/>
        </w:rPr>
      </w:pPr>
      <w:r>
        <w:rPr>
          <w:rFonts w:ascii="Cambria" w:cs="Cambria" w:eastAsia="Cambria" w:hAnsi="Cambria"/>
          <w:sz w:val="17"/>
          <w:szCs w:val="17"/>
          <w:b w:val="1"/>
          <w:bCs w:val="1"/>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w:t>
      </w:r>
    </w:p>
    <w:p>
      <w:pPr>
        <w:sectPr>
          <w:pgSz w:w="11900" w:h="16838" w:orient="portrait"/>
          <w:cols w:equalWidth="0" w:num="1">
            <w:col w:w="11220"/>
          </w:cols>
          <w:pgMar w:left="320" w:top="823" w:right="359" w:bottom="1440" w:gutter="0" w:footer="0" w:header="0"/>
        </w:sectPr>
      </w:pPr>
    </w:p>
    <w:bookmarkStart w:id="134" w:name="page135"/>
    <w:bookmarkEnd w:id="134"/>
    <w:p>
      <w:pPr>
        <w:spacing w:after="0" w:line="287" w:lineRule="auto"/>
        <w:rPr>
          <w:sz w:val="20"/>
          <w:szCs w:val="20"/>
          <w:color w:val="auto"/>
        </w:rPr>
      </w:pPr>
      <w:r>
        <w:rPr>
          <w:rFonts w:ascii="Cambria" w:cs="Cambria" w:eastAsia="Cambria" w:hAnsi="Cambria"/>
          <w:sz w:val="16"/>
          <w:szCs w:val="16"/>
          <w:b w:val="1"/>
          <w:bCs w:val="1"/>
          <w:color w:val="auto"/>
        </w:rPr>
        <w:t>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74" w:lineRule="exact"/>
        <w:rPr>
          <w:sz w:val="20"/>
          <w:szCs w:val="20"/>
          <w:color w:val="auto"/>
        </w:rPr>
      </w:pPr>
    </w:p>
    <w:p>
      <w:pPr>
        <w:spacing w:after="0"/>
        <w:rPr>
          <w:sz w:val="20"/>
          <w:szCs w:val="20"/>
          <w:color w:val="auto"/>
        </w:rPr>
      </w:pPr>
      <w:r>
        <w:rPr>
          <w:rFonts w:ascii="Cambria" w:cs="Cambria" w:eastAsia="Cambria" w:hAnsi="Cambria"/>
          <w:sz w:val="17"/>
          <w:szCs w:val="17"/>
          <w:b w:val="1"/>
          <w:bCs w:val="1"/>
          <w:i w:val="1"/>
          <w:iCs w:val="1"/>
          <w:color w:val="auto"/>
        </w:rPr>
        <w:t>Preferred Stock</w:t>
      </w:r>
    </w:p>
    <w:p>
      <w:pPr>
        <w:spacing w:after="0" w:line="114" w:lineRule="exact"/>
        <w:rPr>
          <w:sz w:val="20"/>
          <w:szCs w:val="20"/>
          <w:color w:val="auto"/>
        </w:rPr>
      </w:pPr>
    </w:p>
    <w:p>
      <w:pPr>
        <w:spacing w:after="0" w:line="252" w:lineRule="auto"/>
        <w:rPr>
          <w:sz w:val="20"/>
          <w:szCs w:val="20"/>
          <w:color w:val="auto"/>
        </w:rPr>
      </w:pPr>
      <w:r>
        <w:rPr>
          <w:rFonts w:ascii="Cambria" w:cs="Cambria" w:eastAsia="Cambria" w:hAnsi="Cambria"/>
          <w:sz w:val="17"/>
          <w:szCs w:val="17"/>
          <w:b w:val="1"/>
          <w:bCs w:val="1"/>
          <w:color w:val="auto"/>
        </w:rPr>
        <w:t>Our board of directors is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ectPr>
          <w:pgSz w:w="11900" w:h="16838" w:orient="portrait"/>
          <w:cols w:equalWidth="0" w:num="1">
            <w:col w:w="11200"/>
          </w:cols>
          <w:pgMar w:left="320" w:top="875" w:right="379" w:bottom="1440" w:gutter="0" w:footer="0" w:header="0"/>
        </w:sectPr>
      </w:pPr>
    </w:p>
    <w:bookmarkStart w:id="135" w:name="page136"/>
    <w:bookmarkEnd w:id="135"/>
    <w:p>
      <w:pPr>
        <w:spacing w:after="0" w:line="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Third Amendment to the Employment Agreement</w:t>
      </w:r>
    </w:p>
    <w:p>
      <w:pPr>
        <w:spacing w:after="0" w:line="180" w:lineRule="exact"/>
        <w:rPr>
          <w:sz w:val="20"/>
          <w:szCs w:val="20"/>
          <w:color w:val="auto"/>
        </w:rPr>
      </w:pPr>
    </w:p>
    <w:p>
      <w:pPr>
        <w:jc w:val="both"/>
        <w:ind w:firstLine="627"/>
        <w:spacing w:after="0" w:line="228" w:lineRule="auto"/>
        <w:rPr>
          <w:sz w:val="20"/>
          <w:szCs w:val="20"/>
          <w:color w:val="auto"/>
        </w:rPr>
      </w:pPr>
      <w:r>
        <w:rPr>
          <w:rFonts w:ascii="Times New Roman" w:cs="Times New Roman" w:eastAsia="Times New Roman" w:hAnsi="Times New Roman"/>
          <w:sz w:val="21"/>
          <w:szCs w:val="21"/>
          <w:color w:val="auto"/>
        </w:rPr>
        <w:t>WHEREAS, National CineMedia, Inc. (the “Company”) and Ronnie Ng (“Executive”) entered into an Employment Agreement, dated August 25, 2021, as amended by the First Amendment to the Employment Agreement, dated August 31, 2021 and the Second Amendment to Employment Agreement, dated September 13, 2021 (collectively, the “Employment Agreement”); and</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desire to amend the Employment Agreement on the terms and conditions set forth</w:t>
      </w: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152" w:lineRule="exact"/>
        <w:rPr>
          <w:sz w:val="20"/>
          <w:szCs w:val="20"/>
          <w:color w:val="auto"/>
        </w:rPr>
      </w:pPr>
    </w:p>
    <w:p>
      <w:pPr>
        <w:jc w:val="both"/>
        <w:ind w:firstLine="352"/>
        <w:spacing w:after="0" w:line="228"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contained herein and other good and valuable consideration, the receipt and sufficiency of which is hereby acknowledged, the parties hereto agree to the following changes to the Employment Agreement, effective as of January 31, 2023:</w:t>
      </w:r>
    </w:p>
    <w:p>
      <w:pPr>
        <w:spacing w:after="0" w:line="147" w:lineRule="exact"/>
        <w:rPr>
          <w:sz w:val="20"/>
          <w:szCs w:val="20"/>
          <w:color w:val="auto"/>
        </w:rPr>
      </w:pPr>
    </w:p>
    <w:p>
      <w:pPr>
        <w:ind w:left="1260" w:hanging="316"/>
        <w:spacing w:after="0" w:line="238" w:lineRule="auto"/>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 of the Employment Agreement is amended by deleting the second sentence and replaced as follows: “Executive’s primary place of business will be a location as mutually agreed by the Parties.”</w:t>
      </w:r>
    </w:p>
    <w:p>
      <w:pPr>
        <w:spacing w:after="0" w:line="173" w:lineRule="exact"/>
        <w:rPr>
          <w:rFonts w:ascii="Times New Roman" w:cs="Times New Roman" w:eastAsia="Times New Roman" w:hAnsi="Times New Roman"/>
          <w:sz w:val="21"/>
          <w:szCs w:val="21"/>
          <w:color w:val="auto"/>
        </w:rPr>
      </w:pPr>
    </w:p>
    <w:p>
      <w:pPr>
        <w:ind w:left="1260" w:right="4220" w:hanging="316"/>
        <w:spacing w:after="0" w:line="428" w:lineRule="auto"/>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3.(d)(v) of the Agreement is deleted and replaced as follows: “(v) </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ind w:left="1260" w:hanging="316"/>
        <w:spacing w:after="0" w:line="238" w:lineRule="auto"/>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5.(a).iv. of the Agreement is amended by deleting the following parenthetical “(including Executive’s failure to relocate to Colorado by the Relocation End Date).”</w:t>
      </w:r>
    </w:p>
    <w:p>
      <w:pPr>
        <w:spacing w:after="0" w:line="173" w:lineRule="exact"/>
        <w:rPr>
          <w:rFonts w:ascii="Times New Roman" w:cs="Times New Roman" w:eastAsia="Times New Roman" w:hAnsi="Times New Roman"/>
          <w:sz w:val="21"/>
          <w:szCs w:val="21"/>
          <w:color w:val="auto"/>
        </w:rPr>
      </w:pPr>
    </w:p>
    <w:p>
      <w:pPr>
        <w:ind w:left="1260" w:hanging="316"/>
        <w:spacing w:after="0"/>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modified herein, the Employment Agreement shall remain in full force and effect.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&lt;</w:t>
      </w:r>
      <w:r>
        <w:rPr>
          <w:rFonts w:ascii="Times New Roman" w:cs="Times New Roman" w:eastAsia="Times New Roman" w:hAnsi="Times New Roman"/>
          <w:sz w:val="21"/>
          <w:szCs w:val="21"/>
          <w:i w:val="1"/>
          <w:iCs w:val="1"/>
          <w:color w:val="auto"/>
        </w:rPr>
        <w:t>Signature Page to Follow&gt;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Amendment as of the day and year set forth below.</w:t>
      </w:r>
    </w:p>
    <w:p>
      <w:pPr>
        <w:sectPr>
          <w:pgSz w:w="11900" w:h="16838" w:orient="portrait"/>
          <w:cols w:equalWidth="0" w:num="1">
            <w:col w:w="9660"/>
          </w:cols>
          <w:pgMar w:left="960" w:top="1440" w:right="127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620"/>
        <w:spacing w:after="0"/>
        <w:tabs>
          <w:tab w:leader="none" w:pos="3140" w:val="left"/>
        </w:tabs>
        <w:rPr>
          <w:sz w:val="20"/>
          <w:szCs w:val="20"/>
          <w:color w:val="auto"/>
        </w:rPr>
      </w:pPr>
      <w:r>
        <w:rPr>
          <w:rFonts w:ascii="Times New Roman" w:cs="Times New Roman" w:eastAsia="Times New Roman" w:hAnsi="Times New Roman"/>
          <w:sz w:val="21"/>
          <w:szCs w:val="21"/>
          <w:color w:val="auto"/>
        </w:rPr>
        <w:t>National CineMedia, Inc.</w:t>
      </w:r>
      <w:r>
        <w:rPr>
          <w:sz w:val="20"/>
          <w:szCs w:val="20"/>
          <w:color w:val="auto"/>
        </w:rPr>
        <w:tab/>
      </w:r>
      <w:r>
        <w:rPr>
          <w:rFonts w:ascii="Times New Roman" w:cs="Times New Roman" w:eastAsia="Times New Roman" w:hAnsi="Times New Roman"/>
          <w:sz w:val="20"/>
          <w:szCs w:val="20"/>
          <w:color w:val="auto"/>
        </w:rPr>
        <w:t>Ronnie Ng</w:t>
      </w:r>
    </w:p>
    <w:p>
      <w:pPr>
        <w:spacing w:after="0" w:line="168" w:lineRule="exact"/>
        <w:rPr>
          <w:sz w:val="20"/>
          <w:szCs w:val="20"/>
          <w:color w:val="auto"/>
        </w:rPr>
      </w:pPr>
    </w:p>
    <w:p>
      <w:pPr>
        <w:ind w:left="620"/>
        <w:spacing w:after="0"/>
        <w:tabs>
          <w:tab w:leader="none" w:pos="3100" w:val="left"/>
        </w:tabs>
        <w:rPr>
          <w:sz w:val="20"/>
          <w:szCs w:val="20"/>
          <w:color w:val="auto"/>
        </w:rPr>
      </w:pPr>
      <w:r>
        <w:rPr>
          <w:rFonts w:ascii="Times New Roman" w:cs="Times New Roman" w:eastAsia="Times New Roman" w:hAnsi="Times New Roman"/>
          <w:sz w:val="21"/>
          <w:szCs w:val="21"/>
          <w:color w:val="auto"/>
        </w:rPr>
        <w:t>____________________</w:t>
      </w:r>
      <w:r>
        <w:rPr>
          <w:sz w:val="20"/>
          <w:szCs w:val="20"/>
          <w:color w:val="auto"/>
        </w:rPr>
        <w:tab/>
      </w:r>
      <w:r>
        <w:rPr>
          <w:rFonts w:ascii="Times New Roman" w:cs="Times New Roman" w:eastAsia="Times New Roman" w:hAnsi="Times New Roman"/>
          <w:sz w:val="21"/>
          <w:szCs w:val="21"/>
          <w:color w:val="auto"/>
        </w:rPr>
        <w:t>_____________________</w:t>
      </w:r>
    </w:p>
    <w:p>
      <w:pPr>
        <w:ind w:left="620"/>
        <w:spacing w:after="0" w:line="207" w:lineRule="auto"/>
        <w:rPr>
          <w:sz w:val="20"/>
          <w:szCs w:val="20"/>
          <w:color w:val="auto"/>
        </w:rPr>
      </w:pPr>
      <w:r>
        <w:rPr>
          <w:rFonts w:ascii="Times New Roman" w:cs="Times New Roman" w:eastAsia="Times New Roman" w:hAnsi="Times New Roman"/>
          <w:sz w:val="21"/>
          <w:szCs w:val="21"/>
          <w:color w:val="auto"/>
        </w:rPr>
        <w:t>By: Tom Lesinski</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178" w:lineRule="exact"/>
        <w:rPr>
          <w:sz w:val="20"/>
          <w:szCs w:val="20"/>
          <w:color w:val="auto"/>
        </w:rPr>
      </w:pPr>
    </w:p>
    <w:p>
      <w:pPr>
        <w:ind w:left="620"/>
        <w:spacing w:after="0"/>
        <w:tabs>
          <w:tab w:leader="none" w:pos="3200" w:val="left"/>
        </w:tabs>
        <w:rPr>
          <w:sz w:val="20"/>
          <w:szCs w:val="20"/>
          <w:color w:val="auto"/>
        </w:rPr>
      </w:pPr>
      <w:r>
        <w:rPr>
          <w:rFonts w:ascii="Times New Roman" w:cs="Times New Roman" w:eastAsia="Times New Roman" w:hAnsi="Times New Roman"/>
          <w:sz w:val="20"/>
          <w:szCs w:val="20"/>
          <w:color w:val="auto"/>
        </w:rPr>
        <w:t>_____________________</w:t>
      </w:r>
      <w:r>
        <w:rPr>
          <w:sz w:val="20"/>
          <w:szCs w:val="20"/>
          <w:color w:val="auto"/>
        </w:rPr>
        <w:tab/>
      </w:r>
      <w:r>
        <w:rPr>
          <w:rFonts w:ascii="Times New Roman" w:cs="Times New Roman" w:eastAsia="Times New Roman" w:hAnsi="Times New Roman"/>
          <w:sz w:val="20"/>
          <w:szCs w:val="20"/>
          <w:color w:val="auto"/>
        </w:rPr>
        <w:t>_____________________</w:t>
      </w:r>
    </w:p>
    <w:p>
      <w:pPr>
        <w:spacing w:after="0" w:line="3" w:lineRule="exact"/>
        <w:rPr>
          <w:sz w:val="20"/>
          <w:szCs w:val="20"/>
          <w:color w:val="auto"/>
        </w:rPr>
      </w:pPr>
    </w:p>
    <w:p>
      <w:pPr>
        <w:ind w:left="620"/>
        <w:spacing w:after="0"/>
        <w:tabs>
          <w:tab w:leader="none" w:pos="20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9660"/>
          </w:cols>
          <w:pgMar w:left="960" w:top="1440" w:right="127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NATIONAL CINEMEDIA,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CineMedia, LLC, a Delaware limited liability company (a consolidated subsidiary of National CineMedia,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NCMI II, LLC, a Delaware limited liability company</w:t>
      </w:r>
    </w:p>
    <w:p>
      <w:pPr>
        <w:sectPr>
          <w:pgSz w:w="11900" w:h="16838" w:orient="portrait"/>
          <w:cols w:equalWidth="0" w:num="1">
            <w:col w:w="11240"/>
          </w:cols>
          <w:pgMar w:left="320" w:top="86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18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333-267824 on Form S-3 and in Registration Statement No. 333-266717 on Form S-8 of our reports dated April 13, 2023, relating to the consolidated financial statements of National CineMedia, Inc. and subsidiary, appearing in this Annual Report on Form 10-K of National CineMedia, Inc. for the year ended December 29, 2022.</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Denver, Colorado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April 13, 2023</w:t>
      </w:r>
    </w:p>
    <w:p>
      <w:pPr>
        <w:sectPr>
          <w:pgSz w:w="11900" w:h="16838" w:orient="portrait"/>
          <w:cols w:equalWidth="0" w:num="1">
            <w:col w:w="11240"/>
          </w:cols>
          <w:pgMar w:left="320" w:top="86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0" w:lineRule="exact"/>
        <w:rPr>
          <w:sz w:val="20"/>
          <w:szCs w:val="20"/>
          <w:color w:val="auto"/>
        </w:rPr>
      </w:pPr>
    </w:p>
    <w:p>
      <w:pPr>
        <w:ind w:right="40" w:firstLine="627"/>
        <w:spacing w:after="0" w:line="229" w:lineRule="auto"/>
        <w:rPr>
          <w:sz w:val="20"/>
          <w:szCs w:val="20"/>
          <w:color w:val="auto"/>
        </w:rPr>
      </w:pPr>
      <w:r>
        <w:rPr>
          <w:rFonts w:ascii="Times New Roman" w:cs="Times New Roman" w:eastAsia="Times New Roman" w:hAnsi="Times New Roman"/>
          <w:sz w:val="21"/>
          <w:szCs w:val="21"/>
          <w:color w:val="auto"/>
        </w:rPr>
        <w:t>Each person whose signature appears below hereby constitutes and appoints Maria V. Woods, Ronnie Y. Ng,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29, 2022,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18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740" w:type="dxa"/>
            <w:vAlign w:val="bottom"/>
            <w:gridSpan w:val="3"/>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6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63"/>
        </w:trPr>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David E. Glazek</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11, 2023</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David E. Glazek</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Lawrence A. Goodman</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6, 2023</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Lawrence A. Goodman</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Kurt C. Hall</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11, 2023</w:t>
            </w:r>
          </w:p>
        </w:tc>
      </w:tr>
      <w:tr>
        <w:trPr>
          <w:trHeight w:val="220"/>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Kurt C. Hall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/s/ Juliana F. Hill</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7, 2023</w:t>
            </w:r>
          </w:p>
        </w:tc>
      </w:tr>
      <w:tr>
        <w:trPr>
          <w:trHeight w:val="220"/>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Juliana F. Hill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Donna Reisman</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6, 2023</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Donna Reisman</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1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0"/>
        </w:trPr>
        <w:tc>
          <w:tcPr>
            <w:tcW w:w="37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Mark B. Segall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65"/>
        </w:trPr>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Mark Zoradi</w:t>
            </w:r>
          </w:p>
        </w:tc>
        <w:tc>
          <w:tcPr>
            <w:tcW w:w="3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April 6, 2023</w:t>
            </w:r>
          </w:p>
        </w:tc>
      </w:tr>
      <w:tr>
        <w:trPr>
          <w:trHeight w:val="220"/>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Mark Zoradi</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ectPr>
          <w:pgSz w:w="11900" w:h="16838" w:orient="portrait"/>
          <w:cols w:equalWidth="0" w:num="1">
            <w:col w:w="11240"/>
          </w:cols>
          <w:pgMar w:left="320" w:top="95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Thomas F. Lesinski, certify that:</w:t>
      </w:r>
    </w:p>
    <w:p>
      <w:pPr>
        <w:spacing w:after="0" w:line="118" w:lineRule="exact"/>
        <w:rPr>
          <w:sz w:val="20"/>
          <w:szCs w:val="20"/>
          <w:color w:val="auto"/>
        </w:rPr>
      </w:pPr>
    </w:p>
    <w:p>
      <w:pPr>
        <w:ind w:left="680" w:hanging="166"/>
        <w:spacing w:after="0"/>
        <w:tabs>
          <w:tab w:leader="none" w:pos="6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National CineMedia, Inc.;</w:t>
      </w:r>
    </w:p>
    <w:p>
      <w:pPr>
        <w:spacing w:after="0" w:line="117" w:lineRule="exact"/>
        <w:rPr>
          <w:rFonts w:ascii="Times New Roman" w:cs="Times New Roman" w:eastAsia="Times New Roman" w:hAnsi="Times New Roman"/>
          <w:sz w:val="17"/>
          <w:szCs w:val="17"/>
          <w:color w:val="auto"/>
        </w:rPr>
      </w:pPr>
    </w:p>
    <w:p>
      <w:pPr>
        <w:ind w:right="440" w:firstLine="514"/>
        <w:spacing w:after="0" w:line="295" w:lineRule="auto"/>
        <w:tabs>
          <w:tab w:leader="none" w:pos="68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right="400" w:firstLine="514"/>
        <w:spacing w:after="0" w:line="295" w:lineRule="auto"/>
        <w:tabs>
          <w:tab w:leader="none" w:pos="68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right="200" w:firstLine="514"/>
        <w:spacing w:after="0" w:line="275" w:lineRule="auto"/>
        <w:tabs>
          <w:tab w:leader="none" w:pos="68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20" w:firstLine="514"/>
        <w:spacing w:after="0" w:line="275" w:lineRule="auto"/>
        <w:tabs>
          <w:tab w:leader="none" w:pos="74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right="100" w:firstLine="514"/>
        <w:spacing w:after="0" w:line="275" w:lineRule="auto"/>
        <w:tabs>
          <w:tab w:leader="none" w:pos="75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right="160" w:firstLine="514"/>
        <w:spacing w:after="0" w:line="295" w:lineRule="auto"/>
        <w:tabs>
          <w:tab w:leader="none" w:pos="74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right="180" w:firstLine="514"/>
        <w:spacing w:after="0" w:line="275" w:lineRule="auto"/>
        <w:tabs>
          <w:tab w:leader="none" w:pos="75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140" w:firstLine="514"/>
        <w:spacing w:after="0" w:line="295" w:lineRule="auto"/>
        <w:tabs>
          <w:tab w:leader="none" w:pos="683"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right="80" w:firstLine="514"/>
        <w:spacing w:after="0" w:line="295" w:lineRule="auto"/>
        <w:tabs>
          <w:tab w:leader="none" w:pos="74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right="120" w:firstLine="514"/>
        <w:spacing w:after="0" w:line="295" w:lineRule="auto"/>
        <w:tabs>
          <w:tab w:leader="none" w:pos="75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40"/>
        <w:spacing w:after="0"/>
        <w:tabs>
          <w:tab w:leader="none" w:pos="1220" w:val="left"/>
          <w:tab w:leader="none" w:pos="63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13, 2023</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20320</wp:posOffset>
            </wp:positionV>
            <wp:extent cx="31781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1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Thomas F. Lesinski</w:t>
      </w:r>
    </w:p>
    <w:p>
      <w:pPr>
        <w:ind w:left="6360"/>
        <w:spacing w:after="0" w:line="224" w:lineRule="auto"/>
        <w:rPr>
          <w:sz w:val="20"/>
          <w:szCs w:val="20"/>
          <w:color w:val="auto"/>
        </w:rPr>
      </w:pPr>
      <w:r>
        <w:rPr>
          <w:rFonts w:ascii="Times New Roman" w:cs="Times New Roman" w:eastAsia="Times New Roman" w:hAnsi="Times New Roman"/>
          <w:sz w:val="17"/>
          <w:szCs w:val="17"/>
          <w:color w:val="auto"/>
        </w:rPr>
        <w:t>Chief Executive Officer</w:t>
      </w:r>
    </w:p>
    <w:p>
      <w:pPr>
        <w:ind w:left="63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6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Ronnie Y. Ng, certify that:</w:t>
      </w:r>
    </w:p>
    <w:p>
      <w:pPr>
        <w:spacing w:after="0" w:line="118" w:lineRule="exact"/>
        <w:rPr>
          <w:sz w:val="20"/>
          <w:szCs w:val="20"/>
          <w:color w:val="auto"/>
        </w:rPr>
      </w:pPr>
    </w:p>
    <w:p>
      <w:pPr>
        <w:ind w:left="680" w:hanging="166"/>
        <w:spacing w:after="0"/>
        <w:tabs>
          <w:tab w:leader="none" w:pos="6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National CineMedia, Inc.;</w:t>
      </w:r>
    </w:p>
    <w:p>
      <w:pPr>
        <w:spacing w:after="0" w:line="117" w:lineRule="exact"/>
        <w:rPr>
          <w:rFonts w:ascii="Times New Roman" w:cs="Times New Roman" w:eastAsia="Times New Roman" w:hAnsi="Times New Roman"/>
          <w:sz w:val="17"/>
          <w:szCs w:val="17"/>
          <w:color w:val="auto"/>
        </w:rPr>
      </w:pPr>
    </w:p>
    <w:p>
      <w:pPr>
        <w:ind w:right="440" w:firstLine="514"/>
        <w:spacing w:after="0" w:line="295" w:lineRule="auto"/>
        <w:tabs>
          <w:tab w:leader="none" w:pos="68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right="400" w:firstLine="514"/>
        <w:spacing w:after="0" w:line="295" w:lineRule="auto"/>
        <w:tabs>
          <w:tab w:leader="none" w:pos="68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right="200" w:firstLine="514"/>
        <w:spacing w:after="0" w:line="275" w:lineRule="auto"/>
        <w:tabs>
          <w:tab w:leader="none" w:pos="68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20" w:firstLine="514"/>
        <w:spacing w:after="0" w:line="275" w:lineRule="auto"/>
        <w:tabs>
          <w:tab w:leader="none" w:pos="74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right="100" w:firstLine="514"/>
        <w:spacing w:after="0" w:line="275" w:lineRule="auto"/>
        <w:tabs>
          <w:tab w:leader="none" w:pos="75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right="160" w:firstLine="514"/>
        <w:spacing w:after="0" w:line="295" w:lineRule="auto"/>
        <w:tabs>
          <w:tab w:leader="none" w:pos="74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right="180" w:firstLine="514"/>
        <w:spacing w:after="0" w:line="275" w:lineRule="auto"/>
        <w:tabs>
          <w:tab w:leader="none" w:pos="75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140" w:firstLine="514"/>
        <w:spacing w:after="0" w:line="295" w:lineRule="auto"/>
        <w:tabs>
          <w:tab w:leader="none" w:pos="68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right="80" w:firstLine="514"/>
        <w:spacing w:after="0" w:line="295" w:lineRule="auto"/>
        <w:tabs>
          <w:tab w:leader="none" w:pos="74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right="120" w:firstLine="514"/>
        <w:spacing w:after="0" w:line="295" w:lineRule="auto"/>
        <w:tabs>
          <w:tab w:leader="none" w:pos="75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60"/>
        <w:spacing w:after="0"/>
        <w:tabs>
          <w:tab w:leader="none" w:pos="700" w:val="left"/>
          <w:tab w:leader="none" w:pos="58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13, 2023</w:t>
      </w:r>
      <w:r>
        <w:rPr>
          <w:sz w:val="20"/>
          <w:szCs w:val="20"/>
          <w:color w:val="auto"/>
        </w:rPr>
        <w:tab/>
      </w:r>
      <w:r>
        <w:rPr>
          <w:rFonts w:ascii="Times New Roman" w:cs="Times New Roman" w:eastAsia="Times New Roman" w:hAnsi="Times New Roman"/>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20320</wp:posOffset>
            </wp:positionV>
            <wp:extent cx="34232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Ronnie Y. Ng</w:t>
      </w:r>
    </w:p>
    <w:p>
      <w:pPr>
        <w:ind w:left="5840"/>
        <w:spacing w:after="0" w:line="208" w:lineRule="auto"/>
        <w:rPr>
          <w:sz w:val="20"/>
          <w:szCs w:val="20"/>
          <w:color w:val="auto"/>
        </w:rPr>
      </w:pPr>
      <w:r>
        <w:rPr>
          <w:rFonts w:ascii="Times New Roman" w:cs="Times New Roman" w:eastAsia="Times New Roman" w:hAnsi="Times New Roman"/>
          <w:sz w:val="17"/>
          <w:szCs w:val="17"/>
          <w:color w:val="auto"/>
        </w:rPr>
        <w:t>Chief Financial Officer</w:t>
      </w:r>
    </w:p>
    <w:p>
      <w:pPr>
        <w:ind w:left="58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40"/>
          </w:cols>
          <w:pgMar w:left="320" w:top="86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right="320" w:firstLine="509"/>
        <w:spacing w:after="0" w:line="275"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ending December 29, 2022 (the “Report”) of National CineMedia, Inc. (the “Registrant”) as filed with the Securities and Exchange Commission on the date hereof, I, Thomas F. Lesinski, the Chief Executive Officer of the Registrant, certify, pursuant to 18 U.S.C. § 1350, as adopted pursuant to § 906 of the Sarbanes-Oxley Act of 2002, that to the best of my knowledge:</w:t>
      </w:r>
    </w:p>
    <w:p>
      <w:pPr>
        <w:spacing w:after="0" w:line="59" w:lineRule="exact"/>
        <w:rPr>
          <w:sz w:val="20"/>
          <w:szCs w:val="20"/>
          <w:color w:val="auto"/>
        </w:rPr>
      </w:pPr>
    </w:p>
    <w:p>
      <w:pPr>
        <w:ind w:left="680" w:hanging="166"/>
        <w:spacing w:after="0"/>
        <w:tabs>
          <w:tab w:leader="none" w:pos="6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7"/>
          <w:szCs w:val="17"/>
          <w:color w:val="auto"/>
        </w:rPr>
      </w:pPr>
    </w:p>
    <w:p>
      <w:pPr>
        <w:ind w:left="680" w:hanging="166"/>
        <w:spacing w:after="0"/>
        <w:tabs>
          <w:tab w:leader="none" w:pos="6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53" w:lineRule="exact"/>
        <w:rPr>
          <w:sz w:val="20"/>
          <w:szCs w:val="20"/>
          <w:color w:val="auto"/>
        </w:rPr>
      </w:pPr>
    </w:p>
    <w:p>
      <w:pPr>
        <w:ind w:left="20"/>
        <w:spacing w:after="0"/>
        <w:tabs>
          <w:tab w:leader="none" w:pos="660" w:val="left"/>
          <w:tab w:leader="none" w:pos="57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13, 2023</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20320</wp:posOffset>
            </wp:positionV>
            <wp:extent cx="34232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Thomas F. Lesinski</w:t>
      </w:r>
    </w:p>
    <w:p>
      <w:pPr>
        <w:ind w:left="5800"/>
        <w:spacing w:after="0" w:line="224" w:lineRule="auto"/>
        <w:rPr>
          <w:sz w:val="20"/>
          <w:szCs w:val="20"/>
          <w:color w:val="auto"/>
        </w:rPr>
      </w:pPr>
      <w:r>
        <w:rPr>
          <w:rFonts w:ascii="Times New Roman" w:cs="Times New Roman" w:eastAsia="Times New Roman" w:hAnsi="Times New Roman"/>
          <w:sz w:val="17"/>
          <w:szCs w:val="17"/>
          <w:color w:val="auto"/>
        </w:rPr>
        <w:t>Chief Executive Officer</w:t>
      </w: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6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right="360" w:firstLine="509"/>
        <w:spacing w:after="0" w:line="275"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ending December 29, 2022 (the “Report”) of National CineMedia, Inc. (the “Registrant”) as filed with the Securities and Exchange Commission on the date hereof, I, Julie L. Patterson, the Interim Principal Accounting Officer of the Registrant, certify, pursuant to 18 U.S.C. § 1350, as adopted pursuant to § 906 of the Sarbanes-Oxley Act of 2002, that to the best of my knowledge:</w:t>
      </w:r>
    </w:p>
    <w:p>
      <w:pPr>
        <w:spacing w:after="0" w:line="59" w:lineRule="exact"/>
        <w:rPr>
          <w:sz w:val="20"/>
          <w:szCs w:val="20"/>
          <w:color w:val="auto"/>
        </w:rPr>
      </w:pPr>
    </w:p>
    <w:p>
      <w:pPr>
        <w:ind w:left="680" w:hanging="166"/>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7"/>
          <w:szCs w:val="17"/>
          <w:color w:val="auto"/>
        </w:rPr>
      </w:pPr>
    </w:p>
    <w:p>
      <w:pPr>
        <w:ind w:left="680" w:hanging="166"/>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53" w:lineRule="exact"/>
        <w:rPr>
          <w:sz w:val="20"/>
          <w:szCs w:val="20"/>
          <w:color w:val="auto"/>
        </w:rPr>
      </w:pPr>
    </w:p>
    <w:p>
      <w:pPr>
        <w:ind w:left="20"/>
        <w:spacing w:after="0"/>
        <w:tabs>
          <w:tab w:leader="none" w:pos="660" w:val="left"/>
          <w:tab w:leader="none" w:pos="57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13, 2023</w:t>
      </w:r>
      <w:r>
        <w:rPr>
          <w:sz w:val="20"/>
          <w:szCs w:val="20"/>
          <w:color w:val="auto"/>
        </w:rPr>
        <w:tab/>
      </w:r>
      <w:r>
        <w:rPr>
          <w:rFonts w:ascii="Times New Roman" w:cs="Times New Roman" w:eastAsia="Times New Roman" w:hAnsi="Times New Roman"/>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20320</wp:posOffset>
            </wp:positionV>
            <wp:extent cx="34232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Ronnie Y. Ng</w:t>
      </w:r>
    </w:p>
    <w:p>
      <w:pPr>
        <w:ind w:left="5800"/>
        <w:spacing w:after="0" w:line="224" w:lineRule="auto"/>
        <w:rPr>
          <w:sz w:val="20"/>
          <w:szCs w:val="20"/>
          <w:color w:val="auto"/>
        </w:rPr>
      </w:pPr>
      <w:r>
        <w:rPr>
          <w:rFonts w:ascii="Times New Roman" w:cs="Times New Roman" w:eastAsia="Times New Roman" w:hAnsi="Times New Roman"/>
          <w:sz w:val="17"/>
          <w:szCs w:val="17"/>
          <w:color w:val="auto"/>
        </w:rPr>
        <w:t>Chief Financial Officer</w:t>
      </w: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34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lowerLetter"/>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2"/>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4"/>
    </w:lvl>
  </w:abstractNum>
  <w:abstractNum w:abstractNumId="35">
    <w:nsid w:val="5DB70AE5"/>
    <w:multiLevelType w:val="hybridMultilevel"/>
    <w:lvl w:ilvl="0">
      <w:lvlJc w:val="left"/>
      <w:lvlText w:val="(%1)"/>
      <w:numFmt w:val="lowerRoman"/>
      <w:start w:val="3"/>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2"/>
    </w:lvl>
  </w:abstractNum>
  <w:abstractNum w:abstractNumId="39">
    <w:nsid w:val="5F5E7FD0"/>
    <w:multiLevelType w:val="hybridMultilevel"/>
    <w:lvl w:ilvl="0">
      <w:lvlJc w:val="left"/>
      <w:lvlText w:val="%1."/>
      <w:numFmt w:val="decimal"/>
      <w:start w:val="3"/>
    </w:lvl>
  </w:abstractNum>
  <w:abstractNum w:abstractNumId="40">
    <w:nsid w:val="98A3148"/>
    <w:multiLevelType w:val="hybridMultilevel"/>
    <w:lvl w:ilvl="0">
      <w:lvlJc w:val="left"/>
      <w:lvlText w:val="%1."/>
      <w:numFmt w:val="decimal"/>
      <w:start w:val="4"/>
    </w:lvl>
  </w:abstractNum>
  <w:abstractNum w:abstractNumId="41">
    <w:nsid w:val="799D0247"/>
    <w:multiLevelType w:val="hybridMultilevel"/>
    <w:lvl w:ilvl="0">
      <w:lvlJc w:val="left"/>
      <w:lvlText w:val="%1."/>
      <w:numFmt w:val="decimal"/>
      <w:start w:val="5"/>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7"/>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8"/>
    </w:lvl>
  </w:abstractNum>
  <w:abstractNum w:abstractNumId="46">
    <w:nsid w:val="661E3F1E"/>
    <w:multiLevelType w:val="hybridMultilevel"/>
    <w:lvl w:ilvl="0">
      <w:lvlJc w:val="left"/>
      <w:lvlText w:val="%1."/>
      <w:numFmt w:val="decimal"/>
      <w:start w:val="9"/>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0"/>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2"/>
    </w:lvl>
  </w:abstractNum>
  <w:abstractNum w:abstractNumId="56">
    <w:nsid w:val="8F2B15E"/>
    <w:multiLevelType w:val="hybridMultilevel"/>
    <w:lvl w:ilvl="0">
      <w:lvlJc w:val="left"/>
      <w:lvlText w:val="%1."/>
      <w:numFmt w:val="decimal"/>
      <w:start w:val="13"/>
    </w:lvl>
  </w:abstractNum>
  <w:abstractNum w:abstractNumId="57">
    <w:nsid w:val="1A32234B"/>
    <w:multiLevelType w:val="hybridMultilevel"/>
    <w:lvl w:ilvl="0">
      <w:lvlJc w:val="left"/>
      <w:lvlText w:val="%1."/>
      <w:numFmt w:val="decimal"/>
      <w:start w:val="14"/>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lvl w:ilvl="1">
      <w:lvlJc w:val="left"/>
      <w:lvlText w:val="(%2)"/>
      <w:numFmt w:val="decimal"/>
      <w:start w:val="1"/>
    </w:lvl>
  </w:abstractNum>
  <w:abstractNum w:abstractNumId="62">
    <w:nsid w:val="6A5EE64"/>
    <w:multiLevelType w:val="hybridMultilevel"/>
    <w:lvl w:ilvl="0">
      <w:lvlJc w:val="left"/>
      <w:lvlText w:val="%1."/>
      <w:numFmt w:val="decimal"/>
      <w:start w:val="15"/>
    </w:lvl>
    <w:lvl w:ilvl="1">
      <w:lvlJc w:val="left"/>
      <w:lvlText w:val="%2"/>
      <w:numFmt w:val="decimal"/>
      <w:start w:val="1"/>
    </w:lvl>
  </w:abstractNum>
  <w:abstractNum w:abstractNumId="63">
    <w:nsid w:val="14330624"/>
    <w:multiLevelType w:val="hybridMultilevel"/>
    <w:lvl w:ilvl="0">
      <w:lvlJc w:val="left"/>
      <w:lvlText w:val="%1"/>
      <w:numFmt w:val="decimal"/>
      <w:start w:val="1"/>
    </w:lvl>
    <w:lvl w:ilvl="1">
      <w:lvlJc w:val="left"/>
      <w:lvlText w:val="(%2)"/>
      <w:numFmt w:val="decimal"/>
      <w:start w:val="1"/>
    </w:lvl>
  </w:abstractNum>
  <w:abstractNum w:abstractNumId="64">
    <w:nsid w:val="7FFFCA11"/>
    <w:multiLevelType w:val="hybridMultilevel"/>
    <w:lvl w:ilvl="0">
      <w:lvlJc w:val="left"/>
      <w:lvlText w:val="%1."/>
      <w:numFmt w:val="decimal"/>
      <w:start w:val="16"/>
    </w:lvl>
    <w:lvl w:ilvl="1">
      <w:lvlJc w:val="left"/>
      <w:lvlText w:val="%2"/>
      <w:numFmt w:val="decimal"/>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1)"/>
      <w:numFmt w:val="lowerLetter"/>
      <w:start w:val="1"/>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4"/>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74">
    <w:nsid w:val="4C04A8AF"/>
    <w:multiLevelType w:val="hybridMultilevel"/>
    <w:lvl w:ilvl="0">
      <w:lvlJc w:val="left"/>
      <w:lvlText w:val="(%1)"/>
      <w:numFmt w:val="decimal"/>
      <w:start w:val="4"/>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2"/>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lvl w:ilvl="1">
      <w:lvlJc w:val="left"/>
      <w:lvlText w:val="(%2)"/>
      <w:numFmt w:val="decimal"/>
      <w:start w:val="1"/>
    </w:lvl>
  </w:abstractNum>
  <w:abstractNum w:abstractNumId="80">
    <w:nsid w:val="2DF6D648"/>
    <w:multiLevelType w:val="hybridMultilevel"/>
    <w:lvl w:ilvl="0">
      <w:lvlJc w:val="left"/>
      <w:lvlText w:val="(%1)"/>
      <w:numFmt w:val="decimal"/>
      <w:start w:val="2"/>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
      <w:numFmt w:val="bullet"/>
      <w:start w:val="1"/>
    </w:lvl>
    <w:lvl w:ilvl="1">
      <w:lvlJc w:val="left"/>
      <w:lvlText w:val="%2"/>
      <w:numFmt w:val="decimal"/>
      <w:start w:val="104"/>
    </w:lvl>
  </w:abstractNum>
  <w:abstractNum w:abstractNumId="85">
    <w:nsid w:val="CC1016F"/>
    <w:multiLevelType w:val="hybridMultilevel"/>
    <w:lvl w:ilvl="0">
      <w:lvlJc w:val="left"/>
      <w:lvlText w:val="**"/>
      <w:numFmt w:val="bullet"/>
      <w:start w:val="1"/>
    </w:lvl>
    <w:lvl w:ilvl="1">
      <w:lvlJc w:val="left"/>
      <w:lvlText w:val="%2"/>
      <w:numFmt w:val="decimal"/>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decimal"/>
      <w:start w:val="5"/>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2" Type="http://schemas.openxmlformats.org/officeDocument/2006/relationships/image" Target="media/image185.png"/><Relationship Id="rId214" Type="http://schemas.openxmlformats.org/officeDocument/2006/relationships/image" Target="media/image186.png"/><Relationship Id="rId225" Type="http://schemas.openxmlformats.org/officeDocument/2006/relationships/image" Target="media/image187.png"/><Relationship Id="rId242"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192" Type="http://schemas.openxmlformats.org/officeDocument/2006/relationships/hyperlink" Target="https://www.sec.gov/Archives/edgar/data/1377630/000137763022000082/ncmi-amendedandrestatedbyl.htm" TargetMode="External"/><Relationship Id="rId193" Type="http://schemas.openxmlformats.org/officeDocument/2006/relationships/hyperlink" Target="https://www.sec.gov/Archives/edgar/data/1377630/000137763022000082/conformed-secondamendedand.htm" TargetMode="External"/><Relationship Id="rId194" Type="http://schemas.openxmlformats.org/officeDocument/2006/relationships/hyperlink" Target="http://www.sec.gov/Archives/edgar/data/1377630/000119312516686539/d237543dex41.htm" TargetMode="External"/><Relationship Id="rId195" Type="http://schemas.openxmlformats.org/officeDocument/2006/relationships/hyperlink" Target="http://www.sec.gov/Archives/edgar/data/1377630/000137763019000114/exhibit41.htm" TargetMode="External"/><Relationship Id="rId196" Type="http://schemas.openxmlformats.org/officeDocument/2006/relationships/hyperlink" Target="https://www.sec.gov/Archives/edgar/data/1377630/000137763023000042/firstsupplementalindenture.htm" TargetMode="External"/><Relationship Id="rId197" Type="http://schemas.openxmlformats.org/officeDocument/2006/relationships/hyperlink" Target="https://www.sec.gov/Archives/edgar/data/1377630/000137763023000050/secondsupplementalindentur.htm" TargetMode="External"/><Relationship Id="rId198" Type="http://schemas.openxmlformats.org/officeDocument/2006/relationships/hyperlink" Target="http://www.sec.gov/Archives/edgar/data/1377630/000119312507034062/dex101.htm" TargetMode="External"/><Relationship Id="rId199" Type="http://schemas.openxmlformats.org/officeDocument/2006/relationships/hyperlink" Target="http://www.sec.gov/Archives/edgar/data/1377630/000119312509167786/dex1011.htm" TargetMode="External"/><Relationship Id="rId200" Type="http://schemas.openxmlformats.org/officeDocument/2006/relationships/hyperlink" Target="http://www.sec.gov/Archives/edgar/data/1377630/000119312510184751/dex101.htm" TargetMode="External"/><Relationship Id="rId201" Type="http://schemas.openxmlformats.org/officeDocument/2006/relationships/hyperlink" Target="http://www.sec.gov/Archives/edgar/data/1377630/000119312513360734/d591526dex1013.htm" TargetMode="External"/><Relationship Id="rId203" Type="http://schemas.openxmlformats.org/officeDocument/2006/relationships/hyperlink" Target="http://www.sec.gov/Archives/edgar/data/1377630/000137763019000040/fourthamendmentllcoperatin.htm" TargetMode="External"/><Relationship Id="rId204" Type="http://schemas.openxmlformats.org/officeDocument/2006/relationships/hyperlink" Target="http://www.sec.gov/Archives/edgar/data/1377630/000119312514062920/d630896dex1024.htm" TargetMode="External"/><Relationship Id="rId205" Type="http://schemas.openxmlformats.org/officeDocument/2006/relationships/hyperlink" Target="http://www.sec.gov/Archives/edgar/data/1377630/000156459017004375/ncmi-ex101_32.htm" TargetMode="External"/><Relationship Id="rId206" Type="http://schemas.openxmlformats.org/officeDocument/2006/relationships/hyperlink" Target="http://www.sec.gov/Archives/edgar/data/1377630/000119312514062920/d630896dex1034.htm" TargetMode="External"/><Relationship Id="rId207" Type="http://schemas.openxmlformats.org/officeDocument/2006/relationships/hyperlink" Target="http://www.sec.gov/Archives/edgar/data/1377630/000156459017004375/ncmi-ex103_37.htm" TargetMode="External"/><Relationship Id="rId208" Type="http://schemas.openxmlformats.org/officeDocument/2006/relationships/hyperlink" Target="http://www.sec.gov/Archives/edgar/data/1377630/000137763019000108/ex101cinemarkesaamendment.htm" TargetMode="External"/><Relationship Id="rId209" Type="http://schemas.openxmlformats.org/officeDocument/2006/relationships/hyperlink" Target="https://www.sec.gov/Archives/edgar/data/1377630/000137763022000119/cinemark-ncmxamendtoesatoe.htm" TargetMode="External"/><Relationship Id="rId210" Type="http://schemas.openxmlformats.org/officeDocument/2006/relationships/hyperlink" Target="http://www.sec.gov/Archives/edgar/data/1377630/000119312514062920/d630896dex1044.htm" TargetMode="External"/><Relationship Id="rId211" Type="http://schemas.openxmlformats.org/officeDocument/2006/relationships/hyperlink" Target="http://www.sec.gov/Archives/edgar/data/1377630/000156459017004375/ncmi-ex102_36.htm" TargetMode="External"/><Relationship Id="rId212" Type="http://schemas.openxmlformats.org/officeDocument/2006/relationships/hyperlink" Target="http://www.sec.gov/Archives/edgar/data/1377630/000137763019000108/ex102regalesaamendment.htm" TargetMode="External"/><Relationship Id="rId213" Type="http://schemas.openxmlformats.org/officeDocument/2006/relationships/hyperlink" Target="https://www.sec.gov/Archives/edgar/data/1377630/000137763022000119/regal-ncmxamendtoesatoexte.htm" TargetMode="External"/><Relationship Id="rId215" Type="http://schemas.openxmlformats.org/officeDocument/2006/relationships/hyperlink" Target="http://www.sec.gov/Archives/edgar/data/1377630/000119312507034062/dex106.htm" TargetMode="External"/><Relationship Id="rId216" Type="http://schemas.openxmlformats.org/officeDocument/2006/relationships/hyperlink" Target="http://www.sec.gov/Archives/edgar/data/1377630/000119312507034062/dex107.htm" TargetMode="External"/><Relationship Id="rId217" Type="http://schemas.openxmlformats.org/officeDocument/2006/relationships/hyperlink" Target="http://www.sec.gov/Archives/edgar/data/1377630/000119312508101806/dex101.htm" TargetMode="External"/><Relationship Id="rId218" Type="http://schemas.openxmlformats.org/officeDocument/2006/relationships/hyperlink" Target="http://www.sec.gov/Archives/edgar/data/1377630/000119312507034062/dex109.htm" TargetMode="External"/><Relationship Id="rId219" Type="http://schemas.openxmlformats.org/officeDocument/2006/relationships/hyperlink" Target="http://www.sec.gov/Archives/edgar/data/1377630/000119312507034062/dex1010.htm" TargetMode="External"/><Relationship Id="rId220" Type="http://schemas.openxmlformats.org/officeDocument/2006/relationships/hyperlink" Target="http://www.sec.gov/Archives/edgar/data/1377630/000119312507034062/dex1011.htm" TargetMode="External"/><Relationship Id="rId221" Type="http://schemas.openxmlformats.org/officeDocument/2006/relationships/hyperlink" Target="http://www.sec.gov/Archives/edgar/data/1377630/000119312507034062/dex1012.htm" TargetMode="External"/><Relationship Id="rId222" Type="http://schemas.openxmlformats.org/officeDocument/2006/relationships/hyperlink" Target="http://www.sec.gov/Archives/edgar/data/1377630/000162828018008300/ncm-062518ex101.htm" TargetMode="External"/><Relationship Id="rId223" Type="http://schemas.openxmlformats.org/officeDocument/2006/relationships/hyperlink" Target="http://www.sec.gov/Archives/edgar/data/1377630/000137763020000102/ncm-amendmentno1tocred.htm" TargetMode="External"/><Relationship Id="rId224" Type="http://schemas.openxmlformats.org/officeDocument/2006/relationships/hyperlink" Target="https://www.sec.gov/Archives/edgar/data/1377630/000137763021000077/creditagreement03082021.htm" TargetMode="External"/><Relationship Id="rId226" Type="http://schemas.openxmlformats.org/officeDocument/2006/relationships/hyperlink" Target="http://www.sec.gov/Archives/edgar/data/1377630/000137763022000003/ncm-amendmentno3tocreditag.htm" TargetMode="External"/><Relationship Id="rId227" Type="http://schemas.openxmlformats.org/officeDocument/2006/relationships/hyperlink" Target="https://www.sec.gov/Archives/edgar/data/1377630/000137763023000004/ncm-amendmentno4totermloan.htm" TargetMode="External"/><Relationship Id="rId228" Type="http://schemas.openxmlformats.org/officeDocument/2006/relationships/hyperlink" Target="https://www.sec.gov/Archives/edgar/data/1377630/000137763023000050/amendmentno5tocreditagreem.htm" TargetMode="External"/><Relationship Id="rId229" Type="http://schemas.openxmlformats.org/officeDocument/2006/relationships/hyperlink" Target="http://www.sec.gov/Archives/edgar/data/1377630/000137763022000003/ncm-revolvingcreditagreeme.htm" TargetMode="External"/><Relationship Id="rId230" Type="http://schemas.openxmlformats.org/officeDocument/2006/relationships/hyperlink" Target="https://www.sec.gov/Archives/edgar/data/1377630/000137763023000004/ncm-amendmentno1revolver.htm" TargetMode="External"/><Relationship Id="rId231" Type="http://schemas.openxmlformats.org/officeDocument/2006/relationships/hyperlink" Target="https://www.sec.gov/Archives/edgar/data/1377630/000137763022000089/ncm-sgregistrationletterx2.htm" TargetMode="External"/><Relationship Id="rId232" Type="http://schemas.openxmlformats.org/officeDocument/2006/relationships/hyperlink" Target="https://www.sec.gov/Archives/edgar/data/1377630/000137763023000056/restructuringsupportagreem.htm" TargetMode="External"/><Relationship Id="rId233" Type="http://schemas.openxmlformats.org/officeDocument/2006/relationships/hyperlink" Target="https://www.sec.gov/Archives/edgar/data/1377630/000137763022000119/arncmceoemploymentagreemen.htm" TargetMode="External"/><Relationship Id="rId234" Type="http://schemas.openxmlformats.org/officeDocument/2006/relationships/hyperlink" Target="http://www.sec.gov/Archives/edgar/data/1377630/000137763021000145/scottfelenstein2021agreeme.htm" TargetMode="External"/><Relationship Id="rId235" Type="http://schemas.openxmlformats.org/officeDocument/2006/relationships/hyperlink" Target="http://www.sec.gov/Archives/edgar/data/1377630/000137763021000180/ronniengemploymentagreement.htm" TargetMode="External"/><Relationship Id="rId236" Type="http://schemas.openxmlformats.org/officeDocument/2006/relationships/hyperlink" Target="http://www.sec.gov/Archives/edgar/data/1377630/000119312507028592/dex101.htm" TargetMode="External"/><Relationship Id="rId237" Type="http://schemas.openxmlformats.org/officeDocument/2006/relationships/hyperlink" Target="http://www.sec.gov/Archives/edgar/data/1377630/000137763018000022/ncmiexhibit103.htm" TargetMode="External"/><Relationship Id="rId238" Type="http://schemas.openxmlformats.org/officeDocument/2006/relationships/hyperlink" Target="http://www.sec.gov/Archives/edgar/data/1377630/000119312513196011/d530599dex102.htm" TargetMode="External"/><Relationship Id="rId239" Type="http://schemas.openxmlformats.org/officeDocument/2006/relationships/hyperlink" Target="http://www.sec.gov/Archives/edgar/data/1377630/000119312516567279/d165713dex41.htm" TargetMode="External"/><Relationship Id="rId240" Type="http://schemas.openxmlformats.org/officeDocument/2006/relationships/hyperlink" Target="http://www.sec.gov/Archives/edgar/data/1377630/000137763020000089/exhibit102equityplan.htm" TargetMode="External"/><Relationship Id="rId241" Type="http://schemas.openxmlformats.org/officeDocument/2006/relationships/hyperlink" Target="https://www.sec.gov/Archives/edgar/data/1377630/000137763022000080/ncm-amendmentno1to2020omni.htm" TargetMode="External"/><Relationship Id="rId243" Type="http://schemas.openxmlformats.org/officeDocument/2006/relationships/hyperlink" Target="http://www.sec.gov/Archives/edgar/data/1377630/000119312512076198/d282291dex10224.htm" TargetMode="External"/><Relationship Id="rId244" Type="http://schemas.openxmlformats.org/officeDocument/2006/relationships/hyperlink" Target="http://www.sec.gov/Archives/edgar/data/1377630/000137763019000132/a2019stockoptionagreement.htm" TargetMode="External"/><Relationship Id="rId245" Type="http://schemas.openxmlformats.org/officeDocument/2006/relationships/hyperlink" Target="http://www.sec.gov/Archives/edgar/data/1377630/000137763020000141/formof2020stockoptiona.htm" TargetMode="External"/><Relationship Id="rId246" Type="http://schemas.openxmlformats.org/officeDocument/2006/relationships/hyperlink" Target="http://www.sec.gov/Archives/edgar/data/1377630/000137763019000040/rstbagreementex10289.htm" TargetMode="External"/><Relationship Id="rId247" Type="http://schemas.openxmlformats.org/officeDocument/2006/relationships/hyperlink" Target="http://www.sec.gov/Archives/edgar/data/1377630/000137763019000040/pbrsagreementex102810.htm" TargetMode="External"/><Relationship Id="rId248" Type="http://schemas.openxmlformats.org/officeDocument/2006/relationships/hyperlink" Target="https://www.sec.gov/Archives/edgar/data/1377630/000137763020000041/a2020timebasedrestrictedst.htm" TargetMode="External"/><Relationship Id="rId249" Type="http://schemas.openxmlformats.org/officeDocument/2006/relationships/hyperlink" Target="https://www.sec.gov/Archives/edgar/data/1377630/000137763020000041/a2020performancebasedrestr.htm" TargetMode="External"/><Relationship Id="rId250" Type="http://schemas.openxmlformats.org/officeDocument/2006/relationships/hyperlink" Target="http://www.sec.gov/Archives/edgar/data/1377630/000137763020000141/time-basedrsuagreement.htm" TargetMode="External"/><Relationship Id="rId251" Type="http://schemas.openxmlformats.org/officeDocument/2006/relationships/hyperlink" Target="http://www.sec.gov/Archives/edgar/data/1377630/000137763020000161/ex101formof2020rsuagre.htm" TargetMode="External"/><Relationship Id="rId252" Type="http://schemas.openxmlformats.org/officeDocument/2006/relationships/hyperlink" Target="http://www.sec.gov/Archives/edgar/data/1377630/000119312509046656/dex1034.htm" TargetMode="External"/><Relationship Id="rId253" Type="http://schemas.openxmlformats.org/officeDocument/2006/relationships/hyperlink" Target="http://www.sec.gov/Archives/edgar/data/1377630/000119312516567279/d165713dex44.htm" TargetMode="External"/><Relationship Id="rId254" Type="http://schemas.openxmlformats.org/officeDocument/2006/relationships/hyperlink" Target="http://www.sec.gov/Archives/edgar/data/1377630/000156459017002300/ncmi-ex10272_363.htm" TargetMode="External"/><Relationship Id="rId255" Type="http://schemas.openxmlformats.org/officeDocument/2006/relationships/hyperlink" Target="http://www.sec.gov/Archives/edgar/data/1377630/000137763020000141/directortime-basedrsua.htm" TargetMode="External"/><Relationship Id="rId256" Type="http://schemas.openxmlformats.org/officeDocument/2006/relationships/hyperlink" Target="http://www.sec.gov/Archives/edgar/data/1377630/000137763021000073/exhibit101-2018rsamodifica.htm" TargetMode="External"/><Relationship Id="rId257" Type="http://schemas.openxmlformats.org/officeDocument/2006/relationships/hyperlink" Target="http://www.sec.gov/Archives/edgar/data/1377630/000137763021000073/exhibit102-2019rsamodifica.htm" TargetMode="External"/><Relationship Id="rId258" Type="http://schemas.openxmlformats.org/officeDocument/2006/relationships/hyperlink" Target="http://www.sec.gov/Archives/edgar/data/1377630/000137763021000073/exhibit103-2020rsamodifica.htm" TargetMode="External"/><Relationship Id="rId259" Type="http://schemas.openxmlformats.org/officeDocument/2006/relationships/hyperlink" Target="https://www.sec.gov/Archives/edgar/data/1377630/000137763022000159/ncm-receivablessales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2023-04-13T07:19:38Z</dcterms:created>
  <dcterms:modified xsi:type="dcterms:W3CDTF">2023-04-13T07:19:38Z</dcterms:modified>
</cp:coreProperties>
</file>